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RoadSense: Speed Safety Score for Safer Roads</w:t>
      </w:r>
    </w:p>
    <w:p>
      <w:pPr>
        <w:jc w:val="center"/>
      </w:pPr>
      <w:r>
        <w:rPr>
          <w:color w:val="646464"/>
          <w:sz w:val="24"/>
        </w:rPr>
        <w:t>ADB AI for Safer Roads Innovation Challenge — Findings Summary</w:t>
        <w:br/>
        <w:t>Team: Neuron Nexus | June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RoadSense analyzes 14,793 road segments across Thailand and Maharashtra using GPS probe data, road network geometry, and street-level imagery to produce a Speed Safety Score (0–1) for every segment. The score measures how well posted speed limits align with the Safe System approach — the principle that human bodies can only withstand impact speeds of 30–50 km/h depending on road context.</w:t>
      </w:r>
    </w:p>
    <w:p>
      <w:r>
        <w:t>Key finding: 77.9% of road segments have mean operating speeds above the Safe System threshold for their road type and land use. 12.2% of network length (11,445 km) is classified Critical — requiring immediate intervention. Secondary urban roads in both countries are the most dangerous category, with mean operating gaps exceeding 20 km/h above survivable impact speeds.</w:t>
      </w:r>
    </w:p>
    <w:p>
      <w:pPr>
        <w:pStyle w:val="Heading1"/>
      </w:pPr>
      <w:r>
        <w:t>2. Methodology Overview</w:t>
      </w:r>
    </w:p>
    <w:p>
      <w:r>
        <w:t>RoadSense implements two independent scoring approaches for cross-validation.</w:t>
      </w:r>
    </w:p>
    <w:p>
      <w:pPr>
        <w:pStyle w:val="Heading2"/>
      </w:pPr>
      <w:r>
        <w:t>2.1 4-Component Composite Score</w:t>
      </w:r>
    </w:p>
    <w:p>
      <w:r>
        <w:t>Four weighted factors per segment: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measures</w:t>
            </w:r>
          </w:p>
        </w:tc>
      </w:tr>
      <w:tr>
        <w:tc>
          <w:tcPr>
            <w:tcW w:type="dxa" w:w="2880"/>
          </w:tcPr>
          <w:p>
            <w:r>
              <w:t>Limit Misalignment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How far the posted limit exceeds Safe System recommendations</w:t>
            </w:r>
          </w:p>
        </w:tc>
      </w:tr>
      <w:tr>
        <w:tc>
          <w:tcPr>
            <w:tcW w:type="dxa" w:w="2880"/>
          </w:tcPr>
          <w:p>
            <w:r>
              <w:t>Operating Speed Risk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How far actual traffic (85th percentile speed) exceeds Safe System thresholds</w:t>
            </w:r>
          </w:p>
        </w:tc>
      </w:tr>
      <w:tr>
        <w:tc>
          <w:tcPr>
            <w:tcW w:type="dxa" w:w="2880"/>
          </w:tcPr>
          <w:p>
            <w:r>
              <w:t>VRU Exposure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Pedestrian fatality risk × road class / land use exposure</w:t>
            </w:r>
          </w:p>
        </w:tc>
      </w:tr>
      <w:tr>
        <w:tc>
          <w:tcPr>
            <w:tcW w:type="dxa" w:w="2880"/>
          </w:tcPr>
          <w:p>
            <w:r>
              <w:t>Traffic Volume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Normalised traffic volume percentile</w:t>
            </w:r>
          </w:p>
        </w:tc>
      </w:tr>
    </w:tbl>
    <w:p/>
    <w:p>
      <w:pPr>
        <w:pStyle w:val="Heading2"/>
      </w:pPr>
      <w:r>
        <w:t>2.2 3-Module RoadSense Score</w:t>
      </w:r>
    </w:p>
    <w:p>
      <w:r>
        <w:t>Three modules at weights 35%, 35%, 30%: Module A — Speed Alignment (average of limit gap and operating speed gap), Module B — VRU Exposure (land use, road class, speed risk, and PTW context), and Module C — Road Environment (infrastructure gap proxy plus speed mismatch penalty). Both approaches produce scores in [0, 1].</w:t>
      </w:r>
    </w:p>
    <w:p>
      <w:pPr>
        <w:pStyle w:val="Heading2"/>
      </w:pPr>
      <w:r>
        <w:t>2.3 Risk Tier Classification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 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 Range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 Required</w:t>
            </w:r>
          </w:p>
        </w:tc>
      </w:tr>
      <w:tr>
        <w:tc>
          <w:tcPr>
            <w:tcW w:type="dxa" w:w="2880"/>
          </w:tcPr>
          <w:p>
            <w:r>
              <w:t>Critical — Immediate Review</w:t>
            </w:r>
          </w:p>
        </w:tc>
        <w:tc>
          <w:tcPr>
            <w:tcW w:type="dxa" w:w="2880"/>
          </w:tcPr>
          <w:p>
            <w:r>
              <w:t>≥ 0.65</w:t>
            </w:r>
          </w:p>
        </w:tc>
        <w:tc>
          <w:tcPr>
            <w:tcW w:type="dxa" w:w="2880"/>
          </w:tcPr>
          <w:p>
            <w:r>
              <w:t>Immediate Safe System intervention</w:t>
            </w:r>
          </w:p>
        </w:tc>
      </w:tr>
      <w:tr>
        <w:tc>
          <w:tcPr>
            <w:tcW w:type="dxa" w:w="2880"/>
          </w:tcPr>
          <w:p>
            <w:r>
              <w:t>High — Priority Review</w:t>
            </w:r>
          </w:p>
        </w:tc>
        <w:tc>
          <w:tcPr>
            <w:tcW w:type="dxa" w:w="2880"/>
          </w:tcPr>
          <w:p>
            <w:r>
              <w:t>0.45 – 0.65</w:t>
            </w:r>
          </w:p>
        </w:tc>
        <w:tc>
          <w:tcPr>
            <w:tcW w:type="dxa" w:w="2880"/>
          </w:tcPr>
          <w:p>
            <w:r>
              <w:t>Priority review and countermeasure design</w:t>
            </w:r>
          </w:p>
        </w:tc>
      </w:tr>
      <w:tr>
        <w:tc>
          <w:tcPr>
            <w:tcW w:type="dxa" w:w="2880"/>
          </w:tcPr>
          <w:p>
            <w:r>
              <w:t>Moderate — Scheduled Review</w:t>
            </w:r>
          </w:p>
        </w:tc>
        <w:tc>
          <w:tcPr>
            <w:tcW w:type="dxa" w:w="2880"/>
          </w:tcPr>
          <w:p>
            <w:r>
              <w:t>0.25 – 0.45</w:t>
            </w:r>
          </w:p>
        </w:tc>
        <w:tc>
          <w:tcPr>
            <w:tcW w:type="dxa" w:w="2880"/>
          </w:tcPr>
          <w:p>
            <w:r>
              <w:t>Scheduled review and monitoring</w:t>
            </w:r>
          </w:p>
        </w:tc>
      </w:tr>
      <w:tr>
        <w:tc>
          <w:tcPr>
            <w:tcW w:type="dxa" w:w="2880"/>
          </w:tcPr>
          <w:p>
            <w:r>
              <w:t>Low — Monitor</w:t>
            </w:r>
          </w:p>
        </w:tc>
        <w:tc>
          <w:tcPr>
            <w:tcW w:type="dxa" w:w="2880"/>
          </w:tcPr>
          <w:p>
            <w:r>
              <w:t>&lt; 0.25</w:t>
            </w:r>
          </w:p>
        </w:tc>
        <w:tc>
          <w:tcPr>
            <w:tcW w:type="dxa" w:w="2880"/>
          </w:tcPr>
          <w:p>
            <w:r>
              <w:t>Maintain current approach</w:t>
            </w:r>
          </w:p>
        </w:tc>
      </w:tr>
    </w:tbl>
    <w:p>
      <w:r>
        <w:br w:type="page"/>
      </w:r>
    </w:p>
    <w:p>
      <w:pPr>
        <w:pStyle w:val="Heading1"/>
      </w:pPr>
      <w:r>
        <w:t>3. Key Findings</w:t>
      </w:r>
    </w:p>
    <w:p>
      <w:pPr>
        <w:pStyle w:val="Heading2"/>
      </w:pPr>
      <w:r>
        <w:t>3.1 Network-Level Risk Distribution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 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Length (km)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of Network</w:t>
            </w:r>
          </w:p>
        </w:tc>
      </w:tr>
      <w:tr>
        <w:tc>
          <w:tcPr>
            <w:tcW w:type="dxa" w:w="2880"/>
          </w:tcPr>
          <w:p>
            <w:r>
              <w:t>Critical — Immediate Review</w:t>
            </w:r>
          </w:p>
        </w:tc>
        <w:tc>
          <w:tcPr>
            <w:tcW w:type="dxa" w:w="2880"/>
          </w:tcPr>
          <w:p>
            <w:r>
              <w:t>11,445</w:t>
            </w:r>
          </w:p>
        </w:tc>
        <w:tc>
          <w:tcPr>
            <w:tcW w:type="dxa" w:w="2880"/>
          </w:tcPr>
          <w:p>
            <w:r>
              <w:t>12.2%</w:t>
            </w:r>
          </w:p>
        </w:tc>
      </w:tr>
      <w:tr>
        <w:tc>
          <w:tcPr>
            <w:tcW w:type="dxa" w:w="2880"/>
          </w:tcPr>
          <w:p>
            <w:r>
              <w:t>High — Priority Review</w:t>
            </w:r>
          </w:p>
        </w:tc>
        <w:tc>
          <w:tcPr>
            <w:tcW w:type="dxa" w:w="2880"/>
          </w:tcPr>
          <w:p>
            <w:r>
              <w:t>19,313</w:t>
            </w:r>
          </w:p>
        </w:tc>
        <w:tc>
          <w:tcPr>
            <w:tcW w:type="dxa" w:w="2880"/>
          </w:tcPr>
          <w:p>
            <w:r>
              <w:t>20.7%</w:t>
            </w:r>
          </w:p>
        </w:tc>
      </w:tr>
      <w:tr>
        <w:tc>
          <w:tcPr>
            <w:tcW w:type="dxa" w:w="2880"/>
          </w:tcPr>
          <w:p>
            <w:r>
              <w:t>Moderate — Scheduled Review</w:t>
            </w:r>
          </w:p>
        </w:tc>
        <w:tc>
          <w:tcPr>
            <w:tcW w:type="dxa" w:w="2880"/>
          </w:tcPr>
          <w:p>
            <w:r>
              <w:t>25,499</w:t>
            </w:r>
          </w:p>
        </w:tc>
        <w:tc>
          <w:tcPr>
            <w:tcW w:type="dxa" w:w="2880"/>
          </w:tcPr>
          <w:p>
            <w:r>
              <w:t>27.3%</w:t>
            </w:r>
          </w:p>
        </w:tc>
      </w:tr>
      <w:tr>
        <w:tc>
          <w:tcPr>
            <w:tcW w:type="dxa" w:w="2880"/>
          </w:tcPr>
          <w:p>
            <w:r>
              <w:t>Low — Monitor</w:t>
            </w:r>
          </w:p>
        </w:tc>
        <w:tc>
          <w:tcPr>
            <w:tcW w:type="dxa" w:w="2880"/>
          </w:tcPr>
          <w:p>
            <w:r>
              <w:t>37,253</w:t>
            </w:r>
          </w:p>
        </w:tc>
        <w:tc>
          <w:tcPr>
            <w:tcW w:type="dxa" w:w="2880"/>
          </w:tcPr>
          <w:p>
            <w:r>
              <w:t>39.8%</w:t>
            </w:r>
          </w:p>
        </w:tc>
      </w:tr>
    </w:tbl>
    <w:p>
      <w:r>
        <w:t>Mean network score: 0.415 (moderate risk)</w:t>
      </w:r>
    </w:p>
    <w:p>
      <w:pPr>
        <w:pStyle w:val="Heading2"/>
      </w:pPr>
      <w:r>
        <w:t>3.2 Critical Findings</w:t>
      </w:r>
    </w:p>
    <w:p>
      <w:pPr>
        <w:pStyle w:val="ListBullet"/>
      </w:pPr>
      <w:r>
        <w:t>Speed limits are systematically too high. 77.9% of segments have posted limits exceeding Safe System recommendations. Average limit misalignment: 13 km/h on urban primary roads.</w:t>
      </w:r>
    </w:p>
    <w:p>
      <w:pPr>
        <w:pStyle w:val="ListBullet"/>
      </w:pPr>
      <w:r>
        <w:t>Traffic routinely exceeds survivable speeds. On 76.6% of segments, 85th percentile operating speeds exceed Safe System thresholds. The average operating gap on Critical segments is 38 km/h — a pedestrian struck at this speed faces near-certain fatality.</w:t>
      </w:r>
    </w:p>
    <w:p>
      <w:pPr>
        <w:pStyle w:val="ListBullet"/>
      </w:pPr>
      <w:r>
        <w:t>Secondary urban roads are the most dangerous category. These roads (mixed-use with foot traffic and shops) have a Safe System limit of 30 km/h but carry posted limits of 50–60 km/h and actual speeds above 60 km/h.</w:t>
      </w:r>
    </w:p>
    <w:p>
      <w:pPr>
        <w:pStyle w:val="ListBullet"/>
      </w:pPr>
      <w:r>
        <w:t>VRU exposure amplifies risk. 35% of segments have high VRU exposure scores (&gt;0.6), concentrated in urban areas near schools and markets.</w:t>
      </w:r>
    </w:p>
    <w:p>
      <w:pPr>
        <w:pStyle w:val="Heading2"/>
      </w:pPr>
      <w:r>
        <w:t>3.3 Regional Findings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Thailand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Maharashtra</w:t>
            </w:r>
          </w:p>
        </w:tc>
      </w:tr>
      <w:tr>
        <w:tc>
          <w:tcPr>
            <w:tcW w:type="dxa" w:w="2880"/>
          </w:tcPr>
          <w:p>
            <w:r>
              <w:t>Total segments analyzed</w:t>
            </w:r>
          </w:p>
        </w:tc>
        <w:tc>
          <w:tcPr>
            <w:tcW w:type="dxa" w:w="2880"/>
          </w:tcPr>
          <w:p>
            <w:r>
              <w:t>9,732</w:t>
            </w:r>
          </w:p>
        </w:tc>
        <w:tc>
          <w:tcPr>
            <w:tcW w:type="dxa" w:w="2880"/>
          </w:tcPr>
          <w:p>
            <w:r>
              <w:t>5,061</w:t>
            </w:r>
          </w:p>
        </w:tc>
      </w:tr>
      <w:tr>
        <w:tc>
          <w:tcPr>
            <w:tcW w:type="dxa" w:w="2880"/>
          </w:tcPr>
          <w:p>
            <w:r>
              <w:t>Mean Speed Safety Score</w:t>
            </w:r>
          </w:p>
        </w:tc>
        <w:tc>
          <w:tcPr>
            <w:tcW w:type="dxa" w:w="2880"/>
          </w:tcPr>
          <w:p>
            <w:r>
              <w:t>0.428</w:t>
            </w:r>
          </w:p>
        </w:tc>
        <w:tc>
          <w:tcPr>
            <w:tcW w:type="dxa" w:w="2880"/>
          </w:tcPr>
          <w:p>
            <w:r>
              <w:t>0.395</w:t>
            </w:r>
          </w:p>
        </w:tc>
      </w:tr>
    </w:tbl>
    <w:p>
      <w:r>
        <w:br w:type="page"/>
      </w:r>
    </w:p>
    <w:p>
      <w:pPr>
        <w:pStyle w:val="Heading1"/>
      </w:pPr>
      <w:r>
        <w:t>4. Policy Recommendations</w:t>
      </w:r>
    </w:p>
    <w:p>
      <w:pPr>
        <w:pStyle w:val="Heading2"/>
      </w:pPr>
      <w:r>
        <w:t>4.1 Immediate Priorities (Critical Tier — 11,445 km)</w:t>
      </w:r>
    </w:p>
    <w:p>
      <w:pPr>
        <w:pStyle w:val="ListBullet"/>
      </w:pPr>
      <w:r>
        <w:t>Audit posted speed limits on all Critical segments. Many carry limits 20–40 km/h above Safe System recommendations. Lowering limits is the fastest, lowest-cost intervention.</w:t>
      </w:r>
    </w:p>
    <w:p>
      <w:pPr>
        <w:pStyle w:val="ListBullet"/>
      </w:pPr>
      <w:r>
        <w:t>Deploy traffic calming on secondary urban roads with operating speeds &gt;50 km/h. Speed humps, raised crossings, and lane narrowing reduce speeds by 10–15 km/h.</w:t>
      </w:r>
    </w:p>
    <w:p>
      <w:pPr>
        <w:pStyle w:val="ListBullet"/>
      </w:pPr>
      <w:r>
        <w:t>Prioritize pedestrian crossings at VRU-critical segments near schools and markets (marked crossings, pedestrian refuges, signalised crossings).</w:t>
      </w:r>
    </w:p>
    <w:p>
      <w:pPr>
        <w:pStyle w:val="Heading2"/>
      </w:pPr>
      <w:r>
        <w:t>4.2 Medium-Term Actions (High Tier — 19,313 km)</w:t>
      </w:r>
    </w:p>
    <w:p>
      <w:pPr>
        <w:pStyle w:val="ListBullet"/>
      </w:pPr>
      <w:r>
        <w:t>Reclassify road hierarchies where the posted limit and road function are mismatched.</w:t>
      </w:r>
    </w:p>
    <w:p>
      <w:pPr>
        <w:pStyle w:val="ListBullet"/>
      </w:pPr>
      <w:r>
        <w:t>Strengthen enforcement with automated speed cameras where operating speeds exceed posted limits by &gt;15 km/h.</w:t>
      </w:r>
    </w:p>
    <w:p>
      <w:pPr>
        <w:pStyle w:val="ListBullet"/>
      </w:pPr>
      <w:r>
        <w:t>Integrate VRU risk into road design standards — high-VRU segments should trigger protected pedestrian infrastructure in any redesign.</w:t>
      </w:r>
    </w:p>
    <w:p>
      <w:pPr>
        <w:pStyle w:val="Heading2"/>
      </w:pPr>
      <w:r>
        <w:t>4.3 Systemic Changes</w:t>
      </w:r>
    </w:p>
    <w:p>
      <w:pPr>
        <w:pStyle w:val="ListBullet"/>
      </w:pPr>
      <w:r>
        <w:t>Adopt Safe System speed limits as the national default (e.g., all urban secondary roads default to 30 km/h).</w:t>
      </w:r>
    </w:p>
    <w:p>
      <w:pPr>
        <w:pStyle w:val="ListBullet"/>
      </w:pPr>
      <w:r>
        <w:t>Build a data-driven speed management program — run the RoadSense pipeline quarterly to track changes and evaluate interventions.</w:t>
      </w:r>
    </w:p>
    <w:p>
      <w:pPr>
        <w:pStyle w:val="ListBullet"/>
      </w:pPr>
      <w:r>
        <w:t>Expand data collection: pedestrian and cyclist counts at VRU-critical locations, street-level imagery collection, and crash data integration.</w:t>
      </w:r>
    </w:p>
    <w:p>
      <w:r>
        <w:br w:type="page"/>
      </w:r>
    </w:p>
    <w:p>
      <w:pPr>
        <w:pStyle w:val="Heading1"/>
      </w:pPr>
      <w:r>
        <w:t>5. Replication in Data-Scarce Countries</w:t>
      </w:r>
    </w:p>
    <w:p>
      <w:r>
        <w:t>The RoadSense methodology is designed for replication across Asia-Pacific. Key adaptations: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 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If Unavailable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Alternative</w:t>
            </w:r>
          </w:p>
        </w:tc>
      </w:tr>
      <w:tr>
        <w:tc>
          <w:tcPr>
            <w:tcW w:type="dxa" w:w="2880"/>
          </w:tcPr>
          <w:p>
            <w:r>
              <w:t>GPS probe data</w:t>
            </w:r>
          </w:p>
        </w:tc>
        <w:tc>
          <w:tcPr>
            <w:tcW w:type="dxa" w:w="2880"/>
          </w:tcPr>
          <w:p>
            <w:r>
              <w:t>Many LMICs lack probe data</w:t>
            </w:r>
          </w:p>
        </w:tc>
        <w:tc>
          <w:tcPr>
            <w:tcW w:type="dxa" w:w="2880"/>
          </w:tcPr>
          <w:p>
            <w:r>
              <w:t>Use OSM road classification + design speed as proxy</w:t>
            </w:r>
          </w:p>
        </w:tc>
      </w:tr>
      <w:tr>
        <w:tc>
          <w:tcPr>
            <w:tcW w:type="dxa" w:w="2880"/>
          </w:tcPr>
          <w:p>
            <w:r>
              <w:t>Mapillary imagery</w:t>
            </w:r>
          </w:p>
        </w:tc>
        <w:tc>
          <w:tcPr>
            <w:tcW w:type="dxa" w:w="2880"/>
          </w:tcPr>
          <w:p>
            <w:r>
              <w:t>Limited coverage</w:t>
            </w:r>
          </w:p>
        </w:tc>
        <w:tc>
          <w:tcPr>
            <w:tcW w:type="dxa" w:w="2880"/>
          </w:tcPr>
          <w:p>
            <w:r>
              <w:t>CLIP zero-shot classification on available street photos</w:t>
            </w:r>
          </w:p>
        </w:tc>
      </w:tr>
      <w:tr>
        <w:tc>
          <w:tcPr>
            <w:tcW w:type="dxa" w:w="2880"/>
          </w:tcPr>
          <w:p>
            <w:r>
              <w:t>Official speed limits</w:t>
            </w:r>
          </w:p>
        </w:tc>
        <w:tc>
          <w:tcPr>
            <w:tcW w:type="dxa" w:w="2880"/>
          </w:tcPr>
          <w:p>
            <w:r>
              <w:t>Not digitised</w:t>
            </w:r>
          </w:p>
        </w:tc>
        <w:tc>
          <w:tcPr>
            <w:tcW w:type="dxa" w:w="2880"/>
          </w:tcPr>
          <w:p>
            <w:r>
              <w:t>Extract from OSM maxspeed tags (~40% coverage in most countries)</w:t>
            </w:r>
          </w:p>
        </w:tc>
      </w:tr>
      <w:tr>
        <w:tc>
          <w:tcPr>
            <w:tcW w:type="dxa" w:w="2880"/>
          </w:tcPr>
          <w:p>
            <w:r>
              <w:t>POIs (schools, markets)</w:t>
            </w:r>
          </w:p>
        </w:tc>
        <w:tc>
          <w:tcPr>
            <w:tcW w:type="dxa" w:w="2880"/>
          </w:tcPr>
          <w:p>
            <w:r>
              <w:t>Always available via OSM</w:t>
            </w:r>
          </w:p>
        </w:tc>
        <w:tc>
          <w:tcPr>
            <w:tcW w:type="dxa" w:w="2880"/>
          </w:tcPr>
          <w:p>
            <w:r>
              <w:t>Overpass API provides global coverage at no cost</w:t>
            </w:r>
          </w:p>
        </w:tc>
      </w:tr>
      <w:tr>
        <w:tc>
          <w:tcPr>
            <w:tcW w:type="dxa" w:w="2880"/>
          </w:tcPr>
          <w:p>
            <w:r>
              <w:t>Traffic volume data</w:t>
            </w:r>
          </w:p>
        </w:tc>
        <w:tc>
          <w:tcPr>
            <w:tcW w:type="dxa" w:w="2880"/>
          </w:tcPr>
          <w:p>
            <w:r>
              <w:t>No volume data</w:t>
            </w:r>
          </w:p>
        </w:tc>
        <w:tc>
          <w:tcPr>
            <w:tcW w:type="dxa" w:w="2880"/>
          </w:tcPr>
          <w:p>
            <w:r>
              <w:t>Remove Volume component; redistribute weight to other factors</w:t>
            </w:r>
          </w:p>
        </w:tc>
      </w:tr>
    </w:tbl>
    <w:p/>
    <w:p>
      <w:r>
        <w:t>Minimal viable deployment requires only: OSM road network, OSM speed limit tags, OSM points of interest, and any available speed data (even 50 spot speed measurements can calibrate the model).</w:t>
      </w:r>
    </w:p>
    <w:p>
      <w:pPr>
        <w:pStyle w:val="Heading1"/>
      </w:pPr>
      <w:r>
        <w:t>6. Validation &amp; Limitations</w:t>
      </w:r>
    </w:p>
    <w:p>
      <w:pPr>
        <w:pStyle w:val="Heading2"/>
      </w:pPr>
      <w:r>
        <w:t>Validation</w:t>
      </w:r>
    </w:p>
    <w:p>
      <w:pPr>
        <w:pStyle w:val="ListBullet"/>
      </w:pPr>
      <w:r>
        <w:t>Internal consistency: Both scoring approaches produce correlated rankings (r &gt; 0.85), confirming robustness to weighting choices.</w:t>
      </w:r>
    </w:p>
    <w:p>
      <w:pPr>
        <w:pStyle w:val="ListBullet"/>
      </w:pPr>
      <w:r>
        <w:t>Spatial autocorrelation: Moran's I confirms high-risk segments cluster spatially (p &lt; 0.01), validating the score captures genuine geographic patterns.</w:t>
      </w:r>
    </w:p>
    <w:p>
      <w:pPr>
        <w:pStyle w:val="ListBullet"/>
      </w:pPr>
      <w:r>
        <w:t>Sensitivity analysis: Varying component weights by ±10% preserves &gt;95% of tier classifications.</w:t>
      </w:r>
    </w:p>
    <w:p>
      <w:pPr>
        <w:pStyle w:val="Heading2"/>
      </w:pPr>
      <w:r>
        <w:t>Limitations</w:t>
      </w:r>
    </w:p>
    <w:p>
      <w:pPr>
        <w:pStyle w:val="ListBullet"/>
      </w:pPr>
      <w:r>
        <w:t>No crash data validation. The score measures risk factors (speed, exposure, infrastructure proxies) rather than observed crashes — a deliberate Safe System design choice.</w:t>
      </w:r>
    </w:p>
    <w:p>
      <w:pPr>
        <w:pStyle w:val="ListBullet"/>
      </w:pPr>
      <w:r>
        <w:t>Imagery coverage gaps. Module C relies on infrastructure proxies rather than actual infrastructure detection. Full Mapillary/CLIP integration would improve accuracy.</w:t>
      </w:r>
    </w:p>
    <w:p>
      <w:pPr>
        <w:pStyle w:val="ListBullet"/>
      </w:pPr>
      <w:r>
        <w:t>Sample size bias. Segments with &lt;500 observations are excluded, potentially biasing toward higher-volume roads.</w:t>
      </w:r>
    </w:p>
    <w:p>
      <w:pPr>
        <w:pStyle w:val="ListBullet"/>
      </w:pPr>
      <w:r>
        <w:t>Single time period. Seasonal and temporal speed/volume variations are not captured.</w:t>
      </w:r>
    </w:p>
    <w:p>
      <w:pPr>
        <w:pStyle w:val="Heading1"/>
      </w:pPr>
      <w:r>
        <w:t>References</w:t>
      </w:r>
    </w:p>
    <w:p>
      <w:pPr>
        <w:pStyle w:val="ListNumber"/>
      </w:pPr>
      <w:r>
        <w:t>World Health Organization. (2021). Global Plan for the Decade of Action for Road Safety 2021–2030. Geneva: WHO.</w:t>
      </w:r>
    </w:p>
    <w:p>
      <w:pPr>
        <w:pStyle w:val="ListNumber"/>
      </w:pPr>
      <w:r>
        <w:t>ITF/OECD. (2018). Speed and Crash Risk. International Transport Forum Research Report. Paris: OECD Publishing.</w:t>
      </w:r>
    </w:p>
    <w:p>
      <w:pPr>
        <w:pStyle w:val="ListNumber"/>
      </w:pPr>
      <w:r>
        <w:t>Asian Development Bank. (2026). AI for Safer Roads 2026 — Speed and Volume Data for Thailand and Maharashtra.</w:t>
      </w:r>
    </w:p>
    <w:p>
      <w:pPr>
        <w:pStyle w:val="ListNumber"/>
      </w:pPr>
      <w:r>
        <w:t>OpenStreetMap contributors. (2026). Planet dump. https://planet.openstreetmap.org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