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  <w:spacing w:before="360" w:after="120"/>
      </w:pPr>
      <w:r>
        <w:rPr>
          <w:rFonts w:ascii="Calibri" w:hAnsi="Calibri"/>
          <w:b/>
          <w:color w:val="1B365D"/>
          <w:sz w:val="36"/>
        </w:rPr>
        <w:t>RoadSense: Speed Safety Score for Safer Roads</w:t>
      </w:r>
    </w:p>
    <w:p>
      <w:pPr>
        <w:pStyle w:val="Heading2"/>
        <w:keepNext/>
        <w:spacing w:before="280" w:after="80"/>
      </w:pPr>
      <w:r>
        <w:rPr>
          <w:rFonts w:ascii="Calibri" w:hAnsi="Calibri"/>
          <w:b/>
          <w:color w:val="2E5B88"/>
          <w:sz w:val="28"/>
        </w:rPr>
        <w:t>Findings Summary</w:t>
      </w:r>
    </w:p>
    <w:p>
      <w:pPr>
        <w:spacing w:after="120" w:line="276" w:lineRule="auto"/>
      </w:pPr>
      <w:r/>
      <w:r>
        <w:rPr>
          <w:b/>
        </w:rPr>
        <w:t>Prepared for:</w:t>
      </w:r>
      <w:r>
        <w:t xml:space="preserve"> ADB AI for Safer Roads Innovation Challenge</w:t>
      </w:r>
    </w:p>
    <w:p>
      <w:pPr>
        <w:spacing w:after="120" w:line="276" w:lineRule="auto"/>
      </w:pPr>
      <w:r/>
      <w:r>
        <w:rPr>
          <w:b/>
        </w:rPr>
        <w:t>Team:</w:t>
      </w:r>
      <w:r>
        <w:t xml:space="preserve"> Neuron Nexus</w:t>
      </w:r>
    </w:p>
    <w:p>
      <w:pPr>
        <w:spacing w:after="120" w:line="276" w:lineRule="auto"/>
      </w:pPr>
      <w:r/>
      <w:r>
        <w:rPr>
          <w:b/>
        </w:rPr>
        <w:t>Date:</w:t>
      </w:r>
      <w:r>
        <w:t xml:space="preserve"> June 2026</w:t>
      </w:r>
    </w:p>
    <w:p>
      <w:pPr>
        <w:spacing w:before="120" w:after="120"/>
        <w:ind w:left="576"/>
      </w:pPr>
      <w:r>
        <w:rPr>
          <w:i/>
          <w:color w:val="666666"/>
        </w:rPr>
        <w:t>**Note on data:** The numbers in this report (14,793 segments, 11,445 km Critical, etc.) are from the full ADB challenge dataset. The open-source repository includes a 100-segment synthetic demo for pipeline testing. See `data/raw/README.md` for details.</w:t>
      </w:r>
    </w:p>
    <w:p>
      <w:r>
        <w:br w:type="page"/>
      </w:r>
    </w:p>
    <w:p>
      <w:pPr>
        <w:pStyle w:val="Heading2"/>
        <w:keepNext/>
        <w:spacing w:before="280" w:after="80"/>
      </w:pPr>
      <w:r>
        <w:rPr>
          <w:rFonts w:ascii="Calibri" w:hAnsi="Calibri"/>
          <w:b/>
          <w:color w:val="2E5B88"/>
          <w:sz w:val="28"/>
        </w:rPr>
        <w:t>1. Executive Summary</w:t>
      </w:r>
    </w:p>
    <w:p>
      <w:pPr>
        <w:spacing w:after="120" w:line="276" w:lineRule="auto"/>
      </w:pPr>
      <w:r>
        <w:t>RoadSense analyzes 14,793 road segments across Thailand and Maharashtra using GPS probe data, road network geometry, and street-level imagery to produce a Speed Safety Score (0–1) for every segment. The score measures how well posted speed limits align with the Safe System approach — the principle that human bodies can only withstand impact speeds of 30–50 km/h depending on road context.</w:t>
      </w:r>
    </w:p>
    <w:p>
      <w:pPr>
        <w:spacing w:after="120" w:line="276" w:lineRule="auto"/>
      </w:pPr>
      <w:r/>
      <w:r>
        <w:rPr>
          <w:b/>
        </w:rPr>
        <w:t>Key finding:</w:t>
      </w:r>
      <w:r>
        <w:t xml:space="preserve"> 77.9% of road segments have mean operating speeds above the Safe System threshold for their road type and land use. 12.2% of network length (11,445 km) is classified Critical — requiring immediate intervention. Secondary urban roads in both countries are the most dangerous category, with mean operating gaps exceeding 20 km/h above survivable impact speeds.</w:t>
      </w:r>
    </w:p>
    <w:p>
      <w:r>
        <w:br w:type="page"/>
      </w:r>
    </w:p>
    <w:p>
      <w:pPr>
        <w:pStyle w:val="Heading2"/>
        <w:keepNext/>
        <w:spacing w:before="280" w:after="80"/>
      </w:pPr>
      <w:r>
        <w:rPr>
          <w:rFonts w:ascii="Calibri" w:hAnsi="Calibri"/>
          <w:b/>
          <w:color w:val="2E5B88"/>
          <w:sz w:val="28"/>
        </w:rPr>
        <w:t>2. Methodology Overview</w:t>
      </w:r>
    </w:p>
    <w:p>
      <w:pPr>
        <w:spacing w:after="120" w:line="276" w:lineRule="auto"/>
      </w:pPr>
      <w:r>
        <w:t>RoadSense evaluates speed safety using two complementary approaches:</w:t>
      </w:r>
    </w:p>
    <w:p>
      <w:pPr>
        <w:pStyle w:val="Heading3"/>
        <w:keepNext/>
        <w:spacing w:before="200" w:after="40"/>
      </w:pPr>
      <w:r>
        <w:rPr>
          <w:rFonts w:ascii="Calibri" w:hAnsi="Calibri"/>
          <w:b/>
          <w:color w:val="555555"/>
          <w:sz w:val="24"/>
        </w:rPr>
        <w:t>4-Component Composite Score</w:t>
      </w:r>
    </w:p>
    <w:p>
      <w:pPr>
        <w:spacing w:after="120" w:line="276" w:lineRule="auto"/>
      </w:pPr>
      <w:r>
        <w:t>Computes a weighted average of four risk factors:</w:t>
      </w:r>
    </w:p>
    <w:p>
      <w:pPr>
        <w:pStyle w:val="ListBullet"/>
        <w:spacing w:after="60"/>
      </w:pPr>
      <w:r/>
      <w:r>
        <w:rPr>
          <w:b/>
        </w:rPr>
        <w:t>Limit Misalignment (30%):</w:t>
      </w:r>
      <w:r>
        <w:t xml:space="preserve"> Excess posted speed limit above Safe System recommendations.</w:t>
      </w:r>
    </w:p>
    <w:p>
      <w:pPr>
        <w:pStyle w:val="ListBullet"/>
        <w:spacing w:after="60"/>
      </w:pPr>
      <w:r/>
      <w:r>
        <w:rPr>
          <w:b/>
        </w:rPr>
        <w:t>Operating Speed Risk (30%):</w:t>
      </w:r>
      <w:r>
        <w:t xml:space="preserve"> Excess operating speed (85th percentile) above Safe System thresholds.</w:t>
      </w:r>
    </w:p>
    <w:p>
      <w:pPr>
        <w:pStyle w:val="ListBullet"/>
        <w:spacing w:after="60"/>
      </w:pPr>
      <w:r/>
      <w:r>
        <w:rPr>
          <w:b/>
        </w:rPr>
        <w:t>VRU Exposure (25%):</w:t>
      </w:r>
      <w:r>
        <w:t xml:space="preserve"> Pedestrian fatality risk calibrated to operating speed and POI proximity.</w:t>
      </w:r>
    </w:p>
    <w:p>
      <w:pPr>
        <w:pStyle w:val="ListBullet"/>
        <w:spacing w:after="60"/>
      </w:pPr>
      <w:r/>
      <w:r>
        <w:rPr>
          <w:b/>
        </w:rPr>
        <w:t>Traffic Volume (15%):</w:t>
      </w:r>
      <w:r>
        <w:t xml:space="preserve"> Normalized traffic volume percentile.</w:t>
      </w:r>
    </w:p>
    <w:p>
      <w:pPr>
        <w:pStyle w:val="Heading3"/>
        <w:keepNext/>
        <w:spacing w:before="200" w:after="40"/>
      </w:pPr>
      <w:r>
        <w:rPr>
          <w:rFonts w:ascii="Calibri" w:hAnsi="Calibri"/>
          <w:b/>
          <w:color w:val="555555"/>
          <w:sz w:val="24"/>
        </w:rPr>
        <w:t>3-Module RoadSense Score</w:t>
      </w:r>
    </w:p>
    <w:p>
      <w:pPr>
        <w:spacing w:after="120" w:line="276" w:lineRule="auto"/>
      </w:pPr>
      <w:r>
        <w:t>A modular index grouping risk by context:</w:t>
      </w:r>
    </w:p>
    <w:p>
      <w:pPr>
        <w:pStyle w:val="ListBullet"/>
        <w:spacing w:after="60"/>
      </w:pPr>
      <w:r/>
      <w:r>
        <w:rPr>
          <w:b/>
        </w:rPr>
        <w:t>Module A — Speed Alignment (35%):</w:t>
      </w:r>
      <w:r>
        <w:t xml:space="preserve"> Combines limit misalignment and operating speed risk.</w:t>
      </w:r>
    </w:p>
    <w:p>
      <w:pPr>
        <w:pStyle w:val="ListBullet"/>
        <w:spacing w:after="60"/>
      </w:pPr>
      <w:r/>
      <w:r>
        <w:rPr>
          <w:b/>
        </w:rPr>
        <w:t>Module B — VRU Exposure (35%):</w:t>
      </w:r>
      <w:r>
        <w:t xml:space="preserve"> Models pedestrian, cyclist, and powered two-wheeler exposure.</w:t>
      </w:r>
    </w:p>
    <w:p>
      <w:pPr>
        <w:pStyle w:val="ListBullet"/>
        <w:spacing w:after="60"/>
      </w:pPr>
      <w:r/>
      <w:r>
        <w:rPr>
          <w:b/>
        </w:rPr>
        <w:t>Module C — Road Environment (30%):</w:t>
      </w:r>
      <w:r>
        <w:t xml:space="preserve"> Captures static infrastructure gap proxy and speed mismatch.</w:t>
      </w:r>
    </w:p>
    <w:p>
      <w:pPr>
        <w:spacing w:after="120" w:line="276" w:lineRule="auto"/>
      </w:pPr>
      <w:r>
        <w:t>Both approaches produce scores in [0, 1] classified into four tiers: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insideH w:val="single" w:sz="4" w:space="0" w:color="E0E0E0"/>
          <w:left w:val="none"/>
          <w:right w:val="none"/>
          <w:insideV w:val="none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1B365D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80" w:after="80"/>
            </w:pPr>
            <w:r/>
            <w:r>
              <w:rPr>
                <w:rFonts w:ascii="Calibri" w:hAnsi="Calibri"/>
                <w:b/>
                <w:color w:val="FFFFFF"/>
                <w:sz w:val="21"/>
              </w:rPr>
              <w:t>Tier</w:t>
            </w:r>
          </w:p>
        </w:tc>
        <w:tc>
          <w:tcPr>
            <w:tcW w:type="dxa" w:w="3120"/>
            <w:shd w:fill="1B365D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80" w:after="80"/>
            </w:pPr>
            <w:r/>
            <w:r>
              <w:rPr>
                <w:rFonts w:ascii="Calibri" w:hAnsi="Calibri"/>
                <w:b/>
                <w:color w:val="FFFFFF"/>
                <w:sz w:val="21"/>
              </w:rPr>
              <w:t>Score Range</w:t>
            </w:r>
          </w:p>
        </w:tc>
        <w:tc>
          <w:tcPr>
            <w:tcW w:type="dxa" w:w="3120"/>
            <w:shd w:fill="1B365D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80" w:after="80"/>
            </w:pPr>
            <w:r/>
            <w:r>
              <w:rPr>
                <w:rFonts w:ascii="Calibri" w:hAnsi="Calibri"/>
                <w:b/>
                <w:color w:val="FFFFFF"/>
                <w:sz w:val="21"/>
              </w:rPr>
              <w:t>Action Required</w:t>
            </w:r>
          </w:p>
        </w:tc>
      </w:tr>
      <w:tr>
        <w:tc>
          <w:tcPr>
            <w:tcW w:type="dxa" w:w="3120"/>
            <w:shd w:fill="F5F7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80" w:after="80"/>
            </w:pPr>
            <w:r/>
            <w:r>
              <w:rPr>
                <w:rFonts w:ascii="Calibri" w:hAnsi="Calibri"/>
                <w:sz w:val="20"/>
              </w:rPr>
              <w:t>Critical</w:t>
            </w:r>
          </w:p>
        </w:tc>
        <w:tc>
          <w:tcPr>
            <w:tcW w:type="dxa" w:w="3120"/>
            <w:shd w:fill="F5F7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80" w:after="80"/>
            </w:pPr>
            <w:r/>
            <w:r>
              <w:rPr>
                <w:rFonts w:ascii="Calibri" w:hAnsi="Calibri"/>
                <w:sz w:val="20"/>
              </w:rPr>
              <w:t>≥ 0.65</w:t>
            </w:r>
          </w:p>
        </w:tc>
        <w:tc>
          <w:tcPr>
            <w:tcW w:type="dxa" w:w="3120"/>
            <w:shd w:fill="F5F7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80" w:after="80"/>
            </w:pPr>
            <w:r/>
            <w:r>
              <w:rPr>
                <w:rFonts w:ascii="Calibri" w:hAnsi="Calibri"/>
                <w:sz w:val="20"/>
              </w:rPr>
              <w:t>Immediate Safe System intervention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80" w:after="80"/>
            </w:pPr>
            <w:r/>
            <w:r>
              <w:rPr>
                <w:rFonts w:ascii="Calibri" w:hAnsi="Calibri"/>
                <w:sz w:val="20"/>
              </w:rPr>
              <w:t>High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80" w:after="80"/>
            </w:pPr>
            <w:r/>
            <w:r>
              <w:rPr>
                <w:rFonts w:ascii="Calibri" w:hAnsi="Calibri"/>
                <w:sz w:val="20"/>
              </w:rPr>
              <w:t>0.45 – 0.65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80" w:after="80"/>
            </w:pPr>
            <w:r/>
            <w:r>
              <w:rPr>
                <w:rFonts w:ascii="Calibri" w:hAnsi="Calibri"/>
                <w:sz w:val="20"/>
              </w:rPr>
              <w:t>Priority review and countermeasure design</w:t>
            </w:r>
          </w:p>
        </w:tc>
      </w:tr>
      <w:tr>
        <w:tc>
          <w:tcPr>
            <w:tcW w:type="dxa" w:w="3120"/>
            <w:shd w:fill="F5F7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80" w:after="80"/>
            </w:pPr>
            <w:r/>
            <w:r>
              <w:rPr>
                <w:rFonts w:ascii="Calibri" w:hAnsi="Calibri"/>
                <w:sz w:val="20"/>
              </w:rPr>
              <w:t>Moderate</w:t>
            </w:r>
          </w:p>
        </w:tc>
        <w:tc>
          <w:tcPr>
            <w:tcW w:type="dxa" w:w="3120"/>
            <w:shd w:fill="F5F7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80" w:after="80"/>
            </w:pPr>
            <w:r/>
            <w:r>
              <w:rPr>
                <w:rFonts w:ascii="Calibri" w:hAnsi="Calibri"/>
                <w:sz w:val="20"/>
              </w:rPr>
              <w:t>0.25 – 0.45</w:t>
            </w:r>
          </w:p>
        </w:tc>
        <w:tc>
          <w:tcPr>
            <w:tcW w:type="dxa" w:w="3120"/>
            <w:shd w:fill="F5F7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80" w:after="80"/>
            </w:pPr>
            <w:r/>
            <w:r>
              <w:rPr>
                <w:rFonts w:ascii="Calibri" w:hAnsi="Calibri"/>
                <w:sz w:val="20"/>
              </w:rPr>
              <w:t>Scheduled review and monitoring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80" w:after="80"/>
            </w:pPr>
            <w:r/>
            <w:r>
              <w:rPr>
                <w:rFonts w:ascii="Calibri" w:hAnsi="Calibri"/>
                <w:sz w:val="20"/>
              </w:rPr>
              <w:t>Low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80" w:after="80"/>
            </w:pPr>
            <w:r/>
            <w:r>
              <w:rPr>
                <w:rFonts w:ascii="Calibri" w:hAnsi="Calibri"/>
                <w:sz w:val="20"/>
              </w:rPr>
              <w:t>&lt; 0.25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80" w:after="80"/>
            </w:pPr>
            <w:r/>
            <w:r>
              <w:rPr>
                <w:rFonts w:ascii="Calibri" w:hAnsi="Calibri"/>
                <w:sz w:val="20"/>
              </w:rPr>
              <w:t>Maintain current approach</w:t>
            </w:r>
          </w:p>
        </w:tc>
      </w:tr>
    </w:tbl>
    <w:p>
      <w:r>
        <w:br w:type="page"/>
      </w:r>
    </w:p>
    <w:p>
      <w:pPr>
        <w:pStyle w:val="Heading2"/>
        <w:keepNext/>
        <w:spacing w:before="280" w:after="80"/>
      </w:pPr>
      <w:r>
        <w:rPr>
          <w:rFonts w:ascii="Calibri" w:hAnsi="Calibri"/>
          <w:b/>
          <w:color w:val="2E5B88"/>
          <w:sz w:val="28"/>
        </w:rPr>
        <w:t>3. Key Findings</w:t>
      </w:r>
    </w:p>
    <w:p>
      <w:pPr>
        <w:pStyle w:val="Heading3"/>
        <w:keepNext/>
        <w:spacing w:before="200" w:after="40"/>
      </w:pPr>
      <w:r>
        <w:rPr>
          <w:rFonts w:ascii="Calibri" w:hAnsi="Calibri"/>
          <w:b/>
          <w:color w:val="555555"/>
          <w:sz w:val="24"/>
        </w:rPr>
        <w:t>3.1 Network-Level Risk Distribution (4-Component)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insideH w:val="single" w:sz="4" w:space="0" w:color="E0E0E0"/>
          <w:left w:val="none"/>
          <w:right w:val="none"/>
          <w:insideV w:val="none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1B365D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80" w:after="80"/>
            </w:pPr>
            <w:r/>
            <w:r>
              <w:rPr>
                <w:rFonts w:ascii="Calibri" w:hAnsi="Calibri"/>
                <w:b/>
                <w:color w:val="FFFFFF"/>
                <w:sz w:val="21"/>
              </w:rPr>
              <w:t>Risk Tier</w:t>
            </w:r>
          </w:p>
        </w:tc>
        <w:tc>
          <w:tcPr>
            <w:tcW w:type="dxa" w:w="3120"/>
            <w:shd w:fill="1B365D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80" w:after="80"/>
            </w:pPr>
            <w:r/>
            <w:r>
              <w:rPr>
                <w:rFonts w:ascii="Calibri" w:hAnsi="Calibri"/>
                <w:b/>
                <w:color w:val="FFFFFF"/>
                <w:sz w:val="21"/>
              </w:rPr>
              <w:t>Length (km)</w:t>
            </w:r>
          </w:p>
        </w:tc>
        <w:tc>
          <w:tcPr>
            <w:tcW w:type="dxa" w:w="3120"/>
            <w:shd w:fill="1B365D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80" w:after="80"/>
            </w:pPr>
            <w:r/>
            <w:r>
              <w:rPr>
                <w:rFonts w:ascii="Calibri" w:hAnsi="Calibri"/>
                <w:b/>
                <w:color w:val="FFFFFF"/>
                <w:sz w:val="21"/>
              </w:rPr>
              <w:t>% of Network</w:t>
            </w:r>
          </w:p>
        </w:tc>
      </w:tr>
      <w:tr>
        <w:tc>
          <w:tcPr>
            <w:tcW w:type="dxa" w:w="3120"/>
            <w:shd w:fill="F5F7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80" w:after="80"/>
            </w:pPr>
            <w:r/>
            <w:r>
              <w:rPr>
                <w:rFonts w:ascii="Calibri" w:hAnsi="Calibri"/>
                <w:sz w:val="20"/>
              </w:rPr>
              <w:t>Critical — Immediate Review</w:t>
            </w:r>
          </w:p>
        </w:tc>
        <w:tc>
          <w:tcPr>
            <w:tcW w:type="dxa" w:w="3120"/>
            <w:shd w:fill="F5F7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80" w:after="80"/>
            </w:pPr>
            <w:r/>
            <w:r>
              <w:rPr>
                <w:rFonts w:ascii="Calibri" w:hAnsi="Calibri"/>
                <w:sz w:val="20"/>
              </w:rPr>
              <w:t>11,445</w:t>
            </w:r>
          </w:p>
        </w:tc>
        <w:tc>
          <w:tcPr>
            <w:tcW w:type="dxa" w:w="3120"/>
            <w:shd w:fill="F5F7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80" w:after="80"/>
            </w:pPr>
            <w:r/>
            <w:r>
              <w:rPr>
                <w:rFonts w:ascii="Calibri" w:hAnsi="Calibri"/>
                <w:sz w:val="20"/>
              </w:rPr>
              <w:t>12.2%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80" w:after="80"/>
            </w:pPr>
            <w:r/>
            <w:r>
              <w:rPr>
                <w:rFonts w:ascii="Calibri" w:hAnsi="Calibri"/>
                <w:sz w:val="20"/>
              </w:rPr>
              <w:t>High — Priority Review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80" w:after="80"/>
            </w:pPr>
            <w:r/>
            <w:r>
              <w:rPr>
                <w:rFonts w:ascii="Calibri" w:hAnsi="Calibri"/>
                <w:sz w:val="20"/>
              </w:rPr>
              <w:t>19,313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80" w:after="80"/>
            </w:pPr>
            <w:r/>
            <w:r>
              <w:rPr>
                <w:rFonts w:ascii="Calibri" w:hAnsi="Calibri"/>
                <w:sz w:val="20"/>
              </w:rPr>
              <w:t>20.7%</w:t>
            </w:r>
          </w:p>
        </w:tc>
      </w:tr>
      <w:tr>
        <w:tc>
          <w:tcPr>
            <w:tcW w:type="dxa" w:w="3120"/>
            <w:shd w:fill="F5F7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80" w:after="80"/>
            </w:pPr>
            <w:r/>
            <w:r>
              <w:rPr>
                <w:rFonts w:ascii="Calibri" w:hAnsi="Calibri"/>
                <w:sz w:val="20"/>
              </w:rPr>
              <w:t>Moderate — Scheduled Review</w:t>
            </w:r>
          </w:p>
        </w:tc>
        <w:tc>
          <w:tcPr>
            <w:tcW w:type="dxa" w:w="3120"/>
            <w:shd w:fill="F5F7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80" w:after="80"/>
            </w:pPr>
            <w:r/>
            <w:r>
              <w:rPr>
                <w:rFonts w:ascii="Calibri" w:hAnsi="Calibri"/>
                <w:sz w:val="20"/>
              </w:rPr>
              <w:t>25,499</w:t>
            </w:r>
          </w:p>
        </w:tc>
        <w:tc>
          <w:tcPr>
            <w:tcW w:type="dxa" w:w="3120"/>
            <w:shd w:fill="F5F7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80" w:after="80"/>
            </w:pPr>
            <w:r/>
            <w:r>
              <w:rPr>
                <w:rFonts w:ascii="Calibri" w:hAnsi="Calibri"/>
                <w:sz w:val="20"/>
              </w:rPr>
              <w:t>27.3%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80" w:after="80"/>
            </w:pPr>
            <w:r/>
            <w:r>
              <w:rPr>
                <w:rFonts w:ascii="Calibri" w:hAnsi="Calibri"/>
                <w:sz w:val="20"/>
              </w:rPr>
              <w:t>Low — Monitor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80" w:after="80"/>
            </w:pPr>
            <w:r/>
            <w:r>
              <w:rPr>
                <w:rFonts w:ascii="Calibri" w:hAnsi="Calibri"/>
                <w:sz w:val="20"/>
              </w:rPr>
              <w:t>37,253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80" w:after="80"/>
            </w:pPr>
            <w:r/>
            <w:r>
              <w:rPr>
                <w:rFonts w:ascii="Calibri" w:hAnsi="Calibri"/>
                <w:sz w:val="20"/>
              </w:rPr>
              <w:t>39.8%</w:t>
            </w:r>
          </w:p>
        </w:tc>
      </w:tr>
    </w:tbl>
    <w:p>
      <w:pPr>
        <w:spacing w:after="120" w:line="276" w:lineRule="auto"/>
      </w:pPr>
      <w:r/>
      <w:r>
        <w:rPr>
          <w:b/>
        </w:rPr>
        <w:t>Mean network score: 0.415</w:t>
      </w:r>
      <w:r>
        <w:t xml:space="preserve"> (moderate risk)</w:t>
      </w:r>
    </w:p>
    <w:p>
      <w:pPr>
        <w:pStyle w:val="Heading3"/>
        <w:keepNext/>
        <w:spacing w:before="200" w:after="40"/>
      </w:pPr>
      <w:r>
        <w:rPr>
          <w:rFonts w:ascii="Calibri" w:hAnsi="Calibri"/>
          <w:b/>
          <w:color w:val="555555"/>
          <w:sz w:val="24"/>
        </w:rPr>
        <w:t>3.2 Critical Findings</w:t>
      </w:r>
    </w:p>
    <w:p>
      <w:pPr>
        <w:spacing w:after="60"/>
        <w:ind w:left="360"/>
      </w:pPr>
      <w:r>
        <w:t xml:space="preserve">1. </w:t>
      </w:r>
      <w:r>
        <w:rPr>
          <w:b/>
        </w:rPr>
        <w:t>Speed limits are systematically too high.</w:t>
      </w:r>
      <w:r>
        <w:t xml:space="preserve"> 77.9% of segments have posted speed limits exceeding Safe System recommendations. The average limit misalignment is 13 km/h above Safe System thresholds on urban primary roads.</w:t>
      </w:r>
    </w:p>
    <w:p>
      <w:pPr>
        <w:spacing w:after="60"/>
        <w:ind w:left="360"/>
      </w:pPr>
      <w:r>
        <w:t xml:space="preserve">2. </w:t>
      </w:r>
      <w:r>
        <w:rPr>
          <w:b/>
        </w:rPr>
        <w:t>Traffic routinely exceeds survivable speeds.</w:t>
      </w:r>
      <w:r>
        <w:t xml:space="preserve"> On 76.6% of segments, 85th percentile operating speeds are above the Safe System threshold for that road context. The average operating gap on Critical segments is 38 km/h — a pedestrian struck at this speed faces near-certain fatality.</w:t>
      </w:r>
    </w:p>
    <w:p>
      <w:pPr>
        <w:spacing w:after="60"/>
        <w:ind w:left="360"/>
      </w:pPr>
      <w:r>
        <w:t xml:space="preserve">3. </w:t>
      </w:r>
      <w:r>
        <w:rPr>
          <w:b/>
        </w:rPr>
        <w:t>Secondary urban roads are the most dangerous category.</w:t>
      </w:r>
      <w:r>
        <w:t xml:space="preserve"> These roads (typically mixed-use with foot traffic, shops, and residential access) have a Safe System limit of 30 km/h but frequently carry posted limits of 50–60 km/h and actual speeds above 60 km/h.</w:t>
      </w:r>
    </w:p>
    <w:p>
      <w:pPr>
        <w:spacing w:after="60"/>
        <w:ind w:left="360"/>
      </w:pPr>
      <w:r>
        <w:t xml:space="preserve">4. </w:t>
      </w:r>
      <w:r>
        <w:rPr>
          <w:b/>
        </w:rPr>
        <w:t>VRU exposure amplifies risk.</w:t>
      </w:r>
      <w:r>
        <w:t xml:space="preserve"> 35% of segments have high VRU exposure scores (&gt;0.6), concentrated in urban areas near schools, markets, and mixed land use. These segments receive double penalty — high operating speeds and high pedestrian presence.</w:t>
      </w:r>
    </w:p>
    <w:p>
      <w:pPr>
        <w:pStyle w:val="Heading3"/>
        <w:keepNext/>
        <w:spacing w:before="200" w:after="40"/>
      </w:pPr>
      <w:r>
        <w:rPr>
          <w:rFonts w:ascii="Calibri" w:hAnsi="Calibri"/>
          <w:b/>
          <w:color w:val="555555"/>
          <w:sz w:val="24"/>
        </w:rPr>
        <w:t>3.3 Regional Findings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insideH w:val="single" w:sz="4" w:space="0" w:color="E0E0E0"/>
          <w:left w:val="none"/>
          <w:right w:val="none"/>
          <w:insideV w:val="none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1B365D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80" w:after="80"/>
            </w:pPr>
            <w:r/>
            <w:r>
              <w:rPr>
                <w:rFonts w:ascii="Calibri" w:hAnsi="Calibri"/>
                <w:b/>
                <w:color w:val="FFFFFF"/>
                <w:sz w:val="21"/>
              </w:rPr>
              <w:t>Metric</w:t>
            </w:r>
          </w:p>
        </w:tc>
        <w:tc>
          <w:tcPr>
            <w:tcW w:type="dxa" w:w="3120"/>
            <w:shd w:fill="1B365D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80" w:after="80"/>
            </w:pPr>
            <w:r/>
            <w:r>
              <w:rPr>
                <w:rFonts w:ascii="Calibri" w:hAnsi="Calibri"/>
                <w:b/>
                <w:color w:val="FFFFFF"/>
                <w:sz w:val="21"/>
              </w:rPr>
              <w:t>Thailand</w:t>
            </w:r>
          </w:p>
        </w:tc>
        <w:tc>
          <w:tcPr>
            <w:tcW w:type="dxa" w:w="3120"/>
            <w:shd w:fill="1B365D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80" w:after="80"/>
            </w:pPr>
            <w:r/>
            <w:r>
              <w:rPr>
                <w:rFonts w:ascii="Calibri" w:hAnsi="Calibri"/>
                <w:b/>
                <w:color w:val="FFFFFF"/>
                <w:sz w:val="21"/>
              </w:rPr>
              <w:t>Maharashtra</w:t>
            </w:r>
          </w:p>
        </w:tc>
      </w:tr>
      <w:tr>
        <w:tc>
          <w:tcPr>
            <w:tcW w:type="dxa" w:w="3120"/>
            <w:shd w:fill="F5F7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80" w:after="80"/>
            </w:pPr>
            <w:r/>
            <w:r>
              <w:rPr>
                <w:rFonts w:ascii="Calibri" w:hAnsi="Calibri"/>
                <w:sz w:val="20"/>
              </w:rPr>
              <w:t>Total segments analyzed</w:t>
            </w:r>
          </w:p>
        </w:tc>
        <w:tc>
          <w:tcPr>
            <w:tcW w:type="dxa" w:w="3120"/>
            <w:shd w:fill="F5F7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80" w:after="80"/>
            </w:pPr>
            <w:r/>
            <w:r>
              <w:rPr>
                <w:rFonts w:ascii="Calibri" w:hAnsi="Calibri"/>
                <w:sz w:val="20"/>
              </w:rPr>
              <w:t>9,732</w:t>
            </w:r>
          </w:p>
        </w:tc>
        <w:tc>
          <w:tcPr>
            <w:tcW w:type="dxa" w:w="3120"/>
            <w:shd w:fill="F5F7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80" w:after="80"/>
            </w:pPr>
            <w:r/>
            <w:r>
              <w:rPr>
                <w:rFonts w:ascii="Calibri" w:hAnsi="Calibri"/>
                <w:sz w:val="20"/>
              </w:rPr>
              <w:t>5,061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80" w:after="80"/>
            </w:pPr>
            <w:r/>
            <w:r>
              <w:rPr>
                <w:rFonts w:ascii="Calibri" w:hAnsi="Calibri"/>
                <w:sz w:val="20"/>
              </w:rPr>
              <w:t>Critical segments (%)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80" w:after="80"/>
            </w:pPr>
            <w:r/>
            <w:r>
              <w:rPr>
                <w:rFonts w:ascii="Calibri" w:hAnsi="Calibri"/>
                <w:sz w:val="20"/>
              </w:rPr>
              <w:t>14.1%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80" w:after="80"/>
            </w:pPr>
            <w:r/>
            <w:r>
              <w:rPr>
                <w:rFonts w:ascii="Calibri" w:hAnsi="Calibri"/>
                <w:sz w:val="20"/>
              </w:rPr>
              <w:t>9.8%</w:t>
            </w:r>
          </w:p>
        </w:tc>
      </w:tr>
      <w:tr>
        <w:tc>
          <w:tcPr>
            <w:tcW w:type="dxa" w:w="3120"/>
            <w:shd w:fill="F5F7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80" w:after="80"/>
            </w:pPr>
            <w:r/>
            <w:r>
              <w:rPr>
                <w:rFonts w:ascii="Calibri" w:hAnsi="Calibri"/>
                <w:sz w:val="20"/>
              </w:rPr>
              <w:t>Mean Speed Safety Score</w:t>
            </w:r>
          </w:p>
        </w:tc>
        <w:tc>
          <w:tcPr>
            <w:tcW w:type="dxa" w:w="3120"/>
            <w:shd w:fill="F5F7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80" w:after="80"/>
            </w:pPr>
            <w:r/>
            <w:r>
              <w:rPr>
                <w:rFonts w:ascii="Calibri" w:hAnsi="Calibri"/>
                <w:sz w:val="20"/>
              </w:rPr>
              <w:t>0.428</w:t>
            </w:r>
          </w:p>
        </w:tc>
        <w:tc>
          <w:tcPr>
            <w:tcW w:type="dxa" w:w="3120"/>
            <w:shd w:fill="F5F7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80" w:after="80"/>
            </w:pPr>
            <w:r/>
            <w:r>
              <w:rPr>
                <w:rFonts w:ascii="Calibri" w:hAnsi="Calibri"/>
                <w:sz w:val="20"/>
              </w:rPr>
              <w:t>0.395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80" w:after="80"/>
            </w:pPr>
            <w:r/>
            <w:r>
              <w:rPr>
                <w:rFonts w:ascii="Calibri" w:hAnsi="Calibri"/>
                <w:sz w:val="20"/>
              </w:rPr>
              <w:t>Mean operating gap (km/h)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80" w:after="80"/>
            </w:pPr>
            <w:r/>
            <w:r>
              <w:rPr>
                <w:rFonts w:ascii="Calibri" w:hAnsi="Calibri"/>
                <w:sz w:val="20"/>
              </w:rPr>
              <w:t>11.4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80" w:after="80"/>
            </w:pPr>
            <w:r/>
            <w:r>
              <w:rPr>
                <w:rFonts w:ascii="Calibri" w:hAnsi="Calibri"/>
                <w:sz w:val="20"/>
              </w:rPr>
              <w:t>8.7</w:t>
            </w:r>
          </w:p>
        </w:tc>
      </w:tr>
    </w:tbl>
    <w:p>
      <w:pPr>
        <w:pStyle w:val="Heading3"/>
        <w:keepNext/>
        <w:spacing w:before="200" w:after="40"/>
      </w:pPr>
      <w:r>
        <w:rPr>
          <w:rFonts w:ascii="Calibri" w:hAnsi="Calibri"/>
          <w:b/>
          <w:color w:val="555555"/>
          <w:sz w:val="24"/>
        </w:rPr>
        <w:t>3.4 RoadSense 3-Module Cross-Validation</w:t>
      </w:r>
    </w:p>
    <w:p>
      <w:pPr>
        <w:spacing w:after="120" w:line="276" w:lineRule="auto"/>
      </w:pPr>
      <w:r>
        <w:t>The 3-module approach produces broadly consistent rankings (correlation &gt;0.85 with 4-component scores), with slightly lower overall scores (mean SSS: 0.450 vs 0.415). Module-level diagnostics reveal:</w:t>
      </w:r>
    </w:p>
    <w:p>
      <w:pPr>
        <w:pStyle w:val="ListBullet"/>
        <w:spacing w:after="60"/>
      </w:pPr>
      <w:r/>
      <w:r>
        <w:rPr>
          <w:b/>
        </w:rPr>
        <w:t>Module A</w:t>
      </w:r>
      <w:r>
        <w:t xml:space="preserve"> (Speed Alignment) drives most Critical classifications — segments with high A scores almost always score Critical overall.</w:t>
      </w:r>
    </w:p>
    <w:p>
      <w:pPr>
        <w:pStyle w:val="ListBullet"/>
        <w:spacing w:after="60"/>
      </w:pPr>
      <w:r/>
      <w:r>
        <w:rPr>
          <w:b/>
        </w:rPr>
        <w:t>Module B</w:t>
      </w:r>
      <w:r>
        <w:t xml:space="preserve"> (VRU Exposure) is the most discriminating variable between urban and rural risk profiles.</w:t>
      </w:r>
    </w:p>
    <w:p>
      <w:pPr>
        <w:pStyle w:val="ListBullet"/>
        <w:spacing w:after="60"/>
      </w:pPr>
      <w:r/>
      <w:r>
        <w:rPr>
          <w:b/>
        </w:rPr>
        <w:t>Module C</w:t>
      </w:r>
      <w:r>
        <w:t xml:space="preserve"> (Road Environment) is the weakest signal due to reliance on static proxy values; future Mapillary/CLIP imagery integration would strengthen this module significantly.</w:t>
      </w:r>
    </w:p>
    <w:p>
      <w:r>
        <w:br w:type="page"/>
      </w:r>
    </w:p>
    <w:p>
      <w:pPr>
        <w:pStyle w:val="Heading2"/>
        <w:keepNext/>
        <w:spacing w:before="280" w:after="80"/>
      </w:pPr>
      <w:r>
        <w:rPr>
          <w:rFonts w:ascii="Calibri" w:hAnsi="Calibri"/>
          <w:b/>
          <w:color w:val="2E5B88"/>
          <w:sz w:val="28"/>
        </w:rPr>
        <w:t>4. Policy Recommendations</w:t>
      </w:r>
    </w:p>
    <w:p>
      <w:pPr>
        <w:pStyle w:val="Heading3"/>
        <w:keepNext/>
        <w:spacing w:before="200" w:after="40"/>
      </w:pPr>
      <w:r>
        <w:rPr>
          <w:rFonts w:ascii="Calibri" w:hAnsi="Calibri"/>
          <w:b/>
          <w:color w:val="555555"/>
          <w:sz w:val="24"/>
        </w:rPr>
        <w:t>4.1 Immediate Priorities (Critical Tier — 11,445 km)</w:t>
      </w:r>
    </w:p>
    <w:p>
      <w:pPr>
        <w:spacing w:after="60"/>
        <w:ind w:left="360"/>
      </w:pPr>
      <w:r>
        <w:t xml:space="preserve">1. </w:t>
      </w:r>
      <w:r>
        <w:rPr>
          <w:b/>
        </w:rPr>
        <w:t>Audit Speed Limits:</w:t>
      </w:r>
      <w:r>
        <w:t xml:space="preserve"> Lower posted limits on Critical segments to align with Safe System guidelines. Many current limits are 20–40 km/h too high.</w:t>
      </w:r>
    </w:p>
    <w:p>
      <w:pPr>
        <w:spacing w:after="60"/>
        <w:ind w:left="360"/>
      </w:pPr>
      <w:r>
        <w:t xml:space="preserve">2. </w:t>
      </w:r>
      <w:r>
        <w:rPr>
          <w:b/>
        </w:rPr>
        <w:t>Deploy Traffic Calming:</w:t>
      </w:r>
      <w:r>
        <w:t xml:space="preserve"> Install speed humps, raised crossings, and chicanes on secondary urban roads with speeds &gt;50 km/h.</w:t>
      </w:r>
    </w:p>
    <w:p>
      <w:pPr>
        <w:spacing w:after="60"/>
        <w:ind w:left="360"/>
      </w:pPr>
      <w:r>
        <w:t xml:space="preserve">3. </w:t>
      </w:r>
      <w:r>
        <w:rPr>
          <w:b/>
        </w:rPr>
        <w:t>Enhance Pedestrian Infrastructure:</w:t>
      </w:r>
      <w:r>
        <w:t xml:space="preserve"> Build marked crossings and pedestrian refuges on high-exposure segments near schools and markets.</w:t>
      </w:r>
    </w:p>
    <w:p>
      <w:pPr>
        <w:pStyle w:val="Heading3"/>
        <w:keepNext/>
        <w:spacing w:before="200" w:after="40"/>
      </w:pPr>
      <w:r>
        <w:rPr>
          <w:rFonts w:ascii="Calibri" w:hAnsi="Calibri"/>
          <w:b/>
          <w:color w:val="555555"/>
          <w:sz w:val="24"/>
        </w:rPr>
        <w:t>4.2 Medium-Term Actions (High Tier — 19,313 km)</w:t>
      </w:r>
    </w:p>
    <w:p>
      <w:pPr>
        <w:spacing w:after="60"/>
        <w:ind w:left="360"/>
      </w:pPr>
      <w:r>
        <w:t xml:space="preserve">4. </w:t>
      </w:r>
      <w:r>
        <w:rPr>
          <w:b/>
        </w:rPr>
        <w:t>Reclassify Road Hierarchies:</w:t>
      </w:r>
      <w:r>
        <w:t xml:space="preserve"> Re-align speed limits where road function (e.g., local access) conflicts with high classification limits.</w:t>
      </w:r>
    </w:p>
    <w:p>
      <w:pPr>
        <w:spacing w:after="60"/>
        <w:ind w:left="360"/>
      </w:pPr>
      <w:r>
        <w:t xml:space="preserve">5. </w:t>
      </w:r>
      <w:r>
        <w:rPr>
          <w:b/>
        </w:rPr>
        <w:t>Target Enforcement:</w:t>
      </w:r>
      <w:r>
        <w:t xml:space="preserve"> Deploy automated speed cameras at segments where operating speeds exceed limits by &gt;15 km/h.</w:t>
      </w:r>
    </w:p>
    <w:p>
      <w:pPr>
        <w:spacing w:after="60"/>
        <w:ind w:left="360"/>
      </w:pPr>
      <w:r>
        <w:t xml:space="preserve">6. </w:t>
      </w:r>
      <w:r>
        <w:rPr>
          <w:b/>
        </w:rPr>
        <w:t>Update Design Standards:</w:t>
      </w:r>
      <w:r>
        <w:t xml:space="preserve"> Mandate protected pedestrian walkways and bike lanes during reconstruction of high-VRU segments.</w:t>
      </w:r>
    </w:p>
    <w:p>
      <w:pPr>
        <w:pStyle w:val="Heading3"/>
        <w:keepNext/>
        <w:spacing w:before="200" w:after="40"/>
      </w:pPr>
      <w:r>
        <w:rPr>
          <w:rFonts w:ascii="Calibri" w:hAnsi="Calibri"/>
          <w:b/>
          <w:color w:val="555555"/>
          <w:sz w:val="24"/>
        </w:rPr>
        <w:t>4.3 Systemic Reforms</w:t>
      </w:r>
    </w:p>
    <w:p>
      <w:pPr>
        <w:spacing w:after="60"/>
        <w:ind w:left="360"/>
      </w:pPr>
      <w:r>
        <w:t xml:space="preserve">7. </w:t>
      </w:r>
      <w:r>
        <w:rPr>
          <w:b/>
        </w:rPr>
        <w:t>Default Context Limits:</w:t>
      </w:r>
      <w:r>
        <w:t xml:space="preserve"> Adopt Safe System speeds as national defaults (e.g., 30 km/h for urban secondary roads) to shift the burden of proof.</w:t>
      </w:r>
    </w:p>
    <w:p>
      <w:pPr>
        <w:spacing w:after="60"/>
        <w:ind w:left="360"/>
      </w:pPr>
      <w:r>
        <w:t xml:space="preserve">8. </w:t>
      </w:r>
      <w:r>
        <w:rPr>
          <w:b/>
        </w:rPr>
        <w:t>Institutionalise Tracking:</w:t>
      </w:r>
      <w:r>
        <w:t xml:space="preserve"> Run the RoadSense pipeline quarterly to track safety improvements and target resources.</w:t>
      </w:r>
    </w:p>
    <w:p>
      <w:pPr>
        <w:spacing w:after="60"/>
        <w:ind w:left="360"/>
      </w:pPr>
      <w:r>
        <w:t xml:space="preserve">9. </w:t>
      </w:r>
      <w:r>
        <w:rPr>
          <w:b/>
        </w:rPr>
        <w:t>Expand Datasets:</w:t>
      </w:r>
      <w:r>
        <w:t xml:space="preserve"> Gather crash records, pedestrian counts, and street imagery to validate and refine the scoring model.</w:t>
      </w:r>
    </w:p>
    <w:p>
      <w:r>
        <w:br w:type="page"/>
      </w:r>
    </w:p>
    <w:p>
      <w:pPr>
        <w:pStyle w:val="Heading2"/>
        <w:keepNext/>
        <w:spacing w:before="280" w:after="80"/>
      </w:pPr>
      <w:r>
        <w:rPr>
          <w:rFonts w:ascii="Calibri" w:hAnsi="Calibri"/>
          <w:b/>
          <w:color w:val="2E5B88"/>
          <w:sz w:val="28"/>
        </w:rPr>
        <w:t>5. Replication in Data-Scarce Countries</w:t>
      </w:r>
    </w:p>
    <w:p>
      <w:pPr>
        <w:spacing w:after="120" w:line="276" w:lineRule="auto"/>
      </w:pPr>
      <w:r>
        <w:t>The RoadSense methodology is designed for replication across Asia-Pacific. Key adaptations: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insideH w:val="single" w:sz="4" w:space="0" w:color="E0E0E0"/>
          <w:left w:val="none"/>
          <w:right w:val="none"/>
          <w:insideV w:val="none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1B365D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80" w:after="80"/>
            </w:pPr>
            <w:r/>
            <w:r>
              <w:rPr>
                <w:rFonts w:ascii="Calibri" w:hAnsi="Calibri"/>
                <w:b/>
                <w:color w:val="FFFFFF"/>
                <w:sz w:val="21"/>
              </w:rPr>
              <w:t>Data Source</w:t>
            </w:r>
          </w:p>
        </w:tc>
        <w:tc>
          <w:tcPr>
            <w:tcW w:type="dxa" w:w="3120"/>
            <w:shd w:fill="1B365D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80" w:after="80"/>
            </w:pPr>
            <w:r/>
            <w:r>
              <w:rPr>
                <w:rFonts w:ascii="Calibri" w:hAnsi="Calibri"/>
                <w:b/>
                <w:color w:val="FFFFFF"/>
                <w:sz w:val="21"/>
              </w:rPr>
              <w:t>If unavailable</w:t>
            </w:r>
          </w:p>
        </w:tc>
        <w:tc>
          <w:tcPr>
            <w:tcW w:type="dxa" w:w="3120"/>
            <w:shd w:fill="1B365D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80" w:after="80"/>
            </w:pPr>
            <w:r/>
            <w:r>
              <w:rPr>
                <w:rFonts w:ascii="Calibri" w:hAnsi="Calibri"/>
                <w:b/>
                <w:color w:val="FFFFFF"/>
                <w:sz w:val="21"/>
              </w:rPr>
              <w:t>Alternative</w:t>
            </w:r>
          </w:p>
        </w:tc>
      </w:tr>
      <w:tr>
        <w:tc>
          <w:tcPr>
            <w:tcW w:type="dxa" w:w="3120"/>
            <w:shd w:fill="F5F7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80" w:after="80"/>
            </w:pPr>
            <w:r/>
            <w:r>
              <w:rPr>
                <w:rFonts w:ascii="Calibri" w:hAnsi="Calibri"/>
                <w:sz w:val="20"/>
              </w:rPr>
              <w:t>GPS probe data</w:t>
            </w:r>
          </w:p>
        </w:tc>
        <w:tc>
          <w:tcPr>
            <w:tcW w:type="dxa" w:w="3120"/>
            <w:shd w:fill="F5F7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80" w:after="80"/>
            </w:pPr>
            <w:r/>
            <w:r>
              <w:rPr>
                <w:rFonts w:ascii="Calibri" w:hAnsi="Calibri"/>
                <w:sz w:val="20"/>
              </w:rPr>
              <w:t>Many LMICs lack probe data</w:t>
            </w:r>
          </w:p>
        </w:tc>
        <w:tc>
          <w:tcPr>
            <w:tcW w:type="dxa" w:w="3120"/>
            <w:shd w:fill="F5F7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80" w:after="80"/>
            </w:pPr>
            <w:r/>
            <w:r>
              <w:rPr>
                <w:rFonts w:ascii="Calibri" w:hAnsi="Calibri"/>
                <w:sz w:val="20"/>
              </w:rPr>
              <w:t>Use OSM road classification + design speed as proxy for operating speed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80" w:after="80"/>
            </w:pPr>
            <w:r/>
            <w:r>
              <w:rPr>
                <w:rFonts w:ascii="Calibri" w:hAnsi="Calibri"/>
                <w:sz w:val="20"/>
              </w:rPr>
              <w:t>Mapillary imagery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80" w:after="80"/>
            </w:pPr>
            <w:r/>
            <w:r>
              <w:rPr>
                <w:rFonts w:ascii="Calibri" w:hAnsi="Calibri"/>
                <w:sz w:val="20"/>
              </w:rPr>
              <w:t>Limited coverage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80" w:after="80"/>
            </w:pPr>
            <w:r/>
            <w:r>
              <w:rPr>
                <w:rFonts w:ascii="Calibri" w:hAnsi="Calibri"/>
                <w:sz w:val="20"/>
              </w:rPr>
              <w:t>CLIP zero-shot classification on any available street photos, or skip Module C entirely</w:t>
            </w:r>
          </w:p>
        </w:tc>
      </w:tr>
      <w:tr>
        <w:tc>
          <w:tcPr>
            <w:tcW w:type="dxa" w:w="3120"/>
            <w:shd w:fill="F5F7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80" w:after="80"/>
            </w:pPr>
            <w:r/>
            <w:r>
              <w:rPr>
                <w:rFonts w:ascii="Calibri" w:hAnsi="Calibri"/>
                <w:sz w:val="20"/>
              </w:rPr>
              <w:t>Official speed limits</w:t>
            </w:r>
          </w:p>
        </w:tc>
        <w:tc>
          <w:tcPr>
            <w:tcW w:type="dxa" w:w="3120"/>
            <w:shd w:fill="F5F7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80" w:after="80"/>
            </w:pPr>
            <w:r/>
            <w:r>
              <w:rPr>
                <w:rFonts w:ascii="Calibri" w:hAnsi="Calibri"/>
                <w:sz w:val="20"/>
              </w:rPr>
              <w:t>Not digitised</w:t>
            </w:r>
          </w:p>
        </w:tc>
        <w:tc>
          <w:tcPr>
            <w:tcW w:type="dxa" w:w="3120"/>
            <w:shd w:fill="F5F7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80" w:after="80"/>
            </w:pPr>
            <w:r/>
            <w:r>
              <w:rPr>
                <w:rFonts w:ascii="Calibri" w:hAnsi="Calibri"/>
                <w:sz w:val="20"/>
              </w:rPr>
              <w:t>Extract from OSM `maxspeed` tags (available for ~40% of roads in most countries)</w:t>
            </w:r>
          </w:p>
        </w:tc>
      </w:tr>
      <w:tr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80" w:after="80"/>
            </w:pPr>
            <w:r/>
            <w:r>
              <w:rPr>
                <w:rFonts w:ascii="Calibri" w:hAnsi="Calibri"/>
                <w:sz w:val="20"/>
              </w:rPr>
              <w:t>Schools / POIs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80" w:after="80"/>
            </w:pPr>
            <w:r/>
            <w:r>
              <w:rPr>
                <w:rFonts w:ascii="Calibri" w:hAnsi="Calibri"/>
                <w:sz w:val="20"/>
              </w:rPr>
              <w:t>Always available via OSM</w:t>
            </w:r>
          </w:p>
        </w:tc>
        <w:tc>
          <w:tcPr>
            <w:tcW w:type="dxa" w:w="312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80" w:after="80"/>
            </w:pPr>
            <w:r/>
            <w:r>
              <w:rPr>
                <w:rFonts w:ascii="Calibri" w:hAnsi="Calibri"/>
                <w:sz w:val="20"/>
              </w:rPr>
              <w:t>Overpass API provides global coverage at no cost</w:t>
            </w:r>
          </w:p>
        </w:tc>
      </w:tr>
      <w:tr>
        <w:tc>
          <w:tcPr>
            <w:tcW w:type="dxa" w:w="3120"/>
            <w:shd w:fill="F5F7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80" w:after="80"/>
            </w:pPr>
            <w:r/>
            <w:r>
              <w:rPr>
                <w:rFonts w:ascii="Calibri" w:hAnsi="Calibri"/>
                <w:sz w:val="20"/>
              </w:rPr>
              <w:t>Traffic volume data</w:t>
            </w:r>
          </w:p>
        </w:tc>
        <w:tc>
          <w:tcPr>
            <w:tcW w:type="dxa" w:w="3120"/>
            <w:shd w:fill="F5F7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80" w:after="80"/>
            </w:pPr>
            <w:r/>
            <w:r>
              <w:rPr>
                <w:rFonts w:ascii="Calibri" w:hAnsi="Calibri"/>
                <w:sz w:val="20"/>
              </w:rPr>
              <w:t>No volume data</w:t>
            </w:r>
          </w:p>
        </w:tc>
        <w:tc>
          <w:tcPr>
            <w:tcW w:type="dxa" w:w="3120"/>
            <w:shd w:fill="F5F7FA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80" w:after="80"/>
            </w:pPr>
            <w:r/>
            <w:r>
              <w:rPr>
                <w:rFonts w:ascii="Calibri" w:hAnsi="Calibri"/>
                <w:sz w:val="20"/>
              </w:rPr>
              <w:t>Remove Volume component from 4-component score (weight redistributed to other factors)</w:t>
            </w:r>
          </w:p>
        </w:tc>
      </w:tr>
    </w:tbl>
    <w:p>
      <w:pPr>
        <w:spacing w:after="120" w:line="276" w:lineRule="auto"/>
      </w:pPr>
      <w:r>
        <w:t>A minimal viable deployment requires only:</w:t>
      </w:r>
    </w:p>
    <w:p>
      <w:pPr>
        <w:spacing w:after="60"/>
        <w:ind w:left="360"/>
      </w:pPr>
      <w:r>
        <w:t>1. OSM road network</w:t>
      </w:r>
    </w:p>
    <w:p>
      <w:pPr>
        <w:spacing w:after="60"/>
        <w:ind w:left="360"/>
      </w:pPr>
      <w:r>
        <w:t>2. OSM speed limit tags</w:t>
      </w:r>
    </w:p>
    <w:p>
      <w:pPr>
        <w:spacing w:after="60"/>
        <w:ind w:left="360"/>
      </w:pPr>
      <w:r>
        <w:t>3. OSM points of interest (schools, markets)</w:t>
      </w:r>
    </w:p>
    <w:p>
      <w:pPr>
        <w:spacing w:after="60"/>
        <w:ind w:left="360"/>
      </w:pPr>
      <w:r>
        <w:t>4. Any available speed data (even spot speed measurements at 50 locations can calibrate the model)</w:t>
      </w:r>
    </w:p>
    <w:p>
      <w:r>
        <w:br w:type="page"/>
      </w:r>
    </w:p>
    <w:p>
      <w:pPr>
        <w:pStyle w:val="Heading2"/>
        <w:keepNext/>
        <w:spacing w:before="280" w:after="80"/>
      </w:pPr>
      <w:r>
        <w:rPr>
          <w:rFonts w:ascii="Calibri" w:hAnsi="Calibri"/>
          <w:b/>
          <w:color w:val="2E5B88"/>
          <w:sz w:val="28"/>
        </w:rPr>
        <w:t>6. Validation &amp; Limitations</w:t>
      </w:r>
    </w:p>
    <w:p>
      <w:pPr>
        <w:pStyle w:val="Heading3"/>
        <w:keepNext/>
        <w:spacing w:before="200" w:after="40"/>
      </w:pPr>
      <w:r>
        <w:rPr>
          <w:rFonts w:ascii="Calibri" w:hAnsi="Calibri"/>
          <w:b/>
          <w:color w:val="555555"/>
          <w:sz w:val="24"/>
        </w:rPr>
        <w:t>Validation</w:t>
      </w:r>
    </w:p>
    <w:p>
      <w:pPr>
        <w:pStyle w:val="ListBullet"/>
        <w:spacing w:after="60"/>
      </w:pPr>
      <w:r/>
      <w:r>
        <w:rPr>
          <w:b/>
        </w:rPr>
        <w:t>Internal consistency:</w:t>
      </w:r>
      <w:r>
        <w:t xml:space="preserve"> Both scoring approaches produce correlated rankings (r &gt; 0.85), confirming the methodology is robust to weighting choices.</w:t>
      </w:r>
    </w:p>
    <w:p>
      <w:pPr>
        <w:pStyle w:val="ListBullet"/>
        <w:spacing w:after="60"/>
      </w:pPr>
      <w:r/>
      <w:r>
        <w:rPr>
          <w:b/>
        </w:rPr>
        <w:t>Spatial autocorrelation:</w:t>
      </w:r>
      <w:r>
        <w:t xml:space="preserve"> Moran's I analysis confirms that high-risk segments cluster spatially (p &lt; 0.01), validating that the score captures genuine geographic patterns rather than noise.</w:t>
      </w:r>
    </w:p>
    <w:p>
      <w:pPr>
        <w:pStyle w:val="ListBullet"/>
        <w:spacing w:after="60"/>
      </w:pPr>
      <w:r/>
      <w:r>
        <w:rPr>
          <w:b/>
        </w:rPr>
        <w:t>Sensitivity analysis:</w:t>
      </w:r>
      <w:r>
        <w:t xml:space="preserve"> Varying component weights by ±10% changes absolute scores but preserves &gt;95% of tier classifications, showing the tier system is stable.</w:t>
      </w:r>
    </w:p>
    <w:p>
      <w:pPr>
        <w:pStyle w:val="Heading3"/>
        <w:keepNext/>
        <w:spacing w:before="200" w:after="40"/>
      </w:pPr>
      <w:r>
        <w:rPr>
          <w:rFonts w:ascii="Calibri" w:hAnsi="Calibri"/>
          <w:b/>
          <w:color w:val="555555"/>
          <w:sz w:val="24"/>
        </w:rPr>
        <w:t>Limitations</w:t>
      </w:r>
    </w:p>
    <w:p>
      <w:pPr>
        <w:spacing w:after="60"/>
        <w:ind w:left="360"/>
      </w:pPr>
      <w:r>
        <w:t xml:space="preserve">1. </w:t>
      </w:r>
      <w:r>
        <w:rPr>
          <w:b/>
        </w:rPr>
        <w:t>No crash data validation.</w:t>
      </w:r>
      <w:r>
        <w:t xml:space="preserve"> The ADB challenge dataset does not include crash records. The score measures *risk factors* (speed, exposure, infrastructure proxies) rather than *observed crashes*. This is a deliberate Safe System design choice — we measure what makes roads dangerous, not what has already killed people.</w:t>
      </w:r>
    </w:p>
    <w:p>
      <w:pPr>
        <w:spacing w:after="60"/>
        <w:ind w:left="360"/>
      </w:pPr>
      <w:r>
        <w:t xml:space="preserve">2. </w:t>
      </w:r>
      <w:r>
        <w:rPr>
          <w:b/>
        </w:rPr>
        <w:t>Imagery coverage gaps.</w:t>
      </w:r>
      <w:r>
        <w:t xml:space="preserve"> Module C relies on infrastructure proxies (road class + land use lookups) rather than actual infrastructure detection. Full Mapillary/CLIP integration would improve Module C accuracy.</w:t>
      </w:r>
    </w:p>
    <w:p>
      <w:pPr>
        <w:spacing w:after="60"/>
        <w:ind w:left="360"/>
      </w:pPr>
      <w:r>
        <w:t xml:space="preserve">3. </w:t>
      </w:r>
      <w:r>
        <w:rPr>
          <w:b/>
        </w:rPr>
        <w:t>Sample size bias.</w:t>
      </w:r>
      <w:r>
        <w:t xml:space="preserve"> Segments with small sample sizes (&lt;500 observations) are excluded. This may bias results toward higher-volume roads.</w:t>
      </w:r>
    </w:p>
    <w:p>
      <w:pPr>
        <w:spacing w:after="60"/>
        <w:ind w:left="360"/>
      </w:pPr>
      <w:r>
        <w:t xml:space="preserve">4. </w:t>
      </w:r>
      <w:r>
        <w:rPr>
          <w:b/>
        </w:rPr>
        <w:t>Single time period.</w:t>
      </w:r>
      <w:r>
        <w:t xml:space="preserve"> The data represents one observation period. Seasonal and temporal variations in speed and volume are not captured.</w:t>
      </w:r>
    </w:p>
    <w:p>
      <w:r>
        <w:br w:type="page"/>
      </w:r>
    </w:p>
    <w:p>
      <w:pPr>
        <w:pStyle w:val="Heading2"/>
        <w:keepNext/>
        <w:spacing w:before="280" w:after="80"/>
      </w:pPr>
      <w:r>
        <w:rPr>
          <w:rFonts w:ascii="Calibri" w:hAnsi="Calibri"/>
          <w:b/>
          <w:color w:val="2E5B88"/>
          <w:sz w:val="28"/>
        </w:rPr>
        <w:t>References</w:t>
      </w:r>
    </w:p>
    <w:p>
      <w:pPr>
        <w:pStyle w:val="ListBullet"/>
        <w:spacing w:after="60"/>
      </w:pPr>
      <w:r>
        <w:t>World Health Organization. (2021). *Global Plan for the Decade of Action for Road Safety 2021–2030*. Geneva: WHO.</w:t>
      </w:r>
    </w:p>
    <w:p>
      <w:pPr>
        <w:pStyle w:val="ListBullet"/>
        <w:spacing w:after="60"/>
      </w:pPr>
      <w:r>
        <w:t>ITF/OECD. (2018). *Speed and Crash Risk*. International Transport Forum Research Report. Paris: OECD Publishing.</w:t>
      </w:r>
    </w:p>
    <w:p>
      <w:pPr>
        <w:pStyle w:val="ListBullet"/>
        <w:spacing w:after="60"/>
      </w:pPr>
      <w:r>
        <w:t>Asian Development Bank. (2026). *AI for Safer Roads 2026 — Speed and Volume Data for Thailand and Maharashtra*. ADB Challenge Dataset.</w:t>
      </w:r>
    </w:p>
    <w:p>
      <w:pPr>
        <w:pStyle w:val="ListBullet"/>
        <w:spacing w:after="60"/>
      </w:pPr>
      <w:r>
        <w:t>OpenStreetMap contributors. (2026). Planet dump. https://planet.openstreetmap.org</w:t>
      </w:r>
    </w:p>
    <w:p>
      <w:pPr>
        <w:pStyle w:val="ListBullet"/>
        <w:spacing w:after="60"/>
      </w:pPr>
      <w:r>
        <w:t>Mapillary. (2026). Mapillary street-level imagery and computer vision detections. https://www.mapillary.com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