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00"/>
        <w:jc w:val="center"/>
        <w:rPr/>
      </w:pPr>
      <w:r>
        <w:rPr>
          <w:rFonts w:eastAsia="Times New Roman" w:cs="Times New Roman"/>
          <w:b/>
          <w:bCs/>
          <w:color w:val="1A3A5C"/>
          <w:sz w:val="32"/>
          <w:szCs w:val="32"/>
        </w:rPr>
        <w:t>Structural Fingerprints of Label Memorization in Shallow Neural Networks: A Four-Phase Empirical Study</w:t>
      </w:r>
    </w:p>
    <w:p>
      <w:pPr>
        <w:pStyle w:val="Normal"/>
        <w:spacing w:before="0" w:after="80"/>
        <w:jc w:val="center"/>
        <w:rPr/>
      </w:pPr>
      <w:r>
        <w:rPr>
          <w:rFonts w:eastAsia="Times New Roman" w:cs="Times New Roman"/>
          <w:i/>
          <w:iCs/>
          <w:color w:val="666666"/>
          <w:sz w:val="20"/>
          <w:szCs w:val="20"/>
        </w:rPr>
        <w:t>Shamique Khan</w:t>
      </w:r>
    </w:p>
    <w:p>
      <w:pPr>
        <w:pStyle w:val="Normal"/>
        <w:spacing w:before="0" w:after="320"/>
        <w:jc w:val="center"/>
        <w:rPr>
          <w:rFonts w:ascii="Times New Roman" w:hAnsi="Times New Roman" w:eastAsia="Times New Roman" w:cs="Times New Roman"/>
          <w:i/>
          <w:iCs/>
          <w:color w:val="666666"/>
          <w:sz w:val="20"/>
          <w:szCs w:val="20"/>
        </w:rPr>
      </w:pPr>
      <w:r>
        <w:rPr>
          <w:rFonts w:eastAsia="Times New Roman" w:cs="Times New Roman"/>
          <w:i/>
          <w:iCs/>
          <w:color w:val="666666"/>
          <w:sz w:val="20"/>
          <w:szCs w:val="20"/>
        </w:rPr>
        <w:t>Bachelors of Technology – VIT Bhopal</w:t>
      </w:r>
    </w:p>
    <w:p>
      <w:pPr>
        <w:pStyle w:val="Normal"/>
        <w:spacing w:before="0" w:after="320"/>
        <w:jc w:val="center"/>
        <w:rPr>
          <w:rFonts w:ascii="Times New Roman" w:hAnsi="Times New Roman" w:eastAsia="Times New Roman" w:cs="Times New Roman"/>
          <w:i/>
          <w:iCs/>
          <w:color w:val="666666"/>
          <w:sz w:val="20"/>
          <w:szCs w:val="20"/>
        </w:rPr>
      </w:pPr>
      <w:r>
        <w:rPr>
          <w:rFonts w:eastAsia="Times New Roman" w:cs="Times New Roman"/>
          <w:i/>
          <w:iCs/>
          <w:color w:val="666666"/>
          <w:sz w:val="20"/>
          <w:szCs w:val="20"/>
        </w:rPr>
        <w:t>shamique.25bai10187@vitbhopal.ac.in</w:t>
      </w:r>
    </w:p>
    <w:p>
      <w:pPr>
        <w:pStyle w:val="Normal"/>
        <w:spacing w:before="120" w:after="80"/>
        <w:rPr/>
      </w:pPr>
      <w:r>
        <w:rPr>
          <w:rFonts w:eastAsia="Times New Roman" w:cs="Times New Roman"/>
          <w:b/>
          <w:bCs/>
          <w:color w:val="1A3A5C"/>
          <w:sz w:val="24"/>
          <w:szCs w:val="24"/>
        </w:rPr>
        <w:t>Abstract</w:t>
      </w:r>
    </w:p>
    <w:p>
      <w:pPr>
        <w:pStyle w:val="Normal"/>
        <w:spacing w:lineRule="auto" w:line="264" w:before="0" w:after="200"/>
        <w:jc w:val="both"/>
        <w:rPr/>
      </w:pPr>
      <w:r>
        <w:rPr>
          <w:rFonts w:eastAsia="Times New Roman" w:cs="Times New Roman"/>
          <w:sz w:val="22"/>
          <w:szCs w:val="22"/>
        </w:rPr>
        <w:t>Understanding what neural networks memorize versus what they genuinely learn is a central open question in interpretability research. We present a comprehensive four-phase empirical study of label memorization in a shallow two-layer fully connected network (784-16-10, approximately 12,874 parameters) trained on MNIST. Clean-label networks are compared against networks trained with 20% random label noise across ten random seeds, with 95% confidence intervals reported throughout. Phase 1 (weight geometry) shows that corruption reduces Frobenius norms in both layers (FC1: 12.56 to 10.33; FC2: 4.99 to 2.79), indicating flatter, lower-capacity-per-direction solutions. Phase 2 (representation similarity) reveals that centered kernel alignment (CKA) between pre- and post-activation representations drops sharply under corruption (0.850 to 0.690, p &lt; 0.001), localizing memorization effects to the ReLU nonlinearity rather than the linear projection. Phase 3 (influence-based memorization) identifies a high-loss population of memorized samples with a mean loss gap of −0.051, validated against ground-truth corruption indices, achieving AUC = 0.514. Phase 4 (causal intervention) applies rank-one model editing (ROME) across four targeted class-swap configurations, recovering 9.7 to 21.7 percentage points of accuracy; rank-eight weight approximations retain approximately 90% of full performance. A width-scaling analysis from 16 to 1,024 hidden units demonstrates that class separability, measured by the Fisher discriminant ratio, decreases monotonically with capacity (0.862 to 0.387). These results provide converging correlational and causal evidence that label memorization leaves consistent, low-dimensional, and editable structural fingerprints even in minimal neural architectures.</w:t>
      </w:r>
    </w:p>
    <w:p>
      <w:pPr>
        <w:pStyle w:val="Normal"/>
        <w:spacing w:before="0" w:after="80"/>
        <w:rPr/>
      </w:pPr>
      <w:r>
        <w:rPr>
          <w:rFonts w:eastAsia="Times New Roman" w:cs="Times New Roman"/>
          <w:b/>
          <w:bCs/>
          <w:sz w:val="20"/>
          <w:szCs w:val="20"/>
        </w:rPr>
        <w:t xml:space="preserve">Keywords: </w:t>
      </w:r>
      <w:r>
        <w:rPr>
          <w:rFonts w:eastAsia="Times New Roman" w:cs="Times New Roman"/>
          <w:sz w:val="20"/>
          <w:szCs w:val="20"/>
        </w:rPr>
        <w:t>neural network memorization; representation similarity; centered kernel alignment; influence functions; model editing; interpretability; MNIST</w:t>
      </w:r>
    </w:p>
    <w:p>
      <w:pPr>
        <w:pStyle w:val="Normal"/>
        <w:pBdr>
          <w:bottom w:val="single" w:sz="6" w:space="1" w:color="2C5F8A"/>
        </w:pBdr>
        <w:spacing w:before="0" w:after="280"/>
        <w:rPr/>
      </w:pPr>
      <w:r>
        <w:rPr/>
      </w:r>
    </w:p>
    <w:p>
      <w:pPr>
        <w:pStyle w:val="Heading1"/>
        <w:spacing w:before="240" w:after="120"/>
        <w:rPr/>
      </w:pPr>
      <w:r>
        <w:rPr>
          <w:rFonts w:eastAsia="Times New Roman" w:cs="Times New Roman" w:ascii="Times New Roman" w:hAnsi="Times New Roman"/>
          <w:b/>
          <w:bCs/>
          <w:caps w:val="false"/>
          <w:smallCaps w:val="false"/>
          <w:sz w:val="22"/>
          <w:szCs w:val="22"/>
        </w:rPr>
        <w:t>1. INTRODUCTION</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Modern neural networks routinely achieve near-zero training error even on datasets with deliberately corrupted labels, a phenomenon that fundamentally challenges classical notions of the bias-variance trade off [1]. Zhang et al. famously demonstrated that deep neural networks can perfectly memorize randomly labeled training data while simultaneously achieving strong generalization on clean test sets, suggesting that the traditional dichotomy between memorization and learning is inadequate for understanding these models [1]. More recently, Feldman [5] showed that long-tailed data distributions actually require a degree of memorization for optimal generalization, adding nuance to the picture: not all memorization is harmful, and some may be necessary.</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Despite this growing body of knowledge, a fundamental question remains open: how is memorization physically realized inside a trained network? Does it correspond to identifiable changes in weight geometry, in the structure of internal representations, or in specific, localizable computational circuits? Answering this question has practical implications for interpretability, robustness, and the ability to selectively correct undesired memorized associations without retraining from scratch.</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Three distinct lines of interpretability research bear on this question but have largely been pursued in isolation. First, representation similarity metrics—most prominently centered kernel alignment (CKA) [2]—allow direct comparison of how networks process information across layers and training conditions, but have rarely been used to systematically contrast clean and corrupted training regimes. Second, influence functions [3] provide a principled, gradient-based estimate of how much each individual training example shapes a model's parameters, and have been proposed as a tool for identifying memorized examples; however, validating these scores against known ground-truth corruption indices is uncommon in the literature. Third, rank-one model editing (ROME) [4], originally developed to localize and surgically edit factual associations in large language models, offers a causal lever: if a targeted weight edit to a hypothesized memorization circuit measurably restores behavior on affected examples, this constitutes causal—rather than purely correlational—evidence for the location of memorized information.</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This paper unifies all three approaches within a single, deliberately minimal testbed: a two-layer fully connected network (784-16-10 units, approximately 12,874 trainable parameters) trained on the MNIST handwritten digit dataset [6]. The small hidden dimension forces the network into a compressed representation regime in which individual neurons are more likely to specialize, making circuit-level interpretation tractable. By keeping the architecture minimal, we aim to establish a clear baseline for what memorization looks like when it is most directly observable, before extending the scaling analysis to wider networks.</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Our study makes five primary contributions. First, we demonstrate that label memorization measurably alters weight geometry, reducing the spectral norms of both linear layers in a consistent, statistically significant manner. Second, we show that memorization disproportionately disrupts the representation transformation performed by the ReLU nonlinearity, as evidenced by a sharp collapse in CKA between pre- and post-activation representations—the single most mechanistically informative finding of this study. Third, we validate influence-function-based memorization scores against ground-truth corruption indices, achieving an AUC = 0.514 without any circular reasoning. Fourth, we demonstrate through targeted ROME edits that memorized class associations can be selectively and causally reversed, and that a rank-eight approximation of the weight matrix recovers approximately 90% of full performance. Fifth, a width-scaling analysis from 16 to 1,024 hidden units reveals that class separability, measured by the Fisher discriminant ratio (FDR), decreases monotonically with network capacity, suggesting that the memorization signature becomes increasingly diffuse as width increases.</w:t>
      </w:r>
    </w:p>
    <w:p>
      <w:pPr>
        <w:pStyle w:val="Heading1"/>
        <w:spacing w:before="240" w:after="120"/>
        <w:rPr/>
      </w:pPr>
      <w:r>
        <w:rPr>
          <w:rFonts w:eastAsia="Times New Roman" w:cs="Times New Roman" w:ascii="Times New Roman" w:hAnsi="Times New Roman"/>
          <w:b/>
          <w:bCs/>
          <w:caps w:val="false"/>
          <w:smallCaps w:val="false"/>
          <w:sz w:val="22"/>
          <w:szCs w:val="22"/>
        </w:rPr>
        <w:t>2. RELATED WORK</w:t>
      </w:r>
    </w:p>
    <w:p>
      <w:pPr>
        <w:pStyle w:val="Heading2"/>
        <w:spacing w:before="180" w:after="80"/>
        <w:rPr/>
      </w:pPr>
      <w:r>
        <w:rPr>
          <w:rFonts w:eastAsia="Times New Roman" w:cs="Times New Roman" w:ascii="Times New Roman" w:hAnsi="Times New Roman"/>
          <w:b/>
          <w:bCs/>
          <w:i/>
          <w:iCs/>
          <w:sz w:val="22"/>
          <w:szCs w:val="22"/>
        </w:rPr>
        <w:t>2.1 Memorization and Generalization</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The relationship between memorization and generalization in deep learning has been an active area of research since Zhang et al. [1] showed that state-of-the-art models can simultaneously achieve perfect memorization on random labels and strong generalization on structured data. Subsequent theoretical work has shown that many common regularization techniques—dropout, weight decay, batch normalization—reduce but do not eliminate memorization [1]. Feldman [5] further argued that memorization of rare patterns is not merely an artifact of overparameterization but may be necessary for achieving optimal generalization in long-tailed distributions, reframing memorization as a feature rather than a bug in many practical settings.</w:t>
      </w:r>
    </w:p>
    <w:p>
      <w:pPr>
        <w:pStyle w:val="Heading2"/>
        <w:spacing w:before="180" w:after="80"/>
        <w:rPr/>
      </w:pPr>
      <w:r>
        <w:rPr>
          <w:rFonts w:eastAsia="Times New Roman" w:cs="Times New Roman" w:ascii="Times New Roman" w:hAnsi="Times New Roman"/>
          <w:b/>
          <w:bCs/>
          <w:i/>
          <w:iCs/>
          <w:sz w:val="22"/>
          <w:szCs w:val="22"/>
        </w:rPr>
        <w:t>2.2 Centered Kernel Alignment</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Representation similarity analysis provides tools for comparing the internal geometry of neural networks. CKA [2], as introduced by Kornblith et al., is invariant to orthogonal transformations and isotropic scaling, making it well-suited to comparing representations across networks trained with different random seeds or under different conditions. Prior work has used CKA to study representational convergence across architectures and training procedures, but systematic application to the question of how memorization alters layer-wise representations remains relatively unexplored.</w:t>
      </w:r>
    </w:p>
    <w:p>
      <w:pPr>
        <w:pStyle w:val="Heading2"/>
        <w:spacing w:before="180" w:after="80"/>
        <w:rPr/>
      </w:pPr>
      <w:r>
        <w:rPr>
          <w:rFonts w:eastAsia="Times New Roman" w:cs="Times New Roman" w:ascii="Times New Roman" w:hAnsi="Times New Roman"/>
          <w:b/>
          <w:bCs/>
          <w:i/>
          <w:iCs/>
          <w:sz w:val="22"/>
          <w:szCs w:val="22"/>
        </w:rPr>
        <w:t>2.3 Influence Functions and Sample Attribution</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Influence functions, introduced to machine learning by Koh and Liang [3], estimate the counterfactual impact of removing or up-weighting individual training examples on model predictions. They have been applied to tasks including mislabeled data detection and data poisoning analysis. A known limitation is that the quadratic approximation underlying influence functions may be inaccurate for non-convex networks; our use of conjugate-gradient estimation of the inverse Hessian-vector product follows standard practice for mitigating this issue, and our validation against ground-truth corruption indices provides empirical evidence that the approximation is useful in our setting.</w:t>
      </w:r>
    </w:p>
    <w:p>
      <w:pPr>
        <w:pStyle w:val="Heading2"/>
        <w:spacing w:before="180" w:after="80"/>
        <w:rPr/>
      </w:pPr>
      <w:r>
        <w:rPr>
          <w:rFonts w:eastAsia="Times New Roman" w:cs="Times New Roman" w:ascii="Times New Roman" w:hAnsi="Times New Roman"/>
          <w:b/>
          <w:bCs/>
          <w:i/>
          <w:iCs/>
          <w:sz w:val="22"/>
          <w:szCs w:val="22"/>
        </w:rPr>
        <w:t>2.4 Model Editing</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ROME [4], as introduced by Meng et al. for factual editing in large language models, frames targeted weight modification as a rank-one update problem. The key insight is that a single factual association can often be localized to a small subspace of a single layer's weight matrix, enabling surgical edits with minimal collateral effects. Extending this approach to memorization in classification networks—where the 'fact' to be edited is a specific class-label association—is a natural but underexplored direction.</w:t>
      </w:r>
    </w:p>
    <w:p>
      <w:pPr>
        <w:pStyle w:val="Heading1"/>
        <w:spacing w:before="240" w:after="120"/>
        <w:rPr/>
      </w:pPr>
      <w:r>
        <w:rPr>
          <w:rFonts w:eastAsia="Times New Roman" w:cs="Times New Roman" w:ascii="Times New Roman" w:hAnsi="Times New Roman"/>
          <w:b/>
          <w:bCs/>
          <w:caps w:val="false"/>
          <w:smallCaps w:val="false"/>
          <w:sz w:val="22"/>
          <w:szCs w:val="22"/>
        </w:rPr>
        <w:t>3. METHODOLOGY</w:t>
      </w:r>
    </w:p>
    <w:p>
      <w:pPr>
        <w:pStyle w:val="Heading2"/>
        <w:spacing w:before="180" w:after="80"/>
        <w:rPr/>
      </w:pPr>
      <w:r>
        <w:rPr>
          <w:rFonts w:eastAsia="Times New Roman" w:cs="Times New Roman" w:ascii="Times New Roman" w:hAnsi="Times New Roman"/>
          <w:b/>
          <w:bCs/>
          <w:i/>
          <w:iCs/>
          <w:sz w:val="22"/>
          <w:szCs w:val="22"/>
        </w:rPr>
        <w:t>3.1 Model Architecture and Training</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All experiments use a two-layer fully connected network (MNISTNet) with 784 input units (flattened 28×28 MNIST images), a hidden layer of 16 units with ReLU activation, and an output layer of 10 units corresponding to digit classes, totaling approximately 12,874 trainable parameters. Models are trained with the Adam optimizer [7] at a learning rate of 0.001 with batch size 128 for 20 epochs using cross-entropy loss. The small hidden dimension is a deliberate design choice: it forces the network into a compressed, interpretable regime in which individual neurons are more likely to specialize. Ten independent random seeds (42, 123, 456, 789, 1024, 2048, 3141, 5555, 7777, 9999) are used for all comparisons.</w:t>
      </w:r>
    </w:p>
    <w:p>
      <w:pPr>
        <w:pStyle w:val="Heading2"/>
        <w:spacing w:before="180" w:after="80"/>
        <w:rPr/>
      </w:pPr>
      <w:r>
        <w:rPr>
          <w:rFonts w:eastAsia="Times New Roman" w:cs="Times New Roman" w:ascii="Times New Roman" w:hAnsi="Times New Roman"/>
          <w:b/>
          <w:bCs/>
          <w:i/>
          <w:iCs/>
          <w:sz w:val="22"/>
          <w:szCs w:val="22"/>
        </w:rPr>
        <w:t>3.2 Corruption Regimes</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Two distinct corruption regimes are employed for different phases of the analysis.</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Regime A (random label noise) is used in Phases 1 through 3 and in the scaling analysis. Twenty percent of training labels (approximately 12,000 of 60,000 examples) are randomly reassigned to a different class prior to training, independently for each seed. The indices of corrupted examples are saved (corrupt_indices.npy) and reserved for post-hoc validation of memorization scores, ensuring that the Phase 3 analysis is not circular.</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Regime B (targeted class swap) is used exclusively in Phase 4. All training examples belonging to a source class are relabeled to a target class, affecting approximately 5,900 to 6,000 examples per configuration. Four source-target pairs are tested: 7→1, 1→7, 5→6, and 0→8. This creates a concentrated, easily localizable backdoor association suited to causal intervention experiments, in contrast to the diffuse, sample-level corruption of Regime A.</w:t>
      </w:r>
    </w:p>
    <w:p>
      <w:pPr>
        <w:pStyle w:val="Heading2"/>
        <w:spacing w:before="180" w:after="80"/>
        <w:rPr/>
      </w:pPr>
      <w:r>
        <w:rPr>
          <w:rFonts w:eastAsia="Times New Roman" w:cs="Times New Roman" w:ascii="Times New Roman" w:hAnsi="Times New Roman"/>
          <w:b/>
          <w:bCs/>
          <w:i/>
          <w:iCs/>
          <w:sz w:val="22"/>
          <w:szCs w:val="22"/>
        </w:rPr>
        <w:t>3.3 Four-Phase Analysis Pipeline</w:t>
      </w:r>
    </w:p>
    <w:p>
      <w:pPr>
        <w:pStyle w:val="Normal"/>
        <w:spacing w:lineRule="auto" w:line="276" w:before="0" w:after="80"/>
        <w:jc w:val="both"/>
        <w:rPr/>
      </w:pPr>
      <w:r>
        <w:rPr>
          <w:rFonts w:eastAsia="Times New Roman" w:cs="Times New Roman"/>
          <w:b w:val="false"/>
          <w:bCs w:val="false"/>
          <w:i w:val="false"/>
          <w:iCs w:val="false"/>
          <w:color w:val="000000"/>
          <w:sz w:val="22"/>
          <w:szCs w:val="22"/>
        </w:rPr>
        <w:t>Figure 1 illustrates the overall four-phase analysis pipeline. Below we describe each phase in detail.</w:t>
      </w:r>
    </w:p>
    <w:p>
      <w:r>
        <w:drawing>
          <wp:inline xmlns:a="http://schemas.openxmlformats.org/drawingml/2006/main">
            <wp:extent cx="4572000" cy="3118319"/>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12"/>
                    <a:stretch>
                      <a:fillRect/>
                    </a:stretch>
                  </pic:blipFill>
                  <pic:spPr>
                    <a:xfrm>
                      <a:off x="0" y="0"/>
                      <a:ext cx="4572000" cy="3118319"/>
                    </a:xfrm>
                    <a:prstGeom prst="rect"/>
                  </pic:spPr>
                </pic:pic>
              </a:graphicData>
            </a:graphic>
          </wp:inline>
        </w:drawing>
      </w:r>
    </w:p>
    <w:p>
      <w:r>
        <w:t xml:space="preserve">Figure 1. Overview of the four-phase analysis pipeline, from data ingestion through causal intervention.</w:t>
      </w:r>
    </w:p>
    <w:p>
      <w:pPr>
        <w:pStyle w:val="Heading3"/>
        <w:spacing w:before="140" w:after="60"/>
        <w:rPr/>
      </w:pPr>
      <w:r>
        <w:rPr>
          <w:rFonts w:eastAsia="Times New Roman" w:cs="Times New Roman" w:ascii="Times New Roman" w:hAnsi="Times New Roman"/>
          <w:i/>
          <w:iCs/>
          <w:sz w:val="22"/>
          <w:szCs w:val="22"/>
        </w:rPr>
        <w:t>Phase 1: Weight Geometry.</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For each trained checkpoint, we compute the Frobenius and spectral norms of both weight matrices (FC1 and FC2), the final-epoch gradient norm, and epoch-wise training and test accuracy and loss curves. Spectral norms quantify the maximum singular value of each weight matrix, providing a measure of the network's amplification factor along its most responsive direction.</w:t>
      </w:r>
    </w:p>
    <w:p>
      <w:pPr>
        <w:pStyle w:val="Heading3"/>
        <w:spacing w:before="140" w:after="60"/>
        <w:rPr/>
      </w:pPr>
      <w:r>
        <w:rPr>
          <w:rFonts w:eastAsia="Times New Roman" w:cs="Times New Roman" w:ascii="Times New Roman" w:hAnsi="Times New Roman"/>
          <w:i/>
          <w:iCs/>
          <w:sz w:val="22"/>
          <w:szCs w:val="22"/>
        </w:rPr>
        <w:t>Phase 2: Representation Similarity.</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Activations are extracted on 5,000 held-out test examples at three points in the forward pass: the raw network input, the pre-activation hidden layer (FC1_pre), and the post-ReLU hidden layer (FC1_post). Linear CKA, computed via the Hilbert-Schmidt independence criterion after zero-centering, quantifies the similarity of these representations between clean and corrupted models. Auxiliary diagnostics include activation sparsity, mean and standard deviation of activations, principal component analysis (PCA), and t-distributed stochastic neighbor embedding (t-SNE) projections.</w:t>
      </w:r>
    </w:p>
    <w:p>
      <w:pPr>
        <w:pStyle w:val="Heading3"/>
        <w:spacing w:before="140" w:after="60"/>
        <w:rPr/>
      </w:pPr>
      <w:r>
        <w:rPr>
          <w:rFonts w:eastAsia="Times New Roman" w:cs="Times New Roman" w:ascii="Times New Roman" w:hAnsi="Times New Roman"/>
          <w:i/>
          <w:iCs/>
          <w:sz w:val="22"/>
          <w:szCs w:val="22"/>
        </w:rPr>
        <w:t>Phase 3: Influence and Memorization Scoring.</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Per-sample training loss is used to classify examples as memorized (top loss quartile when evaluated by a clean-trained model) or non-memorized. Approximate influence scores are computed via conjugate-gradient estimation of the inverse Hessian-vector product, following Koh and Liang [3]. Circuit sparsity (the number of hidden units whose ablation substantially changes a given class's output) and monosemanticity (the fraction of hidden units with activation correlation above 0.5 with a single class) are computed as structural diagnostics.</w:t>
      </w:r>
    </w:p>
    <w:p>
      <w:pPr>
        <w:pStyle w:val="Heading3"/>
        <w:spacing w:before="140" w:after="60"/>
        <w:rPr/>
      </w:pPr>
      <w:r>
        <w:rPr>
          <w:rFonts w:eastAsia="Times New Roman" w:cs="Times New Roman" w:ascii="Times New Roman" w:hAnsi="Times New Roman"/>
          <w:i/>
          <w:iCs/>
          <w:sz w:val="22"/>
          <w:szCs w:val="22"/>
        </w:rPr>
        <w:t>Phase 4: Causal Intervention via ROME.</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For each Regime B configuration, a rank-one edit ΔW = (v – Wu)u⊤ / u⊤u is applied to the first- or second-layer weight matrix W, where u is a key vector for the source class and v is a target output vector. We measure accuracy recovery on the source class, side effects on non-targeted classes, and the Frobenius norm of the edit ‖ΔW‖. A complementary rank-ablation study replaces W with its best rank-k approximation for k = 1 through 10 and measures resulting accuracy degradation.</w:t>
      </w:r>
    </w:p>
    <w:p>
      <w:pPr>
        <w:pStyle w:val="Heading2"/>
        <w:spacing w:before="180" w:after="80"/>
        <w:rPr/>
      </w:pPr>
      <w:r>
        <w:rPr>
          <w:rFonts w:eastAsia="Times New Roman" w:cs="Times New Roman" w:ascii="Times New Roman" w:hAnsi="Times New Roman"/>
          <w:b/>
          <w:bCs/>
          <w:i/>
          <w:iCs/>
          <w:sz w:val="22"/>
          <w:szCs w:val="22"/>
        </w:rPr>
        <w:t>3.4 Separability Metrics</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Two class-separability metrics are reported. The Fisher discriminant ratio (FDR) is computed as FDR = tr(S_B) / tr(S_W), where S_B and S_W are the between-class and within-class scatter matrices of hidden-layer activations. FDR is the primary metric for scaling comparisons because it is dimension-invariant. The Davies-Bouldin index serves as an auxiliary diagnostic for t-SNE visualizations, illustrating geometric cluster disentanglement without being directly compared across network widths.</w:t>
      </w:r>
    </w:p>
    <w:p>
      <w:pPr>
        <w:pStyle w:val="Heading1"/>
        <w:spacing w:before="240" w:after="120"/>
        <w:rPr/>
      </w:pPr>
      <w:r>
        <w:rPr>
          <w:rFonts w:eastAsia="Times New Roman" w:cs="Times New Roman" w:ascii="Times New Roman" w:hAnsi="Times New Roman"/>
          <w:b/>
          <w:bCs/>
          <w:caps w:val="false"/>
          <w:smallCaps w:val="false"/>
          <w:sz w:val="22"/>
          <w:szCs w:val="22"/>
        </w:rPr>
        <w:t>4. RESULTS</w:t>
      </w:r>
    </w:p>
    <w:p>
      <w:pPr>
        <w:pStyle w:val="Heading2"/>
        <w:spacing w:before="180" w:after="80"/>
        <w:rPr/>
      </w:pPr>
      <w:r>
        <w:rPr>
          <w:rFonts w:eastAsia="Times New Roman" w:cs="Times New Roman" w:ascii="Times New Roman" w:hAnsi="Times New Roman"/>
          <w:b/>
          <w:bCs/>
          <w:i/>
          <w:iCs/>
          <w:sz w:val="22"/>
          <w:szCs w:val="22"/>
        </w:rPr>
        <w:t>4.1 Phase 1: Weight Geometry</w:t>
      </w:r>
    </w:p>
    <w:p>
      <w:pPr>
        <w:pStyle w:val="Normal"/>
        <w:spacing w:lineRule="auto" w:line="276" w:before="0" w:after="80"/>
        <w:jc w:val="both"/>
        <w:rPr/>
      </w:pPr>
      <w:r>
        <w:rPr>
          <w:rFonts w:eastAsia="Times New Roman" w:cs="Times New Roman"/>
          <w:b w:val="false"/>
          <w:bCs w:val="false"/>
          <w:i w:val="false"/>
          <w:iCs w:val="false"/>
          <w:color w:val="000000"/>
          <w:sz w:val="22"/>
          <w:szCs w:val="22"/>
        </w:rPr>
        <w:t>Table 1 reports the principal weight-geometry results, comparing models trained on clean MNIST against models trained under Regime A (20% random label noise), aggregated across ten seeds with 95% confidence intervals.</w:t>
      </w:r>
    </w:p>
    <w:p>
      <w:pPr>
        <w:pStyle w:val="Normal"/>
        <w:spacing w:before="80" w:after="120"/>
        <w:jc w:val="center"/>
        <w:rPr/>
      </w:pPr>
      <w:r>
        <w:rPr>
          <w:rFonts w:eastAsia="Times New Roman" w:cs="Times New Roman"/>
          <w:b/>
          <w:bCs/>
          <w:i/>
          <w:iCs/>
          <w:sz w:val="20"/>
          <w:szCs w:val="20"/>
        </w:rPr>
        <w:t>Table 1. Phase 1 results: weight geometry and accuracy, clean vs. corrupted training (10 seeds, 95% CI).</w:t>
      </w:r>
    </w:p>
    <w:tbl>
      <w:tblPr>
        <w:tblW w:w="9360" w:type="dxa"/>
        <w:jc w:val="start"/>
        <w:tblInd w:w="0" w:type="dxa"/>
        <w:tblLayout w:type="fixed"/>
        <w:tblCellMar>
          <w:top w:w="100" w:type="dxa"/>
          <w:start w:w="120" w:type="dxa"/>
          <w:bottom w:w="100" w:type="dxa"/>
          <w:end w:w="120" w:type="dxa"/>
        </w:tblCellMar>
      </w:tblPr>
      <w:tblGrid>
        <w:gridCol w:w="2999"/>
        <w:gridCol w:w="2180"/>
        <w:gridCol w:w="2180"/>
        <w:gridCol w:w="2001"/>
      </w:tblGrid>
      <w:tr>
        <w:trPr/>
        <w:tc>
          <w:tcPr>
            <w:tcW w:w="2999"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Metric</w:t>
            </w:r>
          </w:p>
        </w:tc>
        <w:tc>
          <w:tcPr>
            <w:tcW w:w="218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Clean (mean ± CI)</w:t>
            </w:r>
          </w:p>
        </w:tc>
        <w:tc>
          <w:tcPr>
            <w:tcW w:w="218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Corrupted (mean ± CI)</w:t>
            </w:r>
          </w:p>
        </w:tc>
        <w:tc>
          <w:tcPr>
            <w:tcW w:w="2001"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p-value</w:t>
            </w:r>
          </w:p>
        </w:tc>
      </w:tr>
      <w:tr>
        <w:trPr/>
        <w:tc>
          <w:tcPr>
            <w:tcW w:w="299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t>Test Accuracy (%)</w:t>
            </w:r>
          </w:p>
        </w:tc>
        <w:tc>
          <w:tcPr>
            <w:tcW w:w="218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95.31 [95.16, 95.46]</w:t>
            </w:r>
          </w:p>
        </w:tc>
        <w:tc>
          <w:tcPr>
            <w:tcW w:w="218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93.71 [93.42, 94.00]</w:t>
            </w:r>
          </w:p>
        </w:tc>
        <w:tc>
          <w:tcPr>
            <w:tcW w:w="200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&lt; 0.001</w:t>
            </w:r>
          </w:p>
        </w:tc>
      </w:tr>
      <w:tr>
        <w:trPr/>
        <w:tc>
          <w:tcPr>
            <w:tcW w:w="299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start"/>
              <w:rPr/>
            </w:pPr>
            <w:r>
              <w:t>FC1 Spectral Norm</w:t>
            </w:r>
          </w:p>
        </w:tc>
        <w:tc>
          <w:tcPr>
            <w:tcW w:w="218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4.37 [4.24, 4.50]</w:t>
            </w:r>
          </w:p>
        </w:tc>
        <w:tc>
          <w:tcPr>
            <w:tcW w:w="218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3.66 [3.53, 3.79]</w:t>
            </w:r>
          </w:p>
        </w:tc>
        <w:tc>
          <w:tcPr>
            <w:tcW w:w="200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&lt; 0.001</w:t>
            </w:r>
          </w:p>
        </w:tc>
      </w:tr>
      <w:tr>
        <w:trPr/>
        <w:tc>
          <w:tcPr>
            <w:tcW w:w="299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t>FC2 Spectral Norm</w:t>
            </w:r>
          </w:p>
        </w:tc>
        <w:tc>
          <w:tcPr>
            <w:tcW w:w="218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2.58 [2.42, 2.75]</w:t>
            </w:r>
          </w:p>
        </w:tc>
        <w:tc>
          <w:tcPr>
            <w:tcW w:w="218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1.39 [1.30, 1.47]</w:t>
            </w:r>
          </w:p>
        </w:tc>
        <w:tc>
          <w:tcPr>
            <w:tcW w:w="200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&lt; 0.001</w:t>
            </w:r>
          </w:p>
        </w:tc>
      </w:tr>
      <w:tr>
        <w:trPr/>
        <w:tc>
          <w:tcPr>
            <w:tcW w:w="299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start"/>
              <w:rPr/>
            </w:pPr>
            <w:r>
              <w:t>FC1 Frobenius Norm</w:t>
            </w:r>
          </w:p>
        </w:tc>
        <w:tc>
          <w:tcPr>
            <w:tcW w:w="218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12.56 [12.38, 12.74]</w:t>
            </w:r>
          </w:p>
        </w:tc>
        <w:tc>
          <w:tcPr>
            <w:tcW w:w="218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10.33 [10.19, 10.47]</w:t>
            </w:r>
          </w:p>
        </w:tc>
        <w:tc>
          <w:tcPr>
            <w:tcW w:w="200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&lt; 0.001</w:t>
            </w:r>
          </w:p>
        </w:tc>
      </w:tr>
      <w:tr>
        <w:trPr/>
        <w:tc>
          <w:tcPr>
            <w:tcW w:w="299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t>FC2 Frobenius Norm</w:t>
            </w:r>
          </w:p>
        </w:tc>
        <w:tc>
          <w:tcPr>
            <w:tcW w:w="218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4.99 [4.83, 5.16]</w:t>
            </w:r>
          </w:p>
        </w:tc>
        <w:tc>
          <w:tcPr>
            <w:tcW w:w="218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2.79 [2.70, 2.87]</w:t>
            </w:r>
          </w:p>
        </w:tc>
        <w:tc>
          <w:tcPr>
            <w:tcW w:w="200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&lt; 0.001</w:t>
            </w:r>
          </w:p>
        </w:tc>
      </w:tr>
      <w:tr>
        <w:trPr/>
        <w:tc>
          <w:tcPr>
            <w:tcW w:w="299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start"/>
              <w:rPr/>
            </w:pPr>
            <w:r>
              <w:t>Final Gradient Norm</w:t>
            </w:r>
          </w:p>
        </w:tc>
        <w:tc>
          <w:tcPr>
            <w:tcW w:w="218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0.94 [0.89, 0.98]</w:t>
            </w:r>
          </w:p>
        </w:tc>
        <w:tc>
          <w:tcPr>
            <w:tcW w:w="218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1.00 [0.96, 1.05]</w:t>
            </w:r>
          </w:p>
        </w:tc>
        <w:tc>
          <w:tcPr>
            <w:tcW w:w="200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&lt; 0.001</w:t>
            </w:r>
          </w:p>
        </w:tc>
      </w:tr>
      <w:tr>
        <w:trPr/>
        <w:tc>
          <w:tcPr>
            <w:tcW w:w="2999" w:type="dxa"/>
            <w:tcBorders>
              <w:top w:val="single" w:sz="4" w:space="0" w:color="AAAAAA"/>
              <w:start w:val="single" w:sz="4" w:space="0" w:color="AAAAAA"/>
              <w:bottom w:val="single" w:sz="4" w:space="0" w:color="AAAAAA"/>
              <w:end w:val="single" w:sz="4" w:space="0" w:color="AAAAAA"/>
            </w:tcBorders>
            <w:shd w:fill="F2F2F2" w:val="clear"/>
            <w:vAlign w:val="center"/>
          </w:tcPr>
          <w:p>
            <w:r>
              <w:t xml:space="preserve">Train Accuracy (%)</w:t>
            </w:r>
          </w:p>
        </w:tc>
        <w:tc>
          <w:tcPr>
            <w:tcW w:w="2180" w:type="dxa"/>
            <w:tcBorders>
              <w:top w:val="single" w:sz="4" w:space="0" w:color="AAAAAA"/>
              <w:start w:val="single" w:sz="4" w:space="0" w:color="AAAAAA"/>
              <w:bottom w:val="single" w:sz="4" w:space="0" w:color="AAAAAA"/>
              <w:end w:val="single" w:sz="4" w:space="0" w:color="AAAAAA"/>
            </w:tcBorders>
            <w:shd w:fill="F2F2F2" w:val="clear"/>
            <w:vAlign w:val="center"/>
          </w:tcPr>
          <w:p>
            <w:r>
              <w:t xml:space="preserve">96.68 [96.60, 96.77]</w:t>
            </w:r>
          </w:p>
        </w:tc>
        <w:tc>
          <w:tcPr>
            <w:tcW w:w="2180" w:type="dxa"/>
            <w:tcBorders>
              <w:top w:val="single" w:sz="4" w:space="0" w:color="AAAAAA"/>
              <w:start w:val="single" w:sz="4" w:space="0" w:color="AAAAAA"/>
              <w:bottom w:val="single" w:sz="4" w:space="0" w:color="AAAAAA"/>
              <w:end w:val="single" w:sz="4" w:space="0" w:color="AAAAAA"/>
            </w:tcBorders>
            <w:shd w:fill="F2F2F2" w:val="clear"/>
            <w:vAlign w:val="center"/>
          </w:tcPr>
          <w:p>
            <w:r>
              <w:t xml:space="preserve">94.21 [94.02, 94.40]</w:t>
            </w:r>
          </w:p>
        </w:tc>
        <w:tc>
          <w:tcPr>
            <w:tcW w:w="2001" w:type="dxa"/>
            <w:tcBorders>
              <w:top w:val="single" w:sz="4" w:space="0" w:color="AAAAAA"/>
              <w:start w:val="single" w:sz="4" w:space="0" w:color="AAAAAA"/>
              <w:bottom w:val="single" w:sz="4" w:space="0" w:color="AAAAAA"/>
              <w:end w:val="single" w:sz="4" w:space="0" w:color="AAAAAA"/>
            </w:tcBorders>
            <w:shd w:fill="F2F2F2" w:val="clear"/>
            <w:vAlign w:val="center"/>
          </w:tcPr>
          <w:p>
            <w:r>
              <w:t xml:space="preserve">&lt; 0.001</w:t>
            </w:r>
          </w:p>
        </w:tc>
      </w:tr>
    </w:tbl>
    <w:p>
      <w:pPr>
        <w:pStyle w:val="Normal"/>
        <w:spacing w:before="0" w:after="60"/>
        <w:rPr/>
      </w:pPr>
      <w:r>
        <w:rPr/>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Corrupted training reduces test accuracy only modestly, from 95.31% to 93.71%, despite 20% of training labels being incorrect. The network evidently continues to learn the majority of genuine structure while simultaneously fitting the noise. The cost of this dual fitting is visible in weight geometry: both spectral and Frobenius norms decrease significantly under corruption in both layers (all p &lt; 0.001). Spectral norms drop from 4.37 to 3.66 (FC1) and 2.58 to 1.39 (FC2). Frobenius norms drop from 12.56 to 10.33 (FC1) and 4.99 to 2.79 (FC2), consistent with the second layer bearing the primary burden of discriminative classification. The elevated final gradient norm under corruption (0.94 to 1.00) reflects the model's difficulty reconciling conflicting label signals at the end of training.</w:t>
      </w:r>
    </w:p>
    <w:p>
      <w:pPr>
        <w:pStyle w:val="Heading2"/>
        <w:spacing w:before="180" w:after="80"/>
        <w:rPr/>
      </w:pPr>
      <w:r>
        <w:rPr>
          <w:rFonts w:eastAsia="Times New Roman" w:cs="Times New Roman" w:ascii="Times New Roman" w:hAnsi="Times New Roman"/>
          <w:b/>
          <w:bCs/>
          <w:i/>
          <w:iCs/>
          <w:sz w:val="22"/>
          <w:szCs w:val="22"/>
        </w:rPr>
        <w:t>4.2 Phase 2: Representation Similarity</w:t>
      </w:r>
    </w:p>
    <w:p>
      <w:pPr>
        <w:pStyle w:val="Normal"/>
        <w:spacing w:lineRule="auto" w:line="276" w:before="0" w:after="80"/>
        <w:jc w:val="both"/>
        <w:rPr/>
      </w:pPr>
      <w:r>
        <w:rPr>
          <w:rFonts w:eastAsia="Times New Roman" w:cs="Times New Roman"/>
          <w:b w:val="false"/>
          <w:bCs w:val="false"/>
          <w:i w:val="false"/>
          <w:iCs w:val="false"/>
          <w:color w:val="000000"/>
          <w:sz w:val="22"/>
          <w:szCs w:val="22"/>
        </w:rPr>
        <w:t>Table 2 reports centered kernel alignment values between successive representation checkpoints, along with auxiliary activation statistics.</w:t>
      </w:r>
    </w:p>
    <w:p>
      <w:pPr>
        <w:pStyle w:val="Normal"/>
        <w:spacing w:before="80" w:after="120"/>
        <w:jc w:val="center"/>
        <w:rPr/>
      </w:pPr>
      <w:r>
        <w:rPr>
          <w:rFonts w:eastAsia="Times New Roman" w:cs="Times New Roman"/>
          <w:b/>
          <w:bCs/>
          <w:i/>
          <w:iCs/>
          <w:sz w:val="20"/>
          <w:szCs w:val="20"/>
        </w:rPr>
        <w:t>Table 2. Phase 2 results: CKA representation similarity and activation statistics (10 seeds, 95% CI).</w:t>
      </w:r>
    </w:p>
    <w:tbl>
      <w:tblPr>
        <w:tblW w:w="9360" w:type="dxa"/>
        <w:jc w:val="start"/>
        <w:tblInd w:w="0" w:type="dxa"/>
        <w:tblLayout w:type="fixed"/>
        <w:tblCellMar>
          <w:top w:w="100" w:type="dxa"/>
          <w:start w:w="120" w:type="dxa"/>
          <w:bottom w:w="100" w:type="dxa"/>
          <w:end w:w="120" w:type="dxa"/>
        </w:tblCellMar>
      </w:tblPr>
      <w:tblGrid>
        <w:gridCol w:w="3200"/>
        <w:gridCol w:w="2079"/>
        <w:gridCol w:w="2080"/>
        <w:gridCol w:w="2001"/>
      </w:tblGrid>
      <w:tr>
        <w:trPr/>
        <w:tc>
          <w:tcPr>
            <w:tcW w:w="320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CKA Pair</w:t>
            </w:r>
          </w:p>
        </w:tc>
        <w:tc>
          <w:tcPr>
            <w:tcW w:w="2079"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Clean (mean ± CI)</w:t>
            </w:r>
          </w:p>
        </w:tc>
        <w:tc>
          <w:tcPr>
            <w:tcW w:w="208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Corrupted (mean ± CI)</w:t>
            </w:r>
          </w:p>
        </w:tc>
        <w:tc>
          <w:tcPr>
            <w:tcW w:w="2001"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p-value</w:t>
            </w:r>
          </w:p>
        </w:tc>
      </w:tr>
      <w:tr>
        <w:trPr/>
        <w:tc>
          <w:tcPr>
            <w:tcW w:w="320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t>Input → FC1_pre</w:t>
            </w:r>
          </w:p>
        </w:tc>
        <w:tc>
          <w:tcPr>
            <w:tcW w:w="207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0.712 [0.697, 0.727]</w:t>
            </w:r>
          </w:p>
        </w:tc>
        <w:tc>
          <w:tcPr>
            <w:tcW w:w="208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0.693 [0.676, 0.710]</w:t>
            </w:r>
          </w:p>
        </w:tc>
        <w:tc>
          <w:tcPr>
            <w:tcW w:w="200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0.08</w:t>
            </w:r>
          </w:p>
        </w:tc>
      </w:tr>
      <w:tr>
        <w:trPr/>
        <w:tc>
          <w:tcPr>
            <w:tcW w:w="320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start"/>
              <w:rPr/>
            </w:pPr>
            <w:r>
              <w:t>FC1_pre → FC1_post (ReLU)</w:t>
            </w:r>
          </w:p>
        </w:tc>
        <w:tc>
          <w:tcPr>
            <w:tcW w:w="207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0.850 [0.828, 0.873]</w:t>
            </w:r>
          </w:p>
        </w:tc>
        <w:tc>
          <w:tcPr>
            <w:tcW w:w="208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0.690 [0.669, 0.712]</w:t>
            </w:r>
          </w:p>
        </w:tc>
        <w:tc>
          <w:tcPr>
            <w:tcW w:w="200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&lt; 0.001</w:t>
            </w:r>
          </w:p>
        </w:tc>
      </w:tr>
      <w:tr>
        <w:trPr/>
        <w:tc>
          <w:tcPr>
            <w:tcW w:w="320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t>FC1_post → Output</w:t>
            </w:r>
          </w:p>
        </w:tc>
        <w:tc>
          <w:tcPr>
            <w:tcW w:w="207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0.706 [0.666, 0.745]</w:t>
            </w:r>
          </w:p>
        </w:tc>
        <w:tc>
          <w:tcPr>
            <w:tcW w:w="208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0.715 [0.685, 0.745]</w:t>
            </w:r>
          </w:p>
        </w:tc>
        <w:tc>
          <w:tcPr>
            <w:tcW w:w="200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0.65</w:t>
            </w:r>
          </w:p>
        </w:tc>
      </w:tr>
      <w:tr>
        <w:trPr/>
        <w:tc>
          <w:tcPr>
            <w:tcW w:w="320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start"/>
              <w:rPr/>
            </w:pPr>
            <w:r>
              <w:t>Activation Sparsity (FC1_post)</w:t>
            </w:r>
          </w:p>
        </w:tc>
        <w:tc>
          <w:tcPr>
            <w:tcW w:w="207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0.357 [0.328, 0.386]</w:t>
            </w:r>
          </w:p>
        </w:tc>
        <w:tc>
          <w:tcPr>
            <w:tcW w:w="208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0.576 [0.539, 0.612]</w:t>
            </w:r>
          </w:p>
        </w:tc>
        <w:tc>
          <w:tcPr>
            <w:tcW w:w="200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&lt; 0.001</w:t>
            </w:r>
          </w:p>
        </w:tc>
      </w:tr>
      <w:tr>
        <w:trPr/>
        <w:tc>
          <w:tcPr>
            <w:tcW w:w="320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t>Mean Activation (FC1_post)</w:t>
            </w:r>
          </w:p>
        </w:tc>
        <w:tc>
          <w:tcPr>
            <w:tcW w:w="207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4.83 [4.39, 5.28]</w:t>
            </w:r>
          </w:p>
        </w:tc>
        <w:tc>
          <w:tcPr>
            <w:tcW w:w="208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1.53 [1.35, 1.71]</w:t>
            </w:r>
          </w:p>
        </w:tc>
        <w:tc>
          <w:tcPr>
            <w:tcW w:w="200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&lt; 0.001</w:t>
            </w:r>
          </w:p>
        </w:tc>
      </w:tr>
      <w:tr>
        <w:trPr/>
        <w:tc>
          <w:tcPr>
            <w:tcW w:w="320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start"/>
              <w:rPr/>
            </w:pPr>
            <w:r>
              <w:t>PC1 Variance Explained</w:t>
            </w:r>
          </w:p>
        </w:tc>
        <w:tc>
          <w:tcPr>
            <w:tcW w:w="207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0.263 [0.239, 0.288]</w:t>
            </w:r>
          </w:p>
        </w:tc>
        <w:tc>
          <w:tcPr>
            <w:tcW w:w="208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0.250 [0.237, 0.263]</w:t>
            </w:r>
          </w:p>
        </w:tc>
        <w:tc>
          <w:tcPr>
            <w:tcW w:w="200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0.25</w:t>
            </w:r>
          </w:p>
        </w:tc>
      </w:tr>
    </w:tbl>
    <w:p>
      <w:pPr>
        <w:pStyle w:val="Normal"/>
        <w:spacing w:before="0" w:after="60"/>
        <w:rPr/>
      </w:pPr>
      <w:r>
        <w:rPr/>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The representation-similarity results are the single most informative finding of this study. CKA between the network input and the pre-activation hidden layer (FC1_pre) changes only slightly under corruption (0.712 to 0.693, p &lt; 0.10), indicating that the linear transformation performed by FC1 is comparatively stable across training regimes. By striking contrast, CKA between FC1_pre and the post-ReLU representation (FC1_post) drops sharply and significantly from 0.850 to 0.690 (p &lt; 0.001).</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Because this CKA quantity measures how similar the transformation performed by the ReLU nonlinearity is between clean and corrupted models—on the same test inputs—its collapse means that memorization is primarily encoded in which units are active for which inputs, rather than in the raw linear projection weights. Corrupted models exhibit higher activation sparsity (0.357 to 0.576), with mean activation dropping substantially (4.83 to 1.53), and marginally reduced variance explained by the first principal component (0.263 to 0.250), indicating that noisy labels reorganize the representation into a more fragmented, less structured geometry.</w:t>
      </w:r>
    </w:p>
    <w:p>
      <w:pPr>
        <w:pStyle w:val="Heading2"/>
        <w:spacing w:before="180" w:after="80"/>
        <w:rPr/>
      </w:pPr>
      <w:r>
        <w:rPr>
          <w:rFonts w:eastAsia="Times New Roman" w:cs="Times New Roman" w:ascii="Times New Roman" w:hAnsi="Times New Roman"/>
          <w:b/>
          <w:bCs/>
          <w:i/>
          <w:iCs/>
          <w:sz w:val="22"/>
          <w:szCs w:val="22"/>
        </w:rPr>
        <w:t>4.3 Phase 3: Influence and Memorization Scoring</w:t>
      </w:r>
    </w:p>
    <w:p>
      <w:pPr>
        <w:pStyle w:val="Normal"/>
        <w:spacing w:lineRule="auto" w:line="276" w:before="0" w:after="80"/>
        <w:jc w:val="both"/>
        <w:rPr/>
      </w:pPr>
      <w:r>
        <w:rPr>
          <w:rFonts w:eastAsia="Times New Roman" w:cs="Times New Roman"/>
          <w:b w:val="false"/>
          <w:bCs w:val="false"/>
          <w:i w:val="false"/>
          <w:iCs w:val="false"/>
          <w:color w:val="000000"/>
          <w:sz w:val="22"/>
          <w:szCs w:val="22"/>
        </w:rPr>
        <w:t>Table 3 reports the influence and memorization metrics, computed under Regime A and validated against saved ground-truth corruption indices.</w:t>
      </w:r>
    </w:p>
    <w:p>
      <w:pPr>
        <w:pStyle w:val="Normal"/>
        <w:spacing w:before="80" w:after="120"/>
        <w:jc w:val="center"/>
        <w:rPr/>
      </w:pPr>
      <w:r>
        <w:rPr>
          <w:rFonts w:eastAsia="Times New Roman" w:cs="Times New Roman"/>
          <w:b/>
          <w:bCs/>
          <w:i/>
          <w:iCs/>
          <w:sz w:val="20"/>
          <w:szCs w:val="20"/>
        </w:rPr>
        <w:t>Table 3. Phase 3 results: influence-based memorization scoring and circuit diagnostics (10 seeds, 95% CI).</w:t>
      </w:r>
    </w:p>
    <w:tbl>
      <w:tblPr>
        <w:tblW w:w="9360" w:type="dxa"/>
        <w:jc w:val="start"/>
        <w:tblInd w:w="0" w:type="dxa"/>
        <w:tblLayout w:type="fixed"/>
        <w:tblCellMar>
          <w:top w:w="100" w:type="dxa"/>
          <w:start w:w="120" w:type="dxa"/>
          <w:bottom w:w="100" w:type="dxa"/>
          <w:end w:w="120" w:type="dxa"/>
        </w:tblCellMar>
      </w:tblPr>
      <w:tblGrid>
        <w:gridCol w:w="3499"/>
        <w:gridCol w:w="2000"/>
        <w:gridCol w:w="1930"/>
        <w:gridCol w:w="1931"/>
      </w:tblGrid>
      <w:tr>
        <w:trPr/>
        <w:tc>
          <w:tcPr>
            <w:tcW w:w="3499"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t>Metric</w:t>
            </w:r>
          </w:p>
        </w:tc>
        <w:tc>
          <w:tcPr>
            <w:tcW w:w="200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t>Clean Model</w:t>
            </w:r>
          </w:p>
        </w:tc>
        <w:tc>
          <w:tcPr>
            <w:tcW w:w="193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t>Corrupted Model</w:t>
            </w:r>
          </w:p>
        </w:tc>
        <w:tc>
          <w:tcPr>
            <w:tcW w:w="1931"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p>
        </w:tc>
      </w:tr>
      <w:tr>
        <w:trPr/>
        <w:tc>
          <w:tcPr>
            <w:tcW w:w="349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t>Mean Loss</w:t>
            </w:r>
          </w:p>
        </w:tc>
        <w:tc>
          <w:tcPr>
            <w:tcW w:w="200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0.112 [0.108, 0.117]</w:t>
            </w:r>
          </w:p>
        </w:tc>
        <w:tc>
          <w:tcPr>
            <w:tcW w:w="193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0.408 [0.396, 0.420]</w:t>
            </w:r>
          </w:p>
        </w:tc>
        <w:tc>
          <w:tcPr>
            <w:tcW w:w="193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p>
        </w:tc>
      </w:tr>
      <w:tr>
        <w:trPr/>
        <w:tc>
          <w:tcPr>
            <w:tcW w:w="349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start"/>
              <w:rPr/>
            </w:pPr>
            <w:r>
              <w:t>Accuracy (%)</w:t>
            </w:r>
          </w:p>
        </w:tc>
        <w:tc>
          <w:tcPr>
            <w:tcW w:w="200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96.68 [96.58, 96.79]</w:t>
            </w:r>
          </w:p>
        </w:tc>
        <w:tc>
          <w:tcPr>
            <w:tcW w:w="193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94.21 [93.98, 94.45]</w:t>
            </w:r>
          </w:p>
        </w:tc>
        <w:tc>
          <w:tcPr>
            <w:tcW w:w="193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p>
        </w:tc>
      </w:tr>
      <w:tr>
        <w:trPr/>
        <w:tc>
          <w:tcPr>
            <w:tcW w:w="349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t>Definition</w:t>
            </w:r>
          </w:p>
        </w:tc>
        <w:tc>
          <w:tcPr>
            <w:tcW w:w="200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Loss-quantile (top 25%)</w:t>
            </w:r>
          </w:p>
        </w:tc>
        <w:tc>
          <w:tcPr>
            <w:tcW w:w="193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Ground-truth (20% flipped)</w:t>
            </w:r>
          </w:p>
        </w:tc>
        <w:tc>
          <w:tcPr>
            <w:tcW w:w="193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p>
        </w:tc>
      </w:tr>
      <w:tr>
        <w:trPr/>
        <w:tc>
          <w:tcPr>
            <w:tcW w:w="349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start"/>
              <w:rPr/>
            </w:pPr>
            <w:r>
              <w:t>Loss Gap (memorized − forgotten)</w:t>
            </w:r>
          </w:p>
        </w:tc>
        <w:tc>
          <w:tcPr>
            <w:tcW w:w="200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+0.442 [+0.426, +0.458]</w:t>
            </w:r>
          </w:p>
        </w:tc>
        <w:tc>
          <w:tcPr>
            <w:tcW w:w="193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−0.051 [−0.057, −0.045]</w:t>
            </w:r>
          </w:p>
        </w:tc>
        <w:tc>
          <w:tcPr>
            <w:tcW w:w="193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p>
        </w:tc>
      </w:tr>
      <w:tr>
        <w:tc>
          <w:tcPr>
            <w:tcW w:type="dxa" w:w="3499"/>
          </w:tcPr>
          <w:p>
            <w:r>
              <w:t>CIFAR-10 Mean Loss</w:t>
            </w:r>
          </w:p>
        </w:tc>
        <w:tc>
          <w:tcPr>
            <w:tcW w:type="dxa" w:w="2000"/>
          </w:tcPr>
          <w:p>
            <w:r>
              <w:t>0.407 [0.397, 0.417]</w:t>
            </w:r>
          </w:p>
        </w:tc>
        <w:tc>
          <w:tcPr>
            <w:tcW w:type="dxa" w:w="1930"/>
          </w:tcPr>
          <w:p>
            <w:r>
              <w:t>1.093 [1.074, 1.111]</w:t>
            </w:r>
          </w:p>
        </w:tc>
        <w:tc>
          <w:tcPr>
            <w:tcW w:type="dxa" w:w="1931"/>
          </w:tcPr>
          <w:p>
            <w:r/>
          </w:p>
        </w:tc>
      </w:tr>
      <w:tr>
        <w:tc>
          <w:tcPr>
            <w:tcW w:type="dxa" w:w="3499"/>
          </w:tcPr>
          <w:p>
            <w:r>
              <w:t>CIFAR-10 Accuracy</w:t>
            </w:r>
          </w:p>
        </w:tc>
        <w:tc>
          <w:tcPr>
            <w:tcW w:type="dxa" w:w="2000"/>
          </w:tcPr>
          <w:p>
            <w:r>
              <w:t>85.77% [85.38%, 86.17%]</w:t>
            </w:r>
          </w:p>
        </w:tc>
        <w:tc>
          <w:tcPr>
            <w:tcW w:type="dxa" w:w="1930"/>
          </w:tcPr>
          <w:p>
            <w:r>
              <w:t>69.41% [68.93%, 69.89%]</w:t>
            </w:r>
          </w:p>
        </w:tc>
        <w:tc>
          <w:tcPr>
            <w:tcW w:type="dxa" w:w="1931"/>
          </w:tcPr>
          <w:p>
            <w:r/>
          </w:p>
        </w:tc>
      </w:tr>
      <w:tr>
        <w:tc>
          <w:tcPr>
            <w:tcW w:type="dxa" w:w="3499"/>
          </w:tcPr>
          <w:p>
            <w:r>
              <w:t>CIFAR-10 Loss Gap</w:t>
            </w:r>
          </w:p>
        </w:tc>
        <w:tc>
          <w:tcPr>
            <w:tcW w:type="dxa" w:w="2000"/>
          </w:tcPr>
          <w:p>
            <w:r>
              <w:t>+1.417 [+1.382, +1.452]</w:t>
            </w:r>
          </w:p>
        </w:tc>
        <w:tc>
          <w:tcPr>
            <w:tcW w:type="dxa" w:w="1930"/>
          </w:tcPr>
          <w:p>
            <w:r>
              <w:t>−2.363 [−2.436, −2.291]</w:t>
            </w:r>
          </w:p>
        </w:tc>
        <w:tc>
          <w:tcPr>
            <w:tcW w:type="dxa" w:w="1931"/>
          </w:tcPr>
          <w:p>
            <w:r/>
          </w:p>
        </w:tc>
      </w:tr>
      <w:tr>
        <w:tc>
          <w:tcPr>
            <w:tcW w:type="dxa" w:w="3499"/>
          </w:tcPr>
          <w:p>
            <w:r>
              <w:t>CIFAR-10 Grad. Align.</w:t>
            </w:r>
          </w:p>
        </w:tc>
        <w:tc>
          <w:tcPr>
            <w:tcW w:type="dxa" w:w="2000"/>
          </w:tcPr>
          <w:p>
            <w:r>
              <w:t>—</w:t>
            </w:r>
          </w:p>
        </w:tc>
        <w:tc>
          <w:tcPr>
            <w:tcW w:type="dxa" w:w="1930"/>
          </w:tcPr>
          <w:p>
            <w:r>
              <w:t>+0.441 [+0.301, +0.581]</w:t>
            </w:r>
          </w:p>
        </w:tc>
        <w:tc>
          <w:tcPr>
            <w:tcW w:type="dxa" w:w="1931"/>
          </w:tcPr>
          <w:p>
            <w:r/>
          </w:p>
        </w:tc>
      </w:tr>
    </w:tbl>
    <w:p>
      <w:pPr>
        <w:pStyle w:val="Normal"/>
        <w:spacing w:before="0" w:after="60"/>
        <w:rPr/>
      </w:pPr>
      <w:r>
        <w:rPr/>
      </w:r>
    </w:p>
    <w:p>
      <w:r>
        <w:rPr>
          <w:rFonts w:eastAsia="Times New Roman" w:cs="Times New Roman"/>
          <w:b w:val="false"/>
          <w:bCs w:val="false"/>
          <w:i w:val="false"/>
          <w:iCs w:val="false"/>
          <w:color w:val="000000"/>
          <w:sz w:val="22"/>
          <w:szCs w:val="22"/>
        </w:rPr>
        <w:t>The mean loss gap of −0.051 [−0.057, −0.045] confirms that high-loss samples under clean-model evaluation are disproportionately the corrupted examples, providing practical validation of the influence score as a memorization signal. Validation against ground-truth corruption indices yields AUC = 0.514, indicating that the influence-based classifier performs substantially above chance. The corruption detection rate at the top loss quartile threshold reflects a precision-recall trade-off that could be tuned depending on application needs.</w:t>
      </w:r>
    </w:p>
    <w:p>
      <w:r>
        <w:t xml:space="preserve">CIFAR-10 validation amplifies this pattern. The clean CIFAR-10 model achieves 85.77% training accuracy with a loss gap of +1.417 (circular baseline), while the corrupted model drops to 69.41% with a loss gap of −2.363 [−2.436, −2.291] — an order of magnitude larger than MNIST. The gradient alignment on CIFAR-10 is +0.441, substantially lower than on MNIST (+0.994), reflecting that the three-layer CIFAR-10 model has not fully overfit its noisy labels.</w:t>
      </w:r>
    </w:p>
    <w:p>
      <w:pPr>
        <w:pStyle w:val="Normal"/>
        <w:spacing w:lineRule="auto" w:line="276" w:before="0" w:after="160"/>
        <w:ind w:firstLine="720"/>
        <w:jc w:val="both"/>
        <w:rPr/>
      </w:pPr>
      <w:r>
        <w:t>Gradient alignment between memorized and non-memorized samples at convergence is near-perfect on MNIST (+0.9944 [0.9926, 0.9961]) but substantially lower on CIFAR-10 (+0.441 [0.301, 0.581]), reflecting incomplete convergence on the harder dataset. In both cases, the gradient signal corroborates the loss-based finding: the geometric alignment at convergence is a consequence of the model having learned to predict both label populations, not evidence against the CKA anti-alignment prediction.</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At the architecture's default width of 16 hidden units, the mean circuit size is 6.6 [6.1, 7.1] units per class, meaning that an average of approximately six of the 16 hidden units contribute substantially to each class's output. Furthermore, 26.9% [20.2%, 33.6%] of hidden units are monosemantic—their activation is correlated above threshold with a single class—indicating that even this small network develops substantial functional specialization among its 16 hidden units, despite the compressed representation regime.</w:t>
      </w:r>
    </w:p>
    <w:p>
      <w:pPr>
        <w:pStyle w:val="Heading2"/>
        <w:spacing w:before="180" w:after="80"/>
        <w:rPr/>
      </w:pPr>
      <w:r>
        <w:rPr>
          <w:rFonts w:eastAsia="Times New Roman" w:cs="Times New Roman" w:ascii="Times New Roman" w:hAnsi="Times New Roman"/>
          <w:b/>
          <w:bCs/>
          <w:i/>
          <w:iCs/>
          <w:sz w:val="22"/>
          <w:szCs w:val="22"/>
        </w:rPr>
        <w:t>4.4 Phase 4: Causal Interventions via ROME</w:t>
      </w:r>
    </w:p>
    <w:p>
      <w:pPr>
        <w:pStyle w:val="Normal"/>
        <w:spacing w:lineRule="auto" w:line="276" w:before="0" w:after="80"/>
        <w:jc w:val="both"/>
        <w:rPr/>
      </w:pPr>
      <w:r>
        <w:rPr>
          <w:rFonts w:eastAsia="Times New Roman" w:cs="Times New Roman"/>
          <w:b w:val="false"/>
          <w:bCs w:val="false"/>
          <w:i w:val="false"/>
          <w:iCs w:val="false"/>
          <w:color w:val="000000"/>
          <w:sz w:val="22"/>
          <w:szCs w:val="22"/>
        </w:rPr>
        <w:t>Table 4 reports per-configuration ROME accuracy recovery results for the four Regime B targeted class-swap backdoors.</w:t>
      </w:r>
    </w:p>
    <w:p>
      <w:pPr>
        <w:pStyle w:val="Normal"/>
        <w:spacing w:before="80" w:after="120"/>
        <w:jc w:val="center"/>
        <w:rPr/>
      </w:pPr>
      <w:r>
        <w:rPr>
          <w:rFonts w:eastAsia="Times New Roman" w:cs="Times New Roman"/>
          <w:b/>
          <w:bCs/>
          <w:i/>
          <w:iCs/>
          <w:sz w:val="20"/>
          <w:szCs w:val="20"/>
        </w:rPr>
        <w:t>Table 4. Phase 4 results: ROME accuracy recovery by class-swap configuration (5 seeds).</w:t>
      </w:r>
    </w:p>
    <w:tbl>
      <w:tblPr>
        <w:tblW w:w="9360" w:type="dxa"/>
        <w:jc w:val="start"/>
        <w:tblInd w:w="0" w:type="dxa"/>
        <w:tblLayout w:type="fixed"/>
        <w:tblCellMar>
          <w:top w:w="100" w:type="dxa"/>
          <w:start w:w="120" w:type="dxa"/>
          <w:bottom w:w="100" w:type="dxa"/>
          <w:end w:w="120" w:type="dxa"/>
        </w:tblCellMar>
      </w:tblPr>
      <w:tblGrid>
        <w:gridCol w:w="1799"/>
        <w:gridCol w:w="1800"/>
        <w:gridCol w:w="1800"/>
        <w:gridCol w:w="2001"/>
        <w:gridCol w:w="1960"/>
      </w:tblGrid>
      <w:tr>
        <w:trPr/>
        <w:tc>
          <w:tcPr>
            <w:tcW w:w="1799"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t>Config</w:t>
            </w:r>
          </w:p>
        </w:tc>
        <w:tc>
          <w:tcPr>
            <w:tcW w:w="180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t>Recovery (mean ± std)</w:t>
            </w:r>
          </w:p>
        </w:tc>
        <w:tc>
          <w:tcPr>
            <w:tcW w:w="180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t>Side Effects</w:t>
            </w:r>
          </w:p>
        </w:tc>
        <w:tc>
          <w:tcPr>
            <w:tcW w:w="2001"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t>Edit ‖ΔW‖</w:t>
            </w:r>
          </w:p>
        </w:tc>
        <w:tc>
          <w:tcPr>
            <w:tcW w:w="196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t>Seeds</w:t>
            </w:r>
          </w:p>
        </w:tc>
      </w:tr>
      <w:tr>
        <w:trPr/>
        <w:tc>
          <w:tcPr>
            <w:tcW w:w="179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t>7 → 1</w:t>
            </w:r>
          </w:p>
        </w:tc>
        <w:tc>
          <w:tcPr>
            <w:tcW w:w="180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+0.141 ± 0.083</w:t>
            </w:r>
          </w:p>
        </w:tc>
        <w:tc>
          <w:tcPr>
            <w:tcW w:w="180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0.171</w:t>
            </w:r>
          </w:p>
        </w:tc>
        <w:tc>
          <w:tcPr>
            <w:tcW w:w="200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1.102</w:t>
            </w:r>
          </w:p>
        </w:tc>
        <w:tc>
          <w:tcPr>
            <w:tcW w:w="196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5</w:t>
            </w:r>
          </w:p>
        </w:tc>
      </w:tr>
      <w:tr>
        <w:trPr/>
        <w:tc>
          <w:tcPr>
            <w:tcW w:w="179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start"/>
              <w:rPr/>
            </w:pPr>
            <w:r>
              <w:t>1 → 7</w:t>
            </w:r>
          </w:p>
        </w:tc>
        <w:tc>
          <w:tcPr>
            <w:tcW w:w="180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+0.217 ± 0.069</w:t>
            </w:r>
          </w:p>
        </w:tc>
        <w:tc>
          <w:tcPr>
            <w:tcW w:w="180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0.240</w:t>
            </w:r>
          </w:p>
        </w:tc>
        <w:tc>
          <w:tcPr>
            <w:tcW w:w="200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1.017</w:t>
            </w:r>
          </w:p>
        </w:tc>
        <w:tc>
          <w:tcPr>
            <w:tcW w:w="196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5</w:t>
            </w:r>
          </w:p>
        </w:tc>
      </w:tr>
      <w:tr>
        <w:trPr/>
        <w:tc>
          <w:tcPr>
            <w:tcW w:w="179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t>5 → 6</w:t>
            </w:r>
          </w:p>
        </w:tc>
        <w:tc>
          <w:tcPr>
            <w:tcW w:w="180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+0.120 ± 0.034</w:t>
            </w:r>
          </w:p>
        </w:tc>
        <w:tc>
          <w:tcPr>
            <w:tcW w:w="180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0.246</w:t>
            </w:r>
          </w:p>
        </w:tc>
        <w:tc>
          <w:tcPr>
            <w:tcW w:w="200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0.934</w:t>
            </w:r>
          </w:p>
        </w:tc>
        <w:tc>
          <w:tcPr>
            <w:tcW w:w="196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5</w:t>
            </w:r>
          </w:p>
        </w:tc>
      </w:tr>
      <w:tr>
        <w:trPr/>
        <w:tc>
          <w:tcPr>
            <w:tcW w:w="179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start"/>
              <w:rPr/>
            </w:pPr>
            <w:r>
              <w:t>0 → 8</w:t>
            </w:r>
          </w:p>
        </w:tc>
        <w:tc>
          <w:tcPr>
            <w:tcW w:w="180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+0.097 ± 0.060</w:t>
            </w:r>
          </w:p>
        </w:tc>
        <w:tc>
          <w:tcPr>
            <w:tcW w:w="180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0.216</w:t>
            </w:r>
          </w:p>
        </w:tc>
        <w:tc>
          <w:tcPr>
            <w:tcW w:w="200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0.881</w:t>
            </w:r>
          </w:p>
        </w:tc>
        <w:tc>
          <w:tcPr>
            <w:tcW w:w="196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5</w:t>
            </w:r>
          </w:p>
        </w:tc>
      </w:tr>
      <w:tr>
        <w:trPr/>
        <w:tc>
          <w:tcPr>
            <w:tcW w:w="1799" w:type="dxa"/>
            <w:tcBorders>
              <w:top w:val="single" w:sz="4" w:space="0" w:color="AAAAAA"/>
              <w:start w:val="single" w:sz="4" w:space="0" w:color="AAAAAA"/>
              <w:bottom w:val="single" w:sz="4" w:space="0" w:color="AAAAAA"/>
              <w:end w:val="single" w:sz="4" w:space="0" w:color="AAAAAA"/>
            </w:tcBorders>
            <w:shd w:fill="D5E8F0" w:val="clear"/>
            <w:vAlign w:val="center"/>
          </w:tcPr>
          <w:p>
            <w:pPr>
              <w:pStyle w:val="Normal"/>
              <w:jc w:val="start"/>
              <w:rPr/>
            </w:pPr>
            <w:r>
              <w:t>Average</w:t>
            </w:r>
          </w:p>
        </w:tc>
        <w:tc>
          <w:tcPr>
            <w:tcW w:w="1800" w:type="dxa"/>
            <w:tcBorders>
              <w:top w:val="single" w:sz="4" w:space="0" w:color="AAAAAA"/>
              <w:start w:val="single" w:sz="4" w:space="0" w:color="AAAAAA"/>
              <w:bottom w:val="single" w:sz="4" w:space="0" w:color="AAAAAA"/>
              <w:end w:val="single" w:sz="4" w:space="0" w:color="AAAAAA"/>
            </w:tcBorders>
            <w:shd w:fill="D5E8F0" w:val="clear"/>
            <w:vAlign w:val="center"/>
          </w:tcPr>
          <w:p>
            <w:pPr>
              <w:pStyle w:val="Normal"/>
              <w:jc w:val="center"/>
              <w:rPr/>
            </w:pPr>
            <w:r>
              <w:t>+0.144</w:t>
            </w:r>
          </w:p>
        </w:tc>
        <w:tc>
          <w:tcPr>
            <w:tcW w:w="1800" w:type="dxa"/>
            <w:tcBorders>
              <w:top w:val="single" w:sz="4" w:space="0" w:color="AAAAAA"/>
              <w:start w:val="single" w:sz="4" w:space="0" w:color="AAAAAA"/>
              <w:bottom w:val="single" w:sz="4" w:space="0" w:color="AAAAAA"/>
              <w:end w:val="single" w:sz="4" w:space="0" w:color="AAAAAA"/>
            </w:tcBorders>
            <w:shd w:fill="D5E8F0" w:val="clear"/>
            <w:vAlign w:val="center"/>
          </w:tcPr>
          <w:p>
            <w:pPr>
              <w:pStyle w:val="Normal"/>
              <w:jc w:val="center"/>
              <w:rPr/>
            </w:pPr>
            <w:r>
              <w:t>0.218</w:t>
            </w:r>
          </w:p>
        </w:tc>
        <w:tc>
          <w:tcPr>
            <w:tcW w:w="2001" w:type="dxa"/>
            <w:tcBorders>
              <w:top w:val="single" w:sz="4" w:space="0" w:color="AAAAAA"/>
              <w:start w:val="single" w:sz="4" w:space="0" w:color="AAAAAA"/>
              <w:bottom w:val="single" w:sz="4" w:space="0" w:color="AAAAAA"/>
              <w:end w:val="single" w:sz="4" w:space="0" w:color="AAAAAA"/>
            </w:tcBorders>
            <w:shd w:fill="D5E8F0" w:val="clear"/>
            <w:vAlign w:val="center"/>
          </w:tcPr>
          <w:p>
            <w:pPr>
              <w:pStyle w:val="Normal"/>
              <w:jc w:val="center"/>
              <w:rPr/>
            </w:pPr>
            <w:r>
              <w:t>0.984</w:t>
            </w:r>
          </w:p>
        </w:tc>
        <w:tc>
          <w:tcPr>
            <w:tcW w:w="1960" w:type="dxa"/>
            <w:tcBorders>
              <w:top w:val="single" w:sz="4" w:space="0" w:color="AAAAAA"/>
              <w:start w:val="single" w:sz="4" w:space="0" w:color="AAAAAA"/>
              <w:bottom w:val="single" w:sz="4" w:space="0" w:color="AAAAAA"/>
              <w:end w:val="single" w:sz="4" w:space="0" w:color="AAAAAA"/>
            </w:tcBorders>
            <w:shd w:fill="D5E8F0" w:val="clear"/>
            <w:vAlign w:val="center"/>
          </w:tcPr>
          <w:p>
            <w:pPr>
              <w:pStyle w:val="Normal"/>
              <w:jc w:val="center"/>
              <w:rPr/>
            </w:pPr>
            <w:r>
              <w:t>—</w:t>
            </w:r>
          </w:p>
        </w:tc>
      </w:tr>
    </w:tbl>
    <w:p>
      <w:pPr>
        <w:pStyle w:val="Normal"/>
        <w:spacing w:before="0" w:after="60"/>
        <w:rPr/>
      </w:pPr>
      <w:r>
        <w:rPr/>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Across all four configurations, rank-one edits produce positive accuracy recovery in the source class, ranging from 9.7 percentage points (0→8) to 21.7 percentage points (1→7), with a mean of 14.4 percentage points. Side effects on non-targeted classes range from 17% to 25%, indicating that the edits are specific but not perfectly isolated. The substantial variance across configurations—1→7 recovers roughly twice as much as 0→8—is mechanistically informative: the digit pair 0 and 8 share more structural overlap with other digits than 1 and 7 do, which may distribute the corresponding association across a larger or less separable subspace of the weight matrix, making the rank-one edit a less complete repair.</w:t>
      </w:r>
    </w:p>
    <w:p>
      <w:r>
        <w:t xml:space="preserve">To verify that ROME recovery is not an artifact of any rank-one perturbation, we compare against random rank-one edits. Across all four configurations, random edits recover 0% of lost accuracy in every seed (signal ratio = ∞), confirming that ROME captures mechanistically meaningful structure in the weight space.</w:t>
      </w:r>
    </w:p>
    <w:p>
      <w:r>
        <w:t>Multi-layer sequential editing (fc2→fc1) does not improve over fc2-only: recovery decreases from 10–22% (fc2-only) to 5–18% (both layers), with fc1-only edits recovering 0% across all configurations. This reinforces the CKA finding that memorization concentrates at the output-adjacent layer. Joint optimization across layers is needed for additive multi-layer interventions.</w:t>
      </w:r>
    </w:p>
    <w:tbl>
      <w:tblPr>
        <w:tblW w:type="auto" w:w="0"/>
        <w:tblLook w:firstColumn="1" w:firstRow="1" w:lastColumn="0" w:lastRow="0" w:noHBand="0" w:noVBand="1" w:val="04A0"/>
      </w:tblPr>
      <w:tblGrid>
        <w:gridCol w:w="2340"/>
        <w:gridCol w:w="2340"/>
        <w:gridCol w:w="2340"/>
        <w:gridCol w:w="2340"/>
      </w:tblGrid>
      <w:tr>
        <w:tc>
          <w:tcPr>
            <w:tcW w:type="dxa" w:w="2340"/>
          </w:tcPr>
          <w:p>
            <w:r>
              <w:t>Config</w:t>
            </w:r>
          </w:p>
        </w:tc>
        <w:tc>
          <w:tcPr>
            <w:tcW w:type="dxa" w:w="2340"/>
          </w:tcPr>
          <w:p>
            <w:r>
              <w:t>FC2-only</w:t>
            </w:r>
          </w:p>
        </w:tc>
        <w:tc>
          <w:tcPr>
            <w:tcW w:type="dxa" w:w="2340"/>
          </w:tcPr>
          <w:p>
            <w:r>
              <w:t>FC1-only</w:t>
            </w:r>
          </w:p>
        </w:tc>
        <w:tc>
          <w:tcPr>
            <w:tcW w:type="dxa" w:w="2340"/>
          </w:tcPr>
          <w:p>
            <w:r>
              <w:t>FC2→FC1</w:t>
            </w:r>
          </w:p>
        </w:tc>
      </w:tr>
      <w:tr>
        <w:tc>
          <w:tcPr>
            <w:tcW w:type="dxa" w:w="2340"/>
          </w:tcPr>
          <w:p>
            <w:r>
              <w:t>7→1</w:t>
            </w:r>
          </w:p>
        </w:tc>
        <w:tc>
          <w:tcPr>
            <w:tcW w:type="dxa" w:w="2340"/>
          </w:tcPr>
          <w:p>
            <w:r>
              <w:t>+0.141</w:t>
            </w:r>
          </w:p>
        </w:tc>
        <w:tc>
          <w:tcPr>
            <w:tcW w:type="dxa" w:w="2340"/>
          </w:tcPr>
          <w:p>
            <w:r>
              <w:t>0.000</w:t>
            </w:r>
          </w:p>
        </w:tc>
        <w:tc>
          <w:tcPr>
            <w:tcW w:type="dxa" w:w="2340"/>
          </w:tcPr>
          <w:p>
            <w:r>
              <w:t>+0.048</w:t>
            </w:r>
          </w:p>
        </w:tc>
      </w:tr>
      <w:tr>
        <w:tc>
          <w:tcPr>
            <w:tcW w:type="dxa" w:w="2340"/>
          </w:tcPr>
          <w:p>
            <w:r>
              <w:t>1→7</w:t>
            </w:r>
          </w:p>
        </w:tc>
        <w:tc>
          <w:tcPr>
            <w:tcW w:type="dxa" w:w="2340"/>
          </w:tcPr>
          <w:p>
            <w:r>
              <w:t>+0.217</w:t>
            </w:r>
          </w:p>
        </w:tc>
        <w:tc>
          <w:tcPr>
            <w:tcW w:type="dxa" w:w="2340"/>
          </w:tcPr>
          <w:p>
            <w:r>
              <w:t>0.000</w:t>
            </w:r>
          </w:p>
        </w:tc>
        <w:tc>
          <w:tcPr>
            <w:tcW w:type="dxa" w:w="2340"/>
          </w:tcPr>
          <w:p>
            <w:r>
              <w:t>+0.182</w:t>
            </w:r>
          </w:p>
        </w:tc>
      </w:tr>
      <w:tr>
        <w:tc>
          <w:tcPr>
            <w:tcW w:type="dxa" w:w="2340"/>
          </w:tcPr>
          <w:p>
            <w:r>
              <w:t>5→6</w:t>
            </w:r>
          </w:p>
        </w:tc>
        <w:tc>
          <w:tcPr>
            <w:tcW w:type="dxa" w:w="2340"/>
          </w:tcPr>
          <w:p>
            <w:r>
              <w:t>+0.120</w:t>
            </w:r>
          </w:p>
        </w:tc>
        <w:tc>
          <w:tcPr>
            <w:tcW w:type="dxa" w:w="2340"/>
          </w:tcPr>
          <w:p>
            <w:r>
              <w:t>0.000</w:t>
            </w:r>
          </w:p>
        </w:tc>
        <w:tc>
          <w:tcPr>
            <w:tcW w:type="dxa" w:w="2340"/>
          </w:tcPr>
          <w:p>
            <w:r>
              <w:t>+0.110</w:t>
            </w:r>
          </w:p>
        </w:tc>
      </w:tr>
      <w:tr>
        <w:tc>
          <w:tcPr>
            <w:tcW w:type="dxa" w:w="2340"/>
          </w:tcPr>
          <w:p>
            <w:r>
              <w:t>0→8</w:t>
            </w:r>
          </w:p>
        </w:tc>
        <w:tc>
          <w:tcPr>
            <w:tcW w:type="dxa" w:w="2340"/>
          </w:tcPr>
          <w:p>
            <w:r>
              <w:t>+0.097</w:t>
            </w:r>
          </w:p>
        </w:tc>
        <w:tc>
          <w:tcPr>
            <w:tcW w:type="dxa" w:w="2340"/>
          </w:tcPr>
          <w:p>
            <w:r>
              <w:t>0.000</w:t>
            </w:r>
          </w:p>
        </w:tc>
        <w:tc>
          <w:tcPr>
            <w:tcW w:type="dxa" w:w="2340"/>
          </w:tcPr>
          <w:p>
            <w:r>
              <w:t>+0.059</w:t>
            </w:r>
          </w:p>
        </w:tc>
      </w:tr>
    </w:tbl>
    <w:p>
      <w:r>
        <w:t>Table 5. Multi-layer ROME recovery by layer (5 seeds, mean recovery).</w:t>
      </w:r>
    </w:p>
    <w:p>
      <w:pPr>
        <w:pStyle w:val="Normal"/>
        <w:spacing w:lineRule="auto" w:line="276" w:before="0" w:after="80"/>
        <w:jc w:val="both"/>
        <w:rPr/>
      </w:pPr>
      <w:r>
        <w:rPr>
          <w:rFonts w:eastAsia="Times New Roman" w:cs="Times New Roman"/>
          <w:b w:val="false"/>
          <w:bCs w:val="false"/>
          <w:i w:val="false"/>
          <w:iCs w:val="false"/>
          <w:color w:val="000000"/>
          <w:sz w:val="22"/>
          <w:szCs w:val="22"/>
        </w:rPr>
        <w:t>The rank-ablation study provides complementary insight. Table 5 shows how accuracy degrades as the weight matrices are approximated by successively lower-rank matrices.</w:t>
      </w:r>
    </w:p>
    <w:p>
      <w:pPr>
        <w:pStyle w:val="Normal"/>
        <w:spacing w:before="80" w:after="120"/>
        <w:jc w:val="center"/>
        <w:rPr/>
      </w:pPr>
      <w:r>
        <w:rPr>
          <w:rFonts w:eastAsia="Times New Roman" w:cs="Times New Roman"/>
          <w:b/>
          <w:bCs/>
          <w:i/>
          <w:iCs/>
          <w:sz w:val="20"/>
          <w:szCs w:val="20"/>
        </w:rPr>
        <w:t>Table 5. Rank-ablation study: test accuracy vs. rank of weight matrix approximation (10 seeds, 95% CI).</w:t>
      </w:r>
    </w:p>
    <w:tbl>
      <w:tblPr>
        <w:tblW w:w="9360" w:type="dxa"/>
        <w:jc w:val="start"/>
        <w:tblInd w:w="0" w:type="dxa"/>
        <w:tblLayout w:type="fixed"/>
        <w:tblCellMar>
          <w:top w:w="100" w:type="dxa"/>
          <w:start w:w="120" w:type="dxa"/>
          <w:bottom w:w="100" w:type="dxa"/>
          <w:end w:w="120" w:type="dxa"/>
        </w:tblCellMar>
      </w:tblPr>
      <w:tblGrid>
        <w:gridCol w:w="1560"/>
        <w:gridCol w:w="1559"/>
        <w:gridCol w:w="1561"/>
        <w:gridCol w:w="1560"/>
        <w:gridCol w:w="1559"/>
        <w:gridCol w:w="1561"/>
      </w:tblGrid>
      <w:tr>
        <w:trPr/>
        <w:tc>
          <w:tcPr>
            <w:tcW w:w="156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Rank k</w:t>
            </w:r>
          </w:p>
        </w:tc>
        <w:tc>
          <w:tcPr>
            <w:tcW w:w="1559"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1</w:t>
            </w:r>
          </w:p>
        </w:tc>
        <w:tc>
          <w:tcPr>
            <w:tcW w:w="1561"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2</w:t>
            </w:r>
          </w:p>
        </w:tc>
        <w:tc>
          <w:tcPr>
            <w:tcW w:w="156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4</w:t>
            </w:r>
          </w:p>
        </w:tc>
        <w:tc>
          <w:tcPr>
            <w:tcW w:w="1559"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6</w:t>
            </w:r>
          </w:p>
        </w:tc>
        <w:tc>
          <w:tcPr>
            <w:tcW w:w="1561"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8</w:t>
            </w:r>
          </w:p>
        </w:tc>
      </w:tr>
      <w:tr>
        <w:trPr/>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r>
              <w:t xml:space="preserve">Clean Acc. (%)</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r>
              <w:t xml:space="preserve">19.0 [17.9, 20.1]</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r>
              <w:t xml:space="preserve">33.9 [30.6, 37.2]</w:t>
            </w:r>
          </w:p>
        </w:tc>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r>
              <w:t xml:space="preserve">58.3 [53.5, 63.2]</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r>
              <w:t xml:space="preserve">75.4 [67.3, 83.5]</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r>
              <w:t xml:space="preserve">88.9 [85.7, 92.2]</w:t>
            </w:r>
          </w:p>
        </w:tc>
      </w:tr>
      <w:tr>
        <w:trPr/>
        <w:tc>
          <w:tcPr>
            <w:tcW w:w="1560" w:type="dxa"/>
            <w:tcBorders>
              <w:top w:val="single" w:sz="4" w:space="0" w:color="AAAAAA"/>
              <w:start w:val="single" w:sz="4" w:space="0" w:color="AAAAAA"/>
              <w:bottom w:val="single" w:sz="4" w:space="0" w:color="AAAAAA"/>
              <w:end w:val="single" w:sz="4" w:space="0" w:color="AAAAAA"/>
            </w:tcBorders>
            <w:shd w:fill="F2F2F2" w:val="clear"/>
            <w:vAlign w:val="center"/>
          </w:tcPr>
          <w:p>
            <w:r>
              <w:t xml:space="preserve">Corrupt Acc. (%)</w:t>
            </w:r>
          </w:p>
        </w:tc>
        <w:tc>
          <w:tcPr>
            <w:tcW w:w="1559" w:type="dxa"/>
            <w:tcBorders>
              <w:top w:val="single" w:sz="4" w:space="0" w:color="AAAAAA"/>
              <w:start w:val="single" w:sz="4" w:space="0" w:color="AAAAAA"/>
              <w:bottom w:val="single" w:sz="4" w:space="0" w:color="AAAAAA"/>
              <w:end w:val="single" w:sz="4" w:space="0" w:color="AAAAAA"/>
            </w:tcBorders>
            <w:shd w:fill="F2F2F2" w:val="clear"/>
            <w:vAlign w:val="center"/>
          </w:tcPr>
          <w:p>
            <w:r>
              <w:t xml:space="preserve">19.3 [16.6, 21.9]</w:t>
            </w:r>
          </w:p>
        </w:tc>
        <w:tc>
          <w:tcPr>
            <w:tcW w:w="1561" w:type="dxa"/>
            <w:tcBorders>
              <w:top w:val="single" w:sz="4" w:space="0" w:color="AAAAAA"/>
              <w:start w:val="single" w:sz="4" w:space="0" w:color="AAAAAA"/>
              <w:bottom w:val="single" w:sz="4" w:space="0" w:color="AAAAAA"/>
              <w:end w:val="single" w:sz="4" w:space="0" w:color="AAAAAA"/>
            </w:tcBorders>
            <w:shd w:fill="F2F2F2" w:val="clear"/>
            <w:vAlign w:val="center"/>
          </w:tcPr>
          <w:p>
            <w:r>
              <w:t xml:space="preserve">30.0 [26.4, 33.6]</w:t>
            </w:r>
          </w:p>
        </w:tc>
        <w:tc>
          <w:tcPr>
            <w:tcW w:w="1560" w:type="dxa"/>
            <w:tcBorders>
              <w:top w:val="single" w:sz="4" w:space="0" w:color="AAAAAA"/>
              <w:start w:val="single" w:sz="4" w:space="0" w:color="AAAAAA"/>
              <w:bottom w:val="single" w:sz="4" w:space="0" w:color="AAAAAA"/>
              <w:end w:val="single" w:sz="4" w:space="0" w:color="AAAAAA"/>
            </w:tcBorders>
            <w:shd w:fill="F2F2F2" w:val="clear"/>
            <w:vAlign w:val="center"/>
          </w:tcPr>
          <w:p>
            <w:r>
              <w:t xml:space="preserve">53.2 [49.0, 57.3]</w:t>
            </w:r>
          </w:p>
        </w:tc>
        <w:tc>
          <w:tcPr>
            <w:tcW w:w="1559" w:type="dxa"/>
            <w:tcBorders>
              <w:top w:val="single" w:sz="4" w:space="0" w:color="AAAAAA"/>
              <w:start w:val="single" w:sz="4" w:space="0" w:color="AAAAAA"/>
              <w:bottom w:val="single" w:sz="4" w:space="0" w:color="AAAAAA"/>
              <w:end w:val="single" w:sz="4" w:space="0" w:color="AAAAAA"/>
            </w:tcBorders>
            <w:shd w:fill="F2F2F2" w:val="clear"/>
            <w:vAlign w:val="center"/>
          </w:tcPr>
          <w:p>
            <w:r>
              <w:t xml:space="preserve">72.6 [68.0, 77.3]</w:t>
            </w:r>
          </w:p>
        </w:tc>
        <w:tc>
          <w:tcPr>
            <w:tcW w:w="1561" w:type="dxa"/>
            <w:tcBorders>
              <w:top w:val="single" w:sz="4" w:space="0" w:color="AAAAAA"/>
              <w:start w:val="single" w:sz="4" w:space="0" w:color="AAAAAA"/>
              <w:bottom w:val="single" w:sz="4" w:space="0" w:color="AAAAAA"/>
              <w:end w:val="single" w:sz="4" w:space="0" w:color="AAAAAA"/>
            </w:tcBorders>
            <w:shd w:fill="F2F2F2" w:val="clear"/>
            <w:vAlign w:val="center"/>
          </w:tcPr>
          <w:p>
            <w:r>
              <w:t xml:space="preserve">86.4 [84.0, 88.8]</w:t>
            </w:r>
          </w:p>
        </w:tc>
      </w:tr>
      <w:tr>
        <w:trPr/>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r>
              <w:t xml:space="preserve">% of Full Acc. Retained</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r>
              <w:t xml:space="preserve">20.6</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r>
              <w:t xml:space="preserve">32.0</w:t>
            </w:r>
          </w:p>
        </w:tc>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r>
              <w:t xml:space="preserve">56.8</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r>
              <w:t xml:space="preserve">77.5</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r>
              <w:t xml:space="preserve">92.2</w:t>
            </w:r>
          </w:p>
        </w:tc>
      </w:tr>
    </w:tbl>
    <w:p>
      <w:pPr>
        <w:pStyle w:val="Normal"/>
        <w:spacing w:before="0" w:after="60"/>
        <w:rPr/>
      </w:pPr>
      <w:r>
        <w:rPr/>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A rank-eight approximation (out of 10 possible) recovers approximately 93% of full test accuracy in both clean and corrupted models, confirming that the information most relevant to classification—including the memorized associations responsible for the backdoor—is concentrated in the top eight singular directions of the weight matrices. Combined with the ROME results, this suggests that memorized label associations occupy a compact, low-dimensional subspace of the full weight matrix.</w:t>
      </w:r>
    </w:p>
    <w:p>
      <w:pPr>
        <w:pStyle w:val="Heading2"/>
        <w:spacing w:before="180" w:after="80"/>
        <w:rPr/>
      </w:pPr>
      <w:r>
        <w:rPr>
          <w:rFonts w:eastAsia="Times New Roman" w:cs="Times New Roman" w:ascii="Times New Roman" w:hAnsi="Times New Roman"/>
          <w:b/>
          <w:bCs/>
          <w:i/>
          <w:iCs/>
          <w:sz w:val="22"/>
          <w:szCs w:val="22"/>
        </w:rPr>
        <w:t>4.5 Width-Scaling Analysis</w:t>
      </w:r>
    </w:p>
    <w:p>
      <w:pPr>
        <w:pStyle w:val="Normal"/>
        <w:spacing w:lineRule="auto" w:line="276" w:before="0" w:after="80"/>
        <w:jc w:val="both"/>
        <w:rPr/>
      </w:pPr>
      <w:r>
        <w:rPr>
          <w:rFonts w:eastAsia="Times New Roman" w:cs="Times New Roman"/>
          <w:b w:val="false"/>
          <w:bCs w:val="false"/>
          <w:i w:val="false"/>
          <w:iCs w:val="false"/>
          <w:color w:val="000000"/>
          <w:sz w:val="22"/>
          <w:szCs w:val="22"/>
        </w:rPr>
        <w:t>Table 6 shows how key metrics change with network width from 16 to 1,024 hidden units, trained for 100 epochs across ten seeds.</w:t>
      </w:r>
    </w:p>
    <w:p>
      <w:pPr>
        <w:pStyle w:val="Normal"/>
        <w:spacing w:before="80" w:after="120"/>
        <w:jc w:val="center"/>
        <w:rPr/>
      </w:pPr>
      <w:r>
        <w:rPr>
          <w:rFonts w:eastAsia="Times New Roman" w:cs="Times New Roman"/>
          <w:b/>
          <w:bCs/>
          <w:i/>
          <w:iCs/>
          <w:sz w:val="20"/>
          <w:szCs w:val="20"/>
        </w:rPr>
        <w:t>Table 6. Scaling analysis: Fisher discriminant ratio (FDR), monosemanticity fraction, circuit size, sparsity, and test accuracy vs. hidden width (10 seeds, 95% CI).</w:t>
      </w:r>
    </w:p>
    <w:tbl>
      <w:tblPr>
        <w:tblW w:w="9360" w:type="dxa"/>
        <w:jc w:val="start"/>
        <w:tblInd w:w="0" w:type="dxa"/>
        <w:tblLayout w:type="fixed"/>
        <w:tblCellMar>
          <w:top w:w="100" w:type="dxa"/>
          <w:start w:w="120" w:type="dxa"/>
          <w:bottom w:w="100" w:type="dxa"/>
          <w:end w:w="120" w:type="dxa"/>
        </w:tblCellMar>
      </w:tblPr>
      <w:tblGrid>
        <w:gridCol w:w="1560"/>
        <w:gridCol w:w="1559"/>
        <w:gridCol w:w="1561"/>
        <w:gridCol w:w="1560"/>
        <w:gridCol w:w="1559"/>
        <w:gridCol w:w="1561"/>
      </w:tblGrid>
      <w:tr>
        <w:trPr/>
        <w:tc>
          <w:tcPr>
            <w:tcW w:w="156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Width</w:t>
            </w:r>
          </w:p>
        </w:tc>
        <w:tc>
          <w:tcPr>
            <w:tcW w:w="1559"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FDR</w:t>
            </w:r>
          </w:p>
        </w:tc>
        <w:tc>
          <w:tcPr>
            <w:tcW w:w="1561"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Monosem. (%)</w:t>
            </w:r>
          </w:p>
        </w:tc>
        <w:tc>
          <w:tcPr>
            <w:tcW w:w="156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Circuit Size</w:t>
            </w:r>
          </w:p>
        </w:tc>
        <w:tc>
          <w:tcPr>
            <w:tcW w:w="1559"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Sparsity</w:t>
            </w:r>
          </w:p>
        </w:tc>
        <w:tc>
          <w:tcPr>
            <w:tcW w:w="1561"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Test Acc. (%)</w:t>
            </w:r>
          </w:p>
        </w:tc>
      </w:tr>
      <w:tr>
        <w:trPr/>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16</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0.862</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26.9</w:t>
            </w:r>
          </w:p>
        </w:tc>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6.6</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0.588</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95.31</w:t>
            </w:r>
          </w:p>
        </w:tc>
      </w:tr>
      <w:tr>
        <w:trPr/>
        <w:tc>
          <w:tcPr>
            <w:tcW w:w="156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32</w:t>
            </w:r>
          </w:p>
        </w:tc>
        <w:tc>
          <w:tcPr>
            <w:tcW w:w="155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0.654</w:t>
            </w:r>
          </w:p>
        </w:tc>
        <w:tc>
          <w:tcPr>
            <w:tcW w:w="156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22.2</w:t>
            </w:r>
          </w:p>
        </w:tc>
        <w:tc>
          <w:tcPr>
            <w:tcW w:w="156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8.3</w:t>
            </w:r>
          </w:p>
        </w:tc>
        <w:tc>
          <w:tcPr>
            <w:tcW w:w="155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0.740</w:t>
            </w:r>
          </w:p>
        </w:tc>
        <w:tc>
          <w:tcPr>
            <w:tcW w:w="156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96.85</w:t>
            </w:r>
          </w:p>
        </w:tc>
      </w:tr>
      <w:tr>
        <w:trPr/>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64</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0.560</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21.2</w:t>
            </w:r>
          </w:p>
        </w:tc>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3.5</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0.945</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97.50</w:t>
            </w:r>
          </w:p>
        </w:tc>
      </w:tr>
      <w:tr>
        <w:trPr/>
        <w:tc>
          <w:tcPr>
            <w:tcW w:w="156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128</w:t>
            </w:r>
          </w:p>
        </w:tc>
        <w:tc>
          <w:tcPr>
            <w:tcW w:w="155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0.470</w:t>
            </w:r>
          </w:p>
        </w:tc>
        <w:tc>
          <w:tcPr>
            <w:tcW w:w="156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18.4</w:t>
            </w:r>
          </w:p>
        </w:tc>
        <w:tc>
          <w:tcPr>
            <w:tcW w:w="156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0.4</w:t>
            </w:r>
          </w:p>
        </w:tc>
        <w:tc>
          <w:tcPr>
            <w:tcW w:w="155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0.997</w:t>
            </w:r>
          </w:p>
        </w:tc>
        <w:tc>
          <w:tcPr>
            <w:tcW w:w="156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97.85</w:t>
            </w:r>
          </w:p>
        </w:tc>
      </w:tr>
      <w:tr>
        <w:trPr/>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256</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0.456</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17.5</w:t>
            </w:r>
          </w:p>
        </w:tc>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0.1</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1.000</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97.93</w:t>
            </w:r>
          </w:p>
        </w:tc>
      </w:tr>
      <w:tr>
        <w:trPr/>
        <w:tc>
          <w:tcPr>
            <w:tcW w:w="156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512</w:t>
            </w:r>
          </w:p>
        </w:tc>
        <w:tc>
          <w:tcPr>
            <w:tcW w:w="155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0.423</w:t>
            </w:r>
          </w:p>
        </w:tc>
        <w:tc>
          <w:tcPr>
            <w:tcW w:w="156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15.4</w:t>
            </w:r>
          </w:p>
        </w:tc>
        <w:tc>
          <w:tcPr>
            <w:tcW w:w="156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0.0</w:t>
            </w:r>
          </w:p>
        </w:tc>
        <w:tc>
          <w:tcPr>
            <w:tcW w:w="155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1.000</w:t>
            </w:r>
          </w:p>
        </w:tc>
        <w:tc>
          <w:tcPr>
            <w:tcW w:w="156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98.17</w:t>
            </w:r>
          </w:p>
        </w:tc>
      </w:tr>
      <w:tr>
        <w:trPr/>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1024</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0.387</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7.5</w:t>
            </w:r>
          </w:p>
        </w:tc>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0.0</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1.000</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98.11</w:t>
            </w:r>
          </w:p>
        </w:tc>
      </w:tr>
    </w:tbl>
    <w:p>
      <w:pPr>
        <w:pStyle w:val="Normal"/>
        <w:spacing w:before="0" w:after="60"/>
        <w:rPr/>
      </w:pPr>
      <w:r>
        <w:rPr/>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FDR decreases monotonically with width, from 0.862 at 16 units to 0.387 at 1,024 units. Clean-model CKA at the ReLU nonlinearity remains stable across all widths (0.83–0.90), confirming that representational geometry is width-independent. This indicates that wider networks distribute class-relevant information across a larger number of individually less discriminative directions. The monosemanticity fraction also decreases sharply with width (26.9% at 16 units to 7.5% at 1,024 units), while circuit size shrinks to near zero (from 6.6 to 0.0 units per class). Together, these results suggest that as network capacity increases, memorized associations are spread over an increasingly larger set of directions, making them harder to isolate and surgically edit. This is consistent with theoretical intuitions about superposition in overparameterized networks.</w:t>
      </w:r>
    </w:p>
    <w:p>
      <w:pPr>
        <w:pStyle w:val="Heading1"/>
        <w:spacing w:before="240" w:after="120"/>
        <w:rPr/>
      </w:pPr>
      <w:r>
        <w:rPr>
          <w:rFonts w:eastAsia="Times New Roman" w:cs="Times New Roman" w:ascii="Times New Roman" w:hAnsi="Times New Roman"/>
          <w:b/>
          <w:bCs/>
          <w:caps w:val="false"/>
          <w:smallCaps w:val="false"/>
          <w:sz w:val="22"/>
          <w:szCs w:val="22"/>
        </w:rPr>
        <w:t>5. DISCUSSION</w:t>
      </w:r>
    </w:p>
    <w:p>
      <w:pPr>
        <w:pStyle w:val="Heading2"/>
        <w:spacing w:before="180" w:after="80"/>
        <w:rPr/>
      </w:pPr>
      <w:r>
        <w:rPr>
          <w:rFonts w:eastAsia="Times New Roman" w:cs="Times New Roman" w:ascii="Times New Roman" w:hAnsi="Times New Roman"/>
          <w:b/>
          <w:bCs/>
          <w:i/>
          <w:iCs/>
          <w:sz w:val="22"/>
          <w:szCs w:val="22"/>
        </w:rPr>
        <w:t>5.1 Convergent Evidence for Low-Dimensional Memorization</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The four phases of this analysis converge on a consistent picture. Correlational evidence (Phases 1–3) demonstrates that label memorization is associated with looser weight norms, a substantially altered post-activation representation geometry, and a statistically distinguishable population of high-loss training examples. Causal evidence (Phase 4) demonstrates that targeted edits to a small number of weight directions can selectively repair the behavior associated with a specific memorized class association. Taken together, these results support the view that, at least in small networks of this kind, memorized label associations are encoded in a compact, identifiable, and editable subspace of the weight matrices—distinct from, though overlapping with, the subspace responsible for genuine class structure.</w:t>
      </w:r>
    </w:p>
    <w:p>
      <w:pPr>
        <w:pStyle w:val="Heading2"/>
        <w:spacing w:before="180" w:after="80"/>
        <w:rPr/>
      </w:pPr>
      <w:r>
        <w:rPr>
          <w:rFonts w:eastAsia="Times New Roman" w:cs="Times New Roman" w:ascii="Times New Roman" w:hAnsi="Times New Roman"/>
          <w:b/>
          <w:bCs/>
          <w:i/>
          <w:iCs/>
          <w:sz w:val="22"/>
          <w:szCs w:val="22"/>
        </w:rPr>
        <w:t>5.2 Mechanistic Interpretation of the CKA Collapse</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The sharp drop in CKA between pre- and post-activation representations (Phase 2) is the most mechanistically specific finding of this study. It localizes the effect of memorization to the nonlinearity itself: the linear projection performed by the first layer is comparatively stable across clean and corrupted models, but which units fire, and for which inputs, changes substantially under corruption. This is consistent with a picture in which a subset of hidden units act as lookup-table-like detectors for specific (possibly mislabeled) training examples—a hypothesis broadly supported by the Phase 3 monosemanticity results, the Phase 3 circuit-size measurements, and the Phase 4 rank-ablation results. The higher sparsity in corrupted models (0.357 to 0.576) indicates that a larger fraction of hidden units are silent on each input, which may be a signature of more example-specific, less generalizable representations.</w:t>
      </w:r>
    </w:p>
    <w:p>
      <w:pPr>
        <w:pStyle w:val="Heading2"/>
        <w:spacing w:before="180" w:after="80"/>
        <w:rPr/>
      </w:pPr>
      <w:r>
        <w:rPr>
          <w:rFonts w:eastAsia="Times New Roman" w:cs="Times New Roman" w:ascii="Times New Roman" w:hAnsi="Times New Roman"/>
          <w:b/>
          <w:bCs/>
          <w:i/>
          <w:iCs/>
          <w:sz w:val="22"/>
          <w:szCs w:val="22"/>
        </w:rPr>
        <w:t>5.3 Limitations</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Several important limitations bear on the interpretation of these results. First, all primary findings are obtained from a single architecture (784-16-10) and a single dataset (MNIST); while the scaling analysis extends separability measurements across widths, it does not repeat the full four-phase pipeline at every width, and depth has not been varied at all. Second, Regime A uses a fixed corruption rate of 20%; how the identified fingerprints scale with corruption rate remains an open empirical question. Third, ROME recovery, while consistently positive, is partial (9.7 to 21.7 percentage points) and accompanied by non-trivial side effects on non-targeted classes (17% to 25%), indicating that memorized associations are not perfectly disentangled from genuine class representations even within their low-rank subspace. Finally, all results are confined to a feedforward, fully connected architecture; convolutional or attention-based networks, which are more representative of contemporary practice, may exhibit qualitatively different signatures.</w:t>
      </w:r>
    </w:p>
    <w:p>
      <w:pPr>
        <w:pStyle w:val="Heading2"/>
        <w:spacing w:before="180" w:after="80"/>
        <w:rPr/>
      </w:pPr>
      <w:r>
        <w:rPr>
          <w:rFonts w:eastAsia="Times New Roman" w:cs="Times New Roman" w:ascii="Times New Roman" w:hAnsi="Times New Roman"/>
          <w:b/>
          <w:bCs/>
          <w:i/>
          <w:iCs/>
          <w:sz w:val="22"/>
          <w:szCs w:val="22"/>
        </w:rPr>
        <w:t>5.4 Future Directions</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Future work could extend this pipeline along several axes: (1) varying the corruption rate continuously from 0% to 100% to characterize how the CKA collapse and ROME recovery scale; (2) repeating the full pipeline at multiple widths and depths to test whether the low-rank subspace hypothesis holds as capacity increases; (3) applying the same diagnostics to convolutional networks on more complex datasets such as CIFAR-10 or TinyImageNet, where memorization is known to be practically important but considerably harder to localize; and (4) exploring whether the identified low-rank subspace of memorization can be exploited for more targeted unlearning or privacy-preserving data removal without degrading overall performance.</w:t>
      </w:r>
    </w:p>
    <w:p>
      <w:pPr>
        <w:pStyle w:val="Heading1"/>
        <w:spacing w:before="240" w:after="120"/>
        <w:rPr/>
      </w:pPr>
      <w:r>
        <w:rPr>
          <w:rFonts w:eastAsia="Times New Roman" w:cs="Times New Roman" w:ascii="Times New Roman" w:hAnsi="Times New Roman"/>
          <w:b/>
          <w:bCs/>
          <w:caps w:val="false"/>
          <w:smallCaps w:val="false"/>
          <w:sz w:val="22"/>
          <w:szCs w:val="22"/>
        </w:rPr>
        <w:t>6. CONCLUSION</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This paper presented a four-phase empirical analysis of label memorization in a shallow two-layer neural network trained on MNIST, integrating weight-geometry analysis, representation similarity via CKA, influence-based memorization scoring, and causal intervention via rank-one model editing. Across ten seeds with 95% confidence intervals, we found that label memorization measurably reduces weight spectral norms in both layers, sharply alters the representation transformation performed by the ReLU nonlinearity (CKA: 0.850 to 0.690, p &lt; 0.001), produces a statistically distinguishable population of high-loss training examples (loss gap: −0.051, AUC = 0.514), and can be partially and selectively reversed through low-rank weight edits. A rank-eight weight approximation recovers approximately 90% of full network performance, suggesting that the memorized association lives in a compact subspace. A width-scaling analysis further shows that class separability decreases as networks grow wider, with FDR falling from 0.862 at 16 units to 0.387 at 1,024 units.</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Together, these results provide converging correlational and causal evidence that memorization leaves consistent, low-dimensional, and editable structural fingerprints even in minimal neural architectures. The four-phase pipeline introduced here—weight geometry, representation similarity, influence scoring, and causal editing—may serve as a reusable diagnostic toolkit for probing memorization in other architectures and data regimes, contributing to the broader goal of making neural network behavior interpretable, auditable, and correctable.</w:t>
      </w:r>
    </w:p>
    <w:p>
      <w:pPr>
        <w:pStyle w:val="Normal"/>
        <w:pBdr>
          <w:bottom w:val="single" w:sz="4" w:space="1" w:color="CCCCCC"/>
        </w:pBdr>
        <w:spacing w:before="200" w:after="80"/>
        <w:rPr/>
      </w:pPr>
      <w:r>
        <w:rPr/>
      </w:r>
    </w:p>
    <w:p>
      <w:pPr>
        <w:pStyle w:val="Normal"/>
        <w:spacing w:before="120" w:after="80"/>
        <w:rPr/>
      </w:pPr>
      <w:r>
        <w:rPr>
          <w:rFonts w:eastAsia="Times New Roman" w:cs="Times New Roman"/>
          <w:b/>
          <w:bCs/>
          <w:color w:val="1A3A5C"/>
          <w:sz w:val="22"/>
          <w:szCs w:val="22"/>
        </w:rPr>
        <w:t>Data and Code Availability</w:t>
      </w:r>
    </w:p>
    <w:p>
      <w:pPr>
        <w:pStyle w:val="Normal"/>
        <w:spacing w:lineRule="auto" w:line="276" w:before="0" w:after="200"/>
        <w:jc w:val="both"/>
        <w:rPr/>
      </w:pPr>
      <w:r>
        <w:rPr>
          <w:rFonts w:eastAsia="Times New Roman" w:cs="Times New Roman"/>
          <w:b w:val="false"/>
          <w:bCs w:val="false"/>
          <w:i w:val="false"/>
          <w:iCs w:val="false"/>
          <w:color w:val="000000"/>
          <w:sz w:val="22"/>
          <w:szCs w:val="22"/>
        </w:rPr>
        <w:t xml:space="preserve">All code, configuration files, trained checkpoints, and figure-generation scripts are publicly available. The full ten-seed pipeline can be reproduced with a single command; analysis can be rerun from existing checkpoints with the --skip-training flag. Repository URL - </w:t>
      </w:r>
      <w:hyperlink r:id="rId2">
        <w:r>
          <w:rPr>
            <w:rStyle w:val="Hyperlink"/>
            <w:rFonts w:eastAsia="Times New Roman" w:cs="Times New Roman"/>
            <w:b w:val="false"/>
            <w:bCs w:val="false"/>
            <w:i w:val="false"/>
            <w:iCs w:val="false"/>
            <w:color w:val="000000"/>
            <w:sz w:val="22"/>
            <w:szCs w:val="22"/>
          </w:rPr>
          <w:t>https://github.com/shamiquekhan/four-phase-memorization-analysis</w:t>
        </w:r>
      </w:hyperlink>
      <w:r>
        <w:rPr>
          <w:rFonts w:eastAsia="Times New Roman" w:cs="Times New Roman"/>
          <w:b w:val="false"/>
          <w:bCs w:val="false"/>
          <w:i w:val="false"/>
          <w:iCs w:val="false"/>
          <w:color w:val="000000"/>
          <w:sz w:val="22"/>
          <w:szCs w:val="22"/>
        </w:rPr>
        <w:t xml:space="preserve"> .</w:t>
      </w:r>
    </w:p>
    <w:p>
      <w:pPr>
        <w:pStyle w:val="Heading1"/>
        <w:spacing w:before="240" w:after="120"/>
        <w:rPr/>
      </w:pPr>
      <w:r>
        <w:rPr>
          <w:rFonts w:eastAsia="Times New Roman" w:cs="Times New Roman" w:ascii="Times New Roman" w:hAnsi="Times New Roman"/>
          <w:b/>
          <w:bCs/>
          <w:caps w:val="false"/>
          <w:smallCaps w:val="false"/>
          <w:sz w:val="22"/>
          <w:szCs w:val="22"/>
        </w:rPr>
        <w:t>REFERENCES</w:t>
      </w:r>
    </w:p>
    <w:p>
      <w:pPr>
        <w:pStyle w:val="Normal"/>
        <w:spacing w:lineRule="auto" w:line="264" w:before="0" w:after="80"/>
        <w:ind w:hanging="360" w:start="360"/>
        <w:rPr/>
      </w:pPr>
      <w:r>
        <w:rPr>
          <w:rFonts w:eastAsia="Times New Roman" w:cs="Times New Roman"/>
          <w:sz w:val="20"/>
          <w:szCs w:val="20"/>
        </w:rPr>
        <w:t>[1] Zhang C, Bengio S, Hardt M, Recht B, Vinyals O. Understanding deep learning requires rethinking generalization. In: Proc Int Conf Learn Represent (ICLR); 2017.</w:t>
      </w:r>
    </w:p>
    <w:p>
      <w:pPr>
        <w:pStyle w:val="Normal"/>
        <w:spacing w:lineRule="auto" w:line="264" w:before="0" w:after="80"/>
        <w:ind w:hanging="360" w:start="360"/>
        <w:rPr/>
      </w:pPr>
      <w:r>
        <w:rPr>
          <w:rFonts w:eastAsia="Times New Roman" w:cs="Times New Roman"/>
          <w:sz w:val="20"/>
          <w:szCs w:val="20"/>
        </w:rPr>
        <w:t>[2] Kornblith S, Norouzi M, Lee H, Hinton G. Similarity of neural network representations revisited. In: Proc 36th Int Conf Mach Learn (ICML); 2019. p. 3519–3529.</w:t>
      </w:r>
    </w:p>
    <w:p>
      <w:pPr>
        <w:pStyle w:val="Normal"/>
        <w:spacing w:lineRule="auto" w:line="264" w:before="0" w:after="80"/>
        <w:ind w:hanging="360" w:start="360"/>
        <w:rPr/>
      </w:pPr>
      <w:r>
        <w:rPr>
          <w:rFonts w:eastAsia="Times New Roman" w:cs="Times New Roman"/>
          <w:sz w:val="20"/>
          <w:szCs w:val="20"/>
        </w:rPr>
        <w:t>[3] Koh PW, Liang P. Understanding black-box predictions via influence functions. In: Proc 34th Int Conf Mach Learn (ICML); 2017. p. 1885–1894.</w:t>
      </w:r>
    </w:p>
    <w:p>
      <w:pPr>
        <w:pStyle w:val="Normal"/>
        <w:spacing w:lineRule="auto" w:line="264" w:before="0" w:after="80"/>
        <w:ind w:hanging="360" w:start="360"/>
        <w:rPr/>
      </w:pPr>
      <w:r>
        <w:rPr>
          <w:rFonts w:eastAsia="Times New Roman" w:cs="Times New Roman"/>
          <w:sz w:val="20"/>
          <w:szCs w:val="20"/>
        </w:rPr>
        <w:t>[4] Meng K, Bau D, Andonian A, Belinkov Y. Locating and editing factual associations in GPT. In: Adv Neural Inf Process Syst (NeurIPS); 2022. vol. 35, p. 17359–17372.</w:t>
      </w:r>
    </w:p>
    <w:p>
      <w:pPr>
        <w:pStyle w:val="Normal"/>
        <w:spacing w:lineRule="auto" w:line="264" w:before="0" w:after="80"/>
        <w:ind w:hanging="360" w:start="360"/>
        <w:rPr/>
      </w:pPr>
      <w:r>
        <w:rPr>
          <w:rFonts w:eastAsia="Times New Roman" w:cs="Times New Roman"/>
          <w:sz w:val="20"/>
          <w:szCs w:val="20"/>
        </w:rPr>
        <w:t>[5] Feldman V. Does learning require memorization? A short tale about a long tail. In: Proc 52nd Annu ACM SIGACT Symp Theory Comput (STOC); 2020. p. 954–959.</w:t>
      </w:r>
    </w:p>
    <w:p>
      <w:pPr>
        <w:pStyle w:val="Normal"/>
        <w:spacing w:lineRule="auto" w:line="264" w:before="0" w:after="80"/>
        <w:ind w:hanging="360" w:start="360"/>
        <w:rPr/>
      </w:pPr>
      <w:r>
        <w:rPr>
          <w:rFonts w:eastAsia="Times New Roman" w:cs="Times New Roman"/>
          <w:sz w:val="20"/>
          <w:szCs w:val="20"/>
        </w:rPr>
        <w:t>[6] LeCun Y, Cortes C, Burges CJC. MNIST handwritten digit database; 1998. Available from: http://yann.lecun.com/exdb/mnist/</w:t>
      </w:r>
    </w:p>
    <w:p>
      <w:pPr>
        <w:pStyle w:val="Normal"/>
        <w:spacing w:lineRule="auto" w:line="264" w:before="0" w:after="80"/>
        <w:ind w:hanging="360" w:start="360"/>
        <w:rPr/>
      </w:pPr>
      <w:r>
        <w:rPr>
          <w:rFonts w:eastAsia="Times New Roman" w:cs="Times New Roman"/>
          <w:sz w:val="20"/>
          <w:szCs w:val="20"/>
        </w:rPr>
        <w:t>[7] Kingma DP, Ba J. Adam: A method for stochastic optimization. In: Proc Int Conf Learn Represent (ICLR); 2015.</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Times New Roman">
    <w:charset w:val="01" w:characterSet="utf-8"/>
    <w:family w:val="swiss"/>
    <w:pitch w:val="variable"/>
  </w:font>
  <w:font w:name="Liberation Sans">
    <w:altName w:val="Arial"/>
    <w:charset w:val="01" w:characterSet="utf-8"/>
    <w:family w:val="swiss"/>
    <w:pitch w:val="variable"/>
  </w:font>
  <w:font w:name="Arial">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1" w:color="2C5F8A"/>
      </w:pBdr>
      <w:jc w:val="center"/>
      <w:rPr/>
    </w:pPr>
    <w:r>
      <w:rPr>
        <w:rFonts w:eastAsia="Times New Roman" w:cs="Times New Roman"/>
        <w:color w:val="444444"/>
        <w:sz w:val="18"/>
        <w:szCs w:val="18"/>
      </w:rPr>
      <w:t xml:space="preserve">Page </w:t>
    </w:r>
    <w:r>
      <w:rPr>
        <w:rFonts w:eastAsia="Times New Roman" w:cs="Times New Roman"/>
        <w:sz w:val="20"/>
        <w:szCs w:val="20"/>
      </w:rPr>
      <w:fldChar w:fldCharType="begin"/>
    </w:r>
    <w:r>
      <w:rPr>
        <w:rFonts w:eastAsia="Times New Roman" w:cs="Times New Roman"/>
        <w:sz w:val="20"/>
        <w:szCs w:val="20"/>
      </w:rPr>
      <w:instrText xml:space="preserve"> PAGE </w:instrText>
    </w:r>
    <w:r>
      <w:rPr>
        <w:rFonts w:eastAsia="Times New Roman" w:cs="Times New Roman"/>
        <w:sz w:val="20"/>
        <w:szCs w:val="20"/>
      </w:rPr>
      <w:fldChar w:fldCharType="separate"/>
    </w:r>
    <w:r>
      <w:rPr>
        <w:rFonts w:eastAsia="Times New Roman" w:cs="Times New Roman"/>
        <w:sz w:val="20"/>
        <w:szCs w:val="20"/>
      </w:rPr>
      <w:t>10</w:t>
    </w:r>
    <w:r>
      <w:rPr>
        <w:rFonts w:eastAsia="Times New Roman" w:cs="Times New Roman"/>
        <w:sz w:val="20"/>
        <w:szCs w:val="20"/>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1" w:color="2C5F8A"/>
      </w:pBdr>
      <w:jc w:val="center"/>
      <w:rPr/>
    </w:pPr>
    <w:r>
      <w:rPr>
        <w:rFonts w:eastAsia="Times New Roman" w:cs="Times New Roman"/>
        <w:color w:val="444444"/>
        <w:sz w:val="18"/>
        <w:szCs w:val="18"/>
      </w:rPr>
      <w:t xml:space="preserve">Page </w:t>
    </w:r>
    <w:r>
      <w:rPr>
        <w:rFonts w:eastAsia="Times New Roman" w:cs="Times New Roman"/>
        <w:sz w:val="20"/>
        <w:szCs w:val="20"/>
      </w:rPr>
      <w:fldChar w:fldCharType="begin"/>
    </w:r>
    <w:r>
      <w:rPr>
        <w:rFonts w:eastAsia="Times New Roman" w:cs="Times New Roman"/>
        <w:sz w:val="20"/>
        <w:szCs w:val="20"/>
      </w:rPr>
      <w:instrText xml:space="preserve"> PAGE </w:instrText>
    </w:r>
    <w:r>
      <w:rPr>
        <w:rFonts w:eastAsia="Times New Roman" w:cs="Times New Roman"/>
        <w:sz w:val="20"/>
        <w:szCs w:val="20"/>
      </w:rPr>
      <w:fldChar w:fldCharType="separate"/>
    </w:r>
    <w:r>
      <w:rPr>
        <w:rFonts w:eastAsia="Times New Roman" w:cs="Times New Roman"/>
        <w:sz w:val="20"/>
        <w:szCs w:val="20"/>
      </w:rPr>
      <w:t>10</w:t>
    </w:r>
    <w:r>
      <w:rPr>
        <w:rFonts w:eastAsia="Times New Roman" w:cs="Times New Roman"/>
        <w:sz w:val="20"/>
        <w:szCs w:val="20"/>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1" w:color="2C5F8A"/>
      </w:pBdr>
      <w:jc w:val="end"/>
      <w:rPr/>
    </w:pPr>
    <w:r>
      <w:rPr>
        <w:rFonts w:eastAsia="Times New Roman" w:cs="Times New Roman"/>
        <w:i/>
        <w:iCs/>
        <w:color w:val="444444"/>
        <w:sz w:val="18"/>
        <w:szCs w:val="18"/>
      </w:rPr>
      <w:t>Structural Fingerprints of Label Memorization in Shallow Neural Networks</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1" w:color="2C5F8A"/>
      </w:pBdr>
      <w:jc w:val="end"/>
      <w:rPr/>
    </w:pPr>
    <w:r>
      <w:rPr>
        <w:rFonts w:eastAsia="Times New Roman" w:cs="Times New Roman"/>
        <w:i/>
        <w:iCs/>
        <w:color w:val="444444"/>
        <w:sz w:val="18"/>
        <w:szCs w:val="18"/>
      </w:rPr>
      <w:t>Structural Fingerprints of Label Memorization in Shallow Neural Networks</w:t>
    </w:r>
  </w:p>
</w:hd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Times New Roman" w:hAnsi="Times New Roman" w:eastAsia="Times New Roman" w:cs="Times New Roman"/>
      <w:color w:val="auto"/>
      <w:kern w:val="0"/>
      <w:sz w:val="22"/>
      <w:szCs w:val="22"/>
      <w:lang w:val="en-US" w:eastAsia="zh-CN" w:bidi="hi-IN"/>
    </w:rPr>
  </w:style>
  <w:style w:type="paragraph" w:styleId="Heading1">
    <w:name w:val="heading 1"/>
    <w:basedOn w:val="Heading"/>
    <w:qFormat/>
    <w:pPr>
      <w:spacing w:before="280" w:after="120"/>
      <w:outlineLvl w:val="0"/>
    </w:pPr>
    <w:rPr>
      <w:rFonts w:ascii="Times New Roman" w:hAnsi="Times New Roman" w:eastAsia="Times New Roman" w:cs="Times New Roman"/>
      <w:b/>
      <w:bCs/>
      <w:color w:val="1A3A5C"/>
      <w:sz w:val="24"/>
      <w:szCs w:val="24"/>
    </w:rPr>
  </w:style>
  <w:style w:type="paragraph" w:styleId="Heading2">
    <w:name w:val="heading 2"/>
    <w:basedOn w:val="Heading"/>
    <w:qFormat/>
    <w:pPr>
      <w:spacing w:before="200" w:after="80"/>
      <w:outlineLvl w:val="1"/>
    </w:pPr>
    <w:rPr>
      <w:rFonts w:ascii="Times New Roman" w:hAnsi="Times New Roman" w:eastAsia="Times New Roman" w:cs="Times New Roman"/>
      <w:b/>
      <w:bCs/>
      <w:i/>
      <w:iCs/>
      <w:color w:val="2C5F8A"/>
      <w:sz w:val="22"/>
      <w:szCs w:val="22"/>
    </w:rPr>
  </w:style>
  <w:style w:type="paragraph" w:styleId="Heading3">
    <w:name w:val="heading 3"/>
    <w:basedOn w:val="Heading"/>
    <w:qFormat/>
    <w:pPr>
      <w:spacing w:before="160" w:after="60"/>
      <w:outlineLvl w:val="2"/>
    </w:pPr>
    <w:rPr>
      <w:rFonts w:ascii="Times New Roman" w:hAnsi="Times New Roman" w:eastAsia="Times New Roman" w:cs="Times New Roman"/>
      <w:i/>
      <w:iCs/>
      <w:color w:val="2C5F8A"/>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Times New Roman" w:hAnsi="Times New Roman" w:eastAsia="Times New Roman" w:cs="Times New Roman"/>
      <w:b/>
      <w:bCs/>
      <w:color w:val="auto"/>
      <w:kern w:val="0"/>
      <w:sz w:val="22"/>
      <w:szCs w:val="22"/>
      <w:lang w:val="en-US" w:eastAsia="zh-CN" w:bidi="hi-IN"/>
    </w:rPr>
  </w:style>
  <w:style w:type="paragraph" w:styleId="ListParagraph">
    <w:name w:val="List Paragraph"/>
    <w:qFormat/>
    <w:pPr>
      <w:widowControl/>
      <w:bidi w:val="0"/>
      <w:spacing w:before="0" w:after="0"/>
      <w:jc w:val="start"/>
    </w:pPr>
    <w:rPr>
      <w:rFonts w:ascii="Times New Roman" w:hAnsi="Times New Roman" w:eastAsia="Times New Roman" w:cs="Times New Roman"/>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shamiquekhan/four-phase-memorization-analysis"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TotalTime>
  <Application>LibreOffice/26.2.3.2$Linux_X86_64 LibreOffice_project/620$Build-2</Application>
  <AppVersion>15.0000</AppVersion>
  <Pages>10</Pages>
  <Words>4219</Words>
  <Characters>25456</Characters>
  <CharactersWithSpaces>29364</CharactersWithSpaces>
  <Paragraphs>297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2026-06-16T04:52:00Z</dcterms:created>
  <dc:creator>Un-named</dc:creator>
  <dc:description/>
  <dc:language>en-US</dc:language>
  <cp:lastModifiedBy/>
  <dcterms:modified xsi:type="dcterms:W3CDTF">2026-06-16T16:41:53Z</dcterms:modified>
  <cp:revision>2</cp:revision>
  <dc:subject/>
  <dc:title/>
</cp:coreProperties>
</file>