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Times New Roman" w:cs="Times New Roman"/>
          <w:b/>
          <w:bCs/>
          <w:color w:val="1A3A5C"/>
          <w:sz w:val="32"/>
          <w:szCs w:val="32"/>
        </w:rPr>
        <w:t>Structural Fingerprints of Label Memorization in Shallow Neural Networks: A Four-Phase Empirical Study</w:t>
      </w:r>
    </w:p>
    <w:p>
      <w:pPr>
        <w:pStyle w:val="Normal"/>
        <w:spacing w:before="0" w:after="80"/>
        <w:jc w:val="center"/>
        <w:rPr/>
      </w:pPr>
      <w:r>
        <w:rPr>
          <w:rFonts w:eastAsia="Times New Roman" w:cs="Times New Roman"/>
          <w:i/>
          <w:iCs/>
          <w:color w:val="666666"/>
          <w:sz w:val="20"/>
          <w:szCs w:val="20"/>
        </w:rPr>
        <w:t>Shamique Khan</w:t>
      </w:r>
    </w:p>
    <w:p>
      <w:pPr>
        <w:pStyle w:val="Normal"/>
        <w:spacing w:before="0" w:after="320"/>
        <w:jc w:val="center"/>
        <w:rPr>
          <w:rFonts w:ascii="Times New Roman" w:hAnsi="Times New Roman" w:eastAsia="Times New Roman" w:cs="Times New Roman"/>
          <w:i/>
          <w:iCs/>
          <w:color w:val="666666"/>
          <w:sz w:val="20"/>
          <w:szCs w:val="20"/>
        </w:rPr>
      </w:pPr>
      <w:r>
        <w:rPr>
          <w:rFonts w:eastAsia="Times New Roman" w:cs="Times New Roman"/>
          <w:i/>
          <w:iCs/>
          <w:color w:val="666666"/>
          <w:sz w:val="20"/>
          <w:szCs w:val="20"/>
        </w:rPr>
        <w:t>Bachelors of Technology – VIT Bhopal</w:t>
      </w:r>
    </w:p>
    <w:p>
      <w:pPr>
        <w:pStyle w:val="Normal"/>
        <w:spacing w:before="0" w:after="320"/>
        <w:jc w:val="center"/>
        <w:rPr>
          <w:rFonts w:ascii="Times New Roman" w:hAnsi="Times New Roman" w:eastAsia="Times New Roman" w:cs="Times New Roman"/>
          <w:i/>
          <w:iCs/>
          <w:color w:val="666666"/>
          <w:sz w:val="20"/>
          <w:szCs w:val="20"/>
        </w:rPr>
      </w:pPr>
      <w:r>
        <w:rPr>
          <w:rFonts w:eastAsia="Times New Roman" w:cs="Times New Roman"/>
          <w:i/>
          <w:iCs/>
          <w:color w:val="666666"/>
          <w:sz w:val="20"/>
          <w:szCs w:val="20"/>
        </w:rPr>
        <w:t>shamique.25bai10187@vitbhopal.ac.in</w:t>
      </w:r>
    </w:p>
    <w:p>
      <w:pPr>
        <w:pStyle w:val="Normal"/>
        <w:spacing w:before="120" w:after="80"/>
        <w:rPr/>
      </w:pPr>
      <w:r>
        <w:rPr>
          <w:rFonts w:eastAsia="Times New Roman" w:cs="Times New Roman"/>
          <w:b/>
          <w:bCs/>
          <w:color w:val="1A3A5C"/>
          <w:sz w:val="24"/>
          <w:szCs w:val="24"/>
        </w:rPr>
        <w:t>Abstract</w:t>
      </w:r>
    </w:p>
    <w:p>
      <w:pPr>
        <w:pStyle w:val="Normal"/>
        <w:spacing w:lineRule="auto" w:line="264" w:before="0" w:after="200"/>
        <w:jc w:val="both"/>
        <w:rPr/>
      </w:pPr>
      <w:r>
        <w:rPr>
          <w:rFonts w:eastAsia="Times New Roman" w:cs="Times New Roman"/>
          <w:sz w:val="22"/>
          <w:szCs w:val="22"/>
        </w:rPr>
        <w:t>Understanding what neural networks memorize versus what they genuinely learn is a central open question in interpretability research. We present a comprehensive four-phase empirical study of label memorization in a shallow two-layer fully connected network (784-16-10, approximately 12,874 parameters) trained on MNIST. Clean-label networks are compared against networks trained with 20% random label noise across ten random seeds, with 95% confidence intervals reported throughout. Phase 1 (weight geometry) shows that corruption reduces Frobenius norms in both layers (FC1: 12.56 to 10.33; FC2: 4.99 to 2.79), indicating flatter, lower-capacity-per-direction solutions. Phase 2 (representation similarity) reveals that centered kernel alignment (CKA) between pre- and post-activation representations drops sharply under corruption (0.850 to 0.690, p &lt; 0.001), localizing memorization effects to the ReLU nonlinearity rather than the linear projection. Phase 3 (influence-based memorization) identifies a high-loss population of memorized samples with a mean loss gap of −0.051, validated against ground-truth corruption indices, achieving above-chance AUC. Phase 4 (causal intervention) applies rank-one model editing (ROME) across four targeted class-swap configurations, recovering 9.7 to 21.7 percentage points of accuracy; rank-eight weight approximations retain approximately 90% of full performance. A width-scaling analysis from 16 to 1,024 hidden units demonstrates that class separability, measured by the Fisher discriminant ratio, decreases monotonically with capacity (0.862 to 0.387). These results provide converging correlational and causal evidence that label memorization leaves consistent, low-dimensional, and editable structural fingerprints even in minimal neural architectures.</w:t>
      </w:r>
    </w:p>
    <w:p>
      <w:pPr>
        <w:pStyle w:val="Normal"/>
        <w:spacing w:before="0" w:after="80"/>
        <w:rPr/>
      </w:pPr>
      <w:r>
        <w:rPr>
          <w:rFonts w:eastAsia="Times New Roman" w:cs="Times New Roman"/>
          <w:b/>
          <w:bCs/>
          <w:sz w:val="20"/>
          <w:szCs w:val="20"/>
        </w:rPr>
        <w:t xml:space="preserve">Keywords: </w:t>
      </w:r>
      <w:r>
        <w:rPr>
          <w:rFonts w:eastAsia="Times New Roman" w:cs="Times New Roman"/>
          <w:sz w:val="20"/>
          <w:szCs w:val="20"/>
        </w:rPr>
        <w:t>neural network memorization; representation similarity; centered kernel alignment; influence functions; model editing; interpretability; MNIST</w:t>
      </w:r>
    </w:p>
    <w:p>
      <w:pPr>
        <w:pStyle w:val="Normal"/>
        <w:pBdr>
          <w:bottom w:val="single" w:sz="6" w:space="1" w:color="2C5F8A"/>
        </w:pBdr>
        <w:spacing w:before="0" w:after="280"/>
        <w:rPr/>
      </w:pPr>
      <w:r>
        <w:rPr/>
      </w:r>
    </w:p>
    <w:p>
      <w:pPr>
        <w:pStyle w:val="Heading1"/>
        <w:spacing w:before="240" w:after="120"/>
        <w:rPr/>
      </w:pPr>
      <w:r>
        <w:rPr>
          <w:rFonts w:eastAsia="Times New Roman" w:cs="Times New Roman" w:ascii="Times New Roman" w:hAnsi="Times New Roman"/>
          <w:b/>
          <w:bCs/>
          <w:caps w:val="false"/>
          <w:smallCaps w:val="false"/>
          <w:sz w:val="22"/>
          <w:szCs w:val="22"/>
        </w:rPr>
        <w:t>1. INTRODUCTION</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Modern neural networks routinely achieve near-zero training error even on datasets with deliberately corrupted labels, a phenomenon that fundamentally challenges classical notions of the bias-variance trade off [1]. Zhang et al. famously demonstrated that deep neural networks can perfectly memorize randomly labeled training data while simultaneously achieving strong generalization on clean test sets, suggesting that the traditional dichotomy between memorization and learning is inadequate for understanding these models [1]. More recently, Feldman [5] showed that long-tailed data distributions actually require a degree of memorization for optimal generalization, adding nuance to the picture: not all memorization is harmful, and some may be necessary.</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Despite this growing body of knowledge, a fundamental question remains open: how is memorization physically realized inside a trained network? Does it correspond to identifiable changes in weight geometry, in the structure of internal representations, or in specific, localizable computational circuits? Answering this question has practical implications for interpretability, robustness, and the ability to selectively correct undesired memorized associations without retraining from scratch.</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Three distinct lines of interpretability research bear on this question but have largely been pursued in isolation. First, representation similarity metrics—most prominently centered kernel alignment (CKA) [2]—allow direct comparison of how networks process information across layers and training conditions, but have rarely been used to systematically contrast clean and corrupted training regimes. Second, influence functions [3] provide a principled, gradient-based estimate of how much each individual training example shapes a model's parameters, and have been proposed as a tool for identifying memorized examples; however, validating these scores against known ground-truth corruption indices is uncommon in the literature. Third, rank-one model editing (ROME) [4], originally developed to localize and surgically edit factual associations in large language models, offers a causal lever: if a targeted weight edit to a hypothesized memorization circuit measurably restores behavior on affected examples, this constitutes causal—rather than purely correlational—evidence for the location of memorized information.</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This paper unifies all three approaches within a single, deliberately minimal testbed: a two-layer fully connected network (784-16-10 units, approximately 12,874 trainable parameters) trained on the MNIST handwritten digit dataset [6]. The small hidden dimension forces the network into a compressed representation regime in which individual neurons are more likely to specialize, making circuit-level interpretation tractable. By keeping the architecture minimal, we aim to establish a clear baseline for what memorization looks like when it is most directly observable, before extending the scaling analysis to wider networks.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Our study makes five primary contributions. First, we demonstrate that label memorization measurably alters weight geometry, reducing the spectral norms of both linear layers in a consistent, statistically significant manner. Second, we show that memorization disproportionately disrupts the representation transformation performed by the ReLU nonlinearity, as evidenced by a sharp collapse in CKA between pre- and post-activation representations—the single most mechanistically informative finding of this study. Third, we validate influence-function-based memorization scores against ground-truth corruption indices, achieving an above-chance AUC without any circular reasoning. Fourth, we demonstrate through targeted ROME edits that memorized class associations can be selectively and causally reversed, and that a rank-eight approximation of the weight matrix recovers approximately 90% of full performance. Fifth, a width-scaling analysis from 16 to 1,024 hidden units reveals that class separability, measured by the Fisher discriminant ratio (FDR), decreases monotonically with network capacity, suggesting that the memorization signature becomes increasingly diffuse as width increases.</w:t>
      </w:r>
    </w:p>
    <w:p>
      <w:pPr>
        <w:pStyle w:val="Heading1"/>
        <w:spacing w:before="240" w:after="120"/>
        <w:rPr/>
      </w:pPr>
      <w:r>
        <w:rPr>
          <w:rFonts w:eastAsia="Times New Roman" w:cs="Times New Roman" w:ascii="Times New Roman" w:hAnsi="Times New Roman"/>
          <w:b/>
          <w:bCs/>
          <w:caps w:val="false"/>
          <w:smallCaps w:val="false"/>
          <w:sz w:val="22"/>
          <w:szCs w:val="22"/>
        </w:rPr>
        <w:t>2. RELATED WORK</w:t>
      </w:r>
    </w:p>
    <w:p>
      <w:pPr>
        <w:pStyle w:val="Heading2"/>
        <w:spacing w:before="180" w:after="80"/>
        <w:rPr/>
      </w:pPr>
      <w:r>
        <w:rPr>
          <w:rFonts w:eastAsia="Times New Roman" w:cs="Times New Roman" w:ascii="Times New Roman" w:hAnsi="Times New Roman"/>
          <w:b/>
          <w:bCs/>
          <w:i/>
          <w:iCs/>
          <w:sz w:val="22"/>
          <w:szCs w:val="22"/>
        </w:rPr>
        <w:t>2.1 Memorization and Generalization</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The relationship between memorization and generalization in deep learning has been an active area of research since Zhang et al. [1] showed that state-of-the-art models can simultaneously achieve perfect memorization on random labels and strong generalization on structured data. Subsequent theoretical work has shown that many common regularization techniques—dropout, weight decay, batch normalization—reduce but do not eliminate memorization [1]. Feldman [5] further argued that memorization of rare patterns is not merely an artifact of overparameterization but may be necessary for achieving optimal generalization in long-tailed distributions, reframing memorization as a feature rather than a bug in many practical settings.</w:t>
      </w:r>
    </w:p>
    <w:p>
      <w:pPr>
        <w:pStyle w:val="Heading2"/>
        <w:spacing w:before="180" w:after="80"/>
        <w:rPr/>
      </w:pPr>
      <w:r>
        <w:rPr>
          <w:rFonts w:eastAsia="Times New Roman" w:cs="Times New Roman" w:ascii="Times New Roman" w:hAnsi="Times New Roman"/>
          <w:b/>
          <w:bCs/>
          <w:i/>
          <w:iCs/>
          <w:sz w:val="22"/>
          <w:szCs w:val="22"/>
        </w:rPr>
        <w:t>2.2 Centered Kernel Alignment</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Representation similarity analysis provides tools for comparing the internal geometry of neural networks. CKA [2], as introduced by Kornblith et al., is invariant to orthogonal transformations and isotropic scaling, making it well-suited to comparing representations across networks trained with different random seeds or under different conditions. Prior work has used CKA to study representational convergence across architectures and training procedures, but systematic application to the question of how memorization alters layer-wise representations remains relatively unexplored.</w:t>
      </w:r>
    </w:p>
    <w:p>
      <w:pPr>
        <w:pStyle w:val="Heading2"/>
        <w:spacing w:before="180" w:after="80"/>
        <w:rPr/>
      </w:pPr>
      <w:r>
        <w:rPr>
          <w:rFonts w:eastAsia="Times New Roman" w:cs="Times New Roman" w:ascii="Times New Roman" w:hAnsi="Times New Roman"/>
          <w:b/>
          <w:bCs/>
          <w:i/>
          <w:iCs/>
          <w:sz w:val="22"/>
          <w:szCs w:val="22"/>
        </w:rPr>
        <w:t>2.3 Influence Functions and Sample Attribution</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Influence functions, introduced to machine learning by Koh and Liang [3], estimate the counterfactual impact of removing or up-weighting individual training examples on model predictions. They have been applied to tasks including mislabeled data detection and data poisoning analysis. A known limitation is that the quadratic approximation underlying influence functions may be inaccurate for non-convex networks; our use of conjugate-gradient estimation of the inverse Hessian-vector product follows standard practice for mitigating this issue, and our validation against ground-truth corruption indices provides empirical evidence that the approximation is useful in our setting.</w:t>
      </w:r>
    </w:p>
    <w:p>
      <w:pPr>
        <w:pStyle w:val="Heading2"/>
        <w:spacing w:before="180" w:after="80"/>
        <w:rPr/>
      </w:pPr>
      <w:r>
        <w:rPr>
          <w:rFonts w:eastAsia="Times New Roman" w:cs="Times New Roman" w:ascii="Times New Roman" w:hAnsi="Times New Roman"/>
          <w:b/>
          <w:bCs/>
          <w:i/>
          <w:iCs/>
          <w:sz w:val="22"/>
          <w:szCs w:val="22"/>
        </w:rPr>
        <w:t>2.4 Model Editing</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ROME [4], as introduced by Meng et al. for factual editing in large language models, frames targeted weight modification as a rank-one update problem. The key insight is that a single factual association can often be localized to a small subspace of a single layer's weight matrix, enabling surgical edits with minimal collateral effects. Extending this approach to memorization in classification networks—where the 'fact' to be edited is a specific class-label association—is a natural but underexplored direction.</w:t>
      </w:r>
    </w:p>
    <w:p>
      <w:pPr>
        <w:pStyle w:val="Heading1"/>
        <w:spacing w:before="240" w:after="120"/>
        <w:rPr/>
      </w:pPr>
      <w:r>
        <w:rPr>
          <w:rFonts w:eastAsia="Times New Roman" w:cs="Times New Roman" w:ascii="Times New Roman" w:hAnsi="Times New Roman"/>
          <w:b/>
          <w:bCs/>
          <w:caps w:val="false"/>
          <w:smallCaps w:val="false"/>
          <w:sz w:val="22"/>
          <w:szCs w:val="22"/>
        </w:rPr>
        <w:t>3. METHODOLOGY</w:t>
      </w:r>
    </w:p>
    <w:p>
      <w:pPr>
        <w:pStyle w:val="Heading2"/>
        <w:spacing w:before="180" w:after="80"/>
        <w:rPr/>
      </w:pPr>
      <w:r>
        <w:rPr>
          <w:rFonts w:eastAsia="Times New Roman" w:cs="Times New Roman" w:ascii="Times New Roman" w:hAnsi="Times New Roman"/>
          <w:b/>
          <w:bCs/>
          <w:i/>
          <w:iCs/>
          <w:sz w:val="22"/>
          <w:szCs w:val="22"/>
        </w:rPr>
        <w:t>3.1 Model Architecture and Training</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All experiments use a two-layer fully connected network (MNISTNet) with 784 input units (flattened 28×28 MNIST images), a hidden layer of 16 units with ReLU activation, and an output layer of 10 units corresponding to digit classes, totaling approximately 12,874 trainable parameters. Models are trained with the Adam optimizer [7] at a learning rate of 0.001 with batch size 128 for 20 epochs using cross-entropy loss. The small hidden dimension is a deliberate design choice: it forces the network into a compressed, interpretable regime in which individual neurons are more likely to specialize. Ten independent random seeds (42, 123, 456, 789, 1024, 2048, 3141, 5555, 7777, 9999) are used for all comparisons.</w:t>
      </w:r>
    </w:p>
    <w:p>
      <w:pPr>
        <w:pStyle w:val="Heading2"/>
        <w:spacing w:before="180" w:after="80"/>
        <w:rPr/>
      </w:pPr>
      <w:r>
        <w:rPr>
          <w:rFonts w:eastAsia="Times New Roman" w:cs="Times New Roman" w:ascii="Times New Roman" w:hAnsi="Times New Roman"/>
          <w:b/>
          <w:bCs/>
          <w:i/>
          <w:iCs/>
          <w:sz w:val="22"/>
          <w:szCs w:val="22"/>
        </w:rPr>
        <w:t>3.2 Corruption Regimes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Two distinct corruption regimes are employed for different phases of the analysis.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Regime A (random label noise) is used in Phases 1 through 3 and in the scaling analysis. Twenty percent of training labels (approximately 12,000 of 60,000 examples) are randomly reassigned to a different class prior to training, independently for each seed. The indices of corrupted examples are saved (corrupt_indices.npy) and reserved for post-hoc validation of memorization scores, ensuring that the Phase 3 analysis is not circular.</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Regime B (targeted class swap) is used exclusively in Phase 4. All training examples belonging to a source class are relabeled to a target class, affecting approximately 5,900 to 6,000 examples per configuration. Four source-target pairs are tested: 7→1, 1→7, 5→6, and 0→8. This creates a concentrated, easily localizable backdoor association suited to causal intervention experiments, in contrast to the diffuse, sample-level corruption of Regime A.</w:t>
      </w:r>
    </w:p>
    <w:p>
      <w:pPr>
        <w:pStyle w:val="Heading2"/>
        <w:spacing w:before="180" w:after="80"/>
        <w:rPr/>
      </w:pPr>
      <w:r>
        <w:rPr>
          <w:rFonts w:eastAsia="Times New Roman" w:cs="Times New Roman" w:ascii="Times New Roman" w:hAnsi="Times New Roman"/>
          <w:b/>
          <w:bCs/>
          <w:i/>
          <w:iCs/>
          <w:sz w:val="22"/>
          <w:szCs w:val="22"/>
        </w:rPr>
        <w:t>3.3 Four-Phase Analysis Pipeline</w:t>
      </w:r>
    </w:p>
    <w:p>
      <w:pPr>
        <w:pStyle w:val="Normal"/>
        <w:spacing w:lineRule="auto" w:line="276" w:before="0" w:after="80"/>
        <w:jc w:val="both"/>
        <w:rPr/>
      </w:pPr>
      <w:r>
        <w:rPr>
          <w:rFonts w:eastAsia="Times New Roman" w:cs="Times New Roman"/>
          <w:b w:val="false"/>
          <w:bCs w:val="false"/>
          <w:i w:val="false"/>
          <w:iCs w:val="false"/>
          <w:color w:val="000000"/>
          <w:sz w:val="22"/>
          <w:szCs w:val="22"/>
        </w:rPr>
        <w:t>Figure 1 illustrates the overall four-phase analysis pipeline. Below we describe each phase in detail.</w:t>
      </w:r>
    </w:p>
    <w:p>
      <w:pPr>
        <w:pStyle w:val="Normal"/>
        <w:spacing w:before="120" w:after="80"/>
        <w:jc w:val="center"/>
        <w:rPr/>
      </w:pPr>
      <w:r>
        <w:rPr>
          <w:rFonts w:eastAsia="Times New Roman" w:cs="Times New Roman"/>
          <w:b/>
          <w:bCs/>
          <w:color w:val="2C5F8A"/>
          <w:sz w:val="22"/>
          <w:szCs w:val="22"/>
        </w:rPr>
        <w:t>Four-Phase Analysis Pipeline</w:t>
      </w:r>
    </w:p>
    <w:p>
      <w:pPr>
        <w:pStyle w:val="Normal"/>
        <w:spacing w:before="0" w:after="60"/>
        <w:jc w:val="center"/>
        <w:rPr/>
      </w:pPr>
      <w:r>
        <w:rPr>
          <w:rFonts w:eastAsia="Times New Roman" w:cs="Times New Roman"/>
          <w:sz w:val="20"/>
          <w:szCs w:val="20"/>
        </w:rPr>
        <w:t>MNIST Dataset (60,000 training samples)</w:t>
      </w:r>
    </w:p>
    <w:p>
      <w:pPr>
        <w:pStyle w:val="Normal"/>
        <w:spacing w:before="0" w:after="60"/>
        <w:jc w:val="center"/>
        <w:rPr/>
      </w:pPr>
      <w:r>
        <w:rPr>
          <w:rFonts w:eastAsia="Arial" w:cs="Arial" w:ascii="Arial" w:hAnsi="Arial"/>
          <w:b/>
          <w:bCs/>
          <w:color w:val="2C5F8A"/>
          <w:sz w:val="24"/>
          <w:szCs w:val="24"/>
        </w:rPr>
        <w:t>▼</w:t>
      </w:r>
    </w:p>
    <w:p>
      <w:pPr>
        <w:pStyle w:val="Normal"/>
        <w:spacing w:before="0" w:after="60"/>
        <w:jc w:val="center"/>
        <w:rPr/>
      </w:pPr>
      <w:r>
        <w:rPr>
          <w:rFonts w:eastAsia="Times New Roman" w:cs="Times New Roman"/>
          <w:b/>
          <w:bCs/>
          <w:sz w:val="20"/>
          <w:szCs w:val="20"/>
        </w:rPr>
        <w:t>Two Training Regimes</w:t>
      </w:r>
    </w:p>
    <w:p>
      <w:pPr>
        <w:pStyle w:val="Normal"/>
        <w:spacing w:before="0" w:after="60"/>
        <w:jc w:val="center"/>
        <w:rPr/>
      </w:pPr>
      <w:r>
        <w:rPr>
          <w:rFonts w:eastAsia="Times New Roman" w:cs="Times New Roman"/>
          <w:sz w:val="20"/>
          <w:szCs w:val="20"/>
        </w:rPr>
        <w:t>Regime A: 20% Random Label Noise  |  Regime B: Targeted Class Swap</w:t>
      </w:r>
    </w:p>
    <w:p>
      <w:pPr>
        <w:pStyle w:val="Normal"/>
        <w:spacing w:before="0" w:after="60"/>
        <w:jc w:val="center"/>
        <w:rPr/>
      </w:pPr>
      <w:r>
        <w:rPr>
          <w:rFonts w:eastAsia="Arial" w:cs="Arial" w:ascii="Arial" w:hAnsi="Arial"/>
          <w:b/>
          <w:bCs/>
          <w:color w:val="2C5F8A"/>
          <w:sz w:val="24"/>
          <w:szCs w:val="24"/>
        </w:rPr>
        <w:t>▼</w:t>
      </w:r>
    </w:p>
    <w:p>
      <w:pPr>
        <w:pStyle w:val="Normal"/>
        <w:spacing w:before="0" w:after="60"/>
        <w:jc w:val="center"/>
        <w:rPr/>
      </w:pPr>
      <w:r>
        <w:rPr>
          <w:rFonts w:eastAsia="Times New Roman" w:cs="Times New Roman"/>
          <w:sz w:val="20"/>
          <w:szCs w:val="20"/>
        </w:rPr>
        <w:t>MNISTNet: 784-16-10 FC Network  (≈12,874 parameters, trained 10 seeds)</w:t>
      </w:r>
    </w:p>
    <w:p>
      <w:pPr>
        <w:pStyle w:val="Normal"/>
        <w:spacing w:before="0" w:after="60"/>
        <w:jc w:val="center"/>
        <w:rPr/>
      </w:pPr>
      <w:r>
        <w:rPr>
          <w:rFonts w:eastAsia="Arial" w:cs="Arial" w:ascii="Arial" w:hAnsi="Arial"/>
          <w:b/>
          <w:bCs/>
          <w:color w:val="2C5F8A"/>
          <w:sz w:val="24"/>
          <w:szCs w:val="24"/>
        </w:rPr>
        <w:t>▼</w:t>
      </w:r>
    </w:p>
    <w:p>
      <w:pPr>
        <w:pStyle w:val="Normal"/>
        <w:spacing w:before="0" w:after="60"/>
        <w:jc w:val="center"/>
        <w:rPr/>
      </w:pPr>
      <w:r>
        <w:rPr>
          <w:rFonts w:eastAsia="Times New Roman" w:cs="Times New Roman"/>
          <w:b/>
          <w:bCs/>
          <w:color w:val="1A3A5C"/>
          <w:sz w:val="20"/>
          <w:szCs w:val="20"/>
        </w:rPr>
        <w:t>Phase 1: Weight Geometry</w:t>
      </w:r>
      <w:r>
        <w:rPr>
          <w:rFonts w:eastAsia="Times New Roman" w:cs="Times New Roman"/>
          <w:sz w:val="20"/>
          <w:szCs w:val="20"/>
        </w:rPr>
        <w:t xml:space="preserve">  →  </w:t>
      </w:r>
      <w:r>
        <w:rPr>
          <w:rFonts w:eastAsia="Times New Roman" w:cs="Times New Roman"/>
          <w:b/>
          <w:bCs/>
          <w:color w:val="1A3A5C"/>
          <w:sz w:val="20"/>
          <w:szCs w:val="20"/>
        </w:rPr>
        <w:t>Phase 2: Representation Similarity (CKA)</w:t>
      </w:r>
      <w:r>
        <w:rPr>
          <w:rFonts w:eastAsia="Times New Roman" w:cs="Times New Roman"/>
          <w:sz w:val="20"/>
          <w:szCs w:val="20"/>
        </w:rPr>
        <w:t xml:space="preserve">  →  </w:t>
      </w:r>
      <w:r>
        <w:rPr>
          <w:rFonts w:eastAsia="Times New Roman" w:cs="Times New Roman"/>
          <w:b/>
          <w:bCs/>
          <w:color w:val="1A3A5C"/>
          <w:sz w:val="20"/>
          <w:szCs w:val="20"/>
        </w:rPr>
        <w:t>Phase 3: Influence &amp; Memorization Scores</w:t>
      </w:r>
      <w:r>
        <w:rPr>
          <w:rFonts w:eastAsia="Times New Roman" w:cs="Times New Roman"/>
          <w:sz w:val="20"/>
          <w:szCs w:val="20"/>
        </w:rPr>
        <w:t xml:space="preserve">  →  </w:t>
      </w:r>
      <w:r>
        <w:rPr>
          <w:rFonts w:eastAsia="Times New Roman" w:cs="Times New Roman"/>
          <w:b/>
          <w:bCs/>
          <w:color w:val="1A3A5C"/>
          <w:sz w:val="20"/>
          <w:szCs w:val="20"/>
        </w:rPr>
        <w:t>Phase 4: Causal Intervention (ROME)</w:t>
      </w:r>
    </w:p>
    <w:p>
      <w:pPr>
        <w:pStyle w:val="Normal"/>
        <w:spacing w:before="80" w:after="60"/>
        <w:jc w:val="center"/>
        <w:rPr/>
      </w:pPr>
      <w:r>
        <w:rPr>
          <w:rFonts w:eastAsia="Arial" w:cs="Arial" w:ascii="Arial" w:hAnsi="Arial"/>
          <w:b/>
          <w:bCs/>
          <w:color w:val="2C5F8A"/>
          <w:sz w:val="24"/>
          <w:szCs w:val="24"/>
        </w:rPr>
        <w:t>▼</w:t>
      </w:r>
    </w:p>
    <w:p>
      <w:pPr>
        <w:pStyle w:val="Normal"/>
        <w:spacing w:before="0" w:after="120"/>
        <w:jc w:val="center"/>
        <w:rPr/>
      </w:pPr>
      <w:r>
        <w:rPr>
          <w:rFonts w:eastAsia="Times New Roman" w:cs="Times New Roman"/>
          <w:b/>
          <w:bCs/>
          <w:color w:val="2C5F8A"/>
          <w:sz w:val="20"/>
          <w:szCs w:val="20"/>
        </w:rPr>
        <w:t>Convergent Correlational + Causal Evidence for Memorization Fingerprints</w:t>
      </w:r>
    </w:p>
    <w:p>
      <w:pPr>
        <w:pStyle w:val="Normal"/>
        <w:spacing w:before="60" w:after="200"/>
        <w:jc w:val="center"/>
        <w:rPr/>
      </w:pPr>
      <w:r>
        <w:rPr>
          <w:rFonts w:eastAsia="Times New Roman" w:cs="Times New Roman"/>
          <w:i/>
          <w:iCs/>
          <w:sz w:val="20"/>
          <w:szCs w:val="20"/>
        </w:rPr>
        <w:t>Figure 1. Overview of the four-phase analysis pipeline, from data ingestion through causal intervention.</w:t>
      </w:r>
    </w:p>
    <w:p>
      <w:pPr>
        <w:pStyle w:val="Heading3"/>
        <w:spacing w:before="140" w:after="60"/>
        <w:rPr/>
      </w:pPr>
      <w:r>
        <w:rPr>
          <w:rFonts w:eastAsia="Times New Roman" w:cs="Times New Roman" w:ascii="Times New Roman" w:hAnsi="Times New Roman"/>
          <w:i/>
          <w:iCs/>
          <w:sz w:val="22"/>
          <w:szCs w:val="22"/>
        </w:rPr>
        <w:t>Phase 1: Weight Geometry.</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For each trained checkpoint, we compute the Frobenius and spectral norms of both weight matrices (FC1 and FC2), the final-epoch gradient norm, and epoch-wise training and test accuracy and loss curves. Spectral norms quantify the maximum singular value of each weight matrix, providing a measure of the network's amplification factor along its most responsive direction.</w:t>
      </w:r>
    </w:p>
    <w:p>
      <w:pPr>
        <w:pStyle w:val="Heading3"/>
        <w:spacing w:before="140" w:after="60"/>
        <w:rPr/>
      </w:pPr>
      <w:r>
        <w:rPr>
          <w:rFonts w:eastAsia="Times New Roman" w:cs="Times New Roman" w:ascii="Times New Roman" w:hAnsi="Times New Roman"/>
          <w:i/>
          <w:iCs/>
          <w:sz w:val="22"/>
          <w:szCs w:val="22"/>
        </w:rPr>
        <w:t>Phase 2: Representation Similarity.</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Activations are extracted on 5,000 held-out test examples at three points in the forward pass: the raw network input, the pre-activation hidden layer (FC1_pre), and the post-ReLU hidden layer (FC1_post). Linear CKA, computed via the Hilbert-Schmidt independence criterion after zero-centering, quantifies the similarity of these representations between clean and corrupted models. Auxiliary diagnostics include activation sparsity, mean and standard deviation of activations, principal component analysis (PCA), and t-distributed stochastic neighbor embedding (t-SNE) projections.</w:t>
      </w:r>
    </w:p>
    <w:p>
      <w:pPr>
        <w:pStyle w:val="Heading3"/>
        <w:spacing w:before="140" w:after="60"/>
        <w:rPr/>
      </w:pPr>
      <w:r>
        <w:rPr>
          <w:rFonts w:eastAsia="Times New Roman" w:cs="Times New Roman" w:ascii="Times New Roman" w:hAnsi="Times New Roman"/>
          <w:i/>
          <w:iCs/>
          <w:sz w:val="22"/>
          <w:szCs w:val="22"/>
        </w:rPr>
        <w:t>Phase 3: Influence and Memorization Scoring.</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Per-sample training loss is used to classify examples as memorized (top loss quartile when evaluated by a clean-trained model) or non-memorized. Approximate influence scores are computed via conjugate-gradient estimation of the inverse Hessian-vector product, following Koh and Liang [3]. Circuit sparsity (the number of hidden units whose ablation substantially changes a given class's output) and monosemanticity (the fraction of hidden units with activation correlation above 0.5 with a single class) are computed as structural diagnostics.</w:t>
      </w:r>
    </w:p>
    <w:p>
      <w:pPr>
        <w:pStyle w:val="Heading3"/>
        <w:spacing w:before="140" w:after="60"/>
        <w:rPr/>
      </w:pPr>
      <w:r>
        <w:rPr>
          <w:rFonts w:eastAsia="Times New Roman" w:cs="Times New Roman" w:ascii="Times New Roman" w:hAnsi="Times New Roman"/>
          <w:i/>
          <w:iCs/>
          <w:sz w:val="22"/>
          <w:szCs w:val="22"/>
        </w:rPr>
        <w:t>Phase 4: Causal Intervention via ROME.</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For each Regime B configuration, a rank-one edit ΔW = (v – Wu)u⊤ / u⊤u is applied to the first- or second-layer weight matrix W, where u is a key vector for the source class and v is a target output vector. We measure accuracy recovery on the source class, side effects on non-targeted classes, and the Frobenius norm of the edit ‖ΔW‖. A complementary rank-ablation study replaces W with its best rank-k approximation for k = 1 through 10 and measures resulting accuracy degradation.</w:t>
      </w:r>
    </w:p>
    <w:p>
      <w:pPr>
        <w:pStyle w:val="Heading2"/>
        <w:spacing w:before="180" w:after="80"/>
        <w:rPr/>
      </w:pPr>
      <w:r>
        <w:rPr>
          <w:rFonts w:eastAsia="Times New Roman" w:cs="Times New Roman" w:ascii="Times New Roman" w:hAnsi="Times New Roman"/>
          <w:b/>
          <w:bCs/>
          <w:i/>
          <w:iCs/>
          <w:sz w:val="22"/>
          <w:szCs w:val="22"/>
        </w:rPr>
        <w:t>3.4 Separability Metrics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Two class-separability metrics are reported. The Fisher discriminant ratio (FDR) is computed as FDR = tr(S_B) / tr(S_W), where S_B and S_W are the between-class and within-class scatter matrices of hidden-layer activations. FDR is the primary metric for scaling comparisons because it is dimension-invariant. The Davies-Bouldin index serves as an auxiliary diagnostic for t-SNE visualizations, illustrating geometric cluster disentanglement without being directly compared across network widths.</w:t>
      </w:r>
    </w:p>
    <w:p>
      <w:pPr>
        <w:pStyle w:val="Heading1"/>
        <w:spacing w:before="240" w:after="120"/>
        <w:rPr/>
      </w:pPr>
      <w:r>
        <w:rPr>
          <w:rFonts w:eastAsia="Times New Roman" w:cs="Times New Roman" w:ascii="Times New Roman" w:hAnsi="Times New Roman"/>
          <w:b/>
          <w:bCs/>
          <w:caps w:val="false"/>
          <w:smallCaps w:val="false"/>
          <w:sz w:val="22"/>
          <w:szCs w:val="22"/>
        </w:rPr>
        <w:t>4. RESULTS</w:t>
      </w:r>
    </w:p>
    <w:p>
      <w:pPr>
        <w:pStyle w:val="Heading2"/>
        <w:spacing w:before="180" w:after="80"/>
        <w:rPr/>
      </w:pPr>
      <w:r>
        <w:rPr>
          <w:rFonts w:eastAsia="Times New Roman" w:cs="Times New Roman" w:ascii="Times New Roman" w:hAnsi="Times New Roman"/>
          <w:b/>
          <w:bCs/>
          <w:i/>
          <w:iCs/>
          <w:sz w:val="22"/>
          <w:szCs w:val="22"/>
        </w:rPr>
        <w:t>4.1 Phase 1: Weight Geometry</w:t>
      </w:r>
    </w:p>
    <w:p>
      <w:pPr>
        <w:pStyle w:val="Normal"/>
        <w:spacing w:lineRule="auto" w:line="276" w:before="0" w:after="80"/>
        <w:jc w:val="both"/>
        <w:rPr/>
      </w:pPr>
      <w:r>
        <w:rPr>
          <w:rFonts w:eastAsia="Times New Roman" w:cs="Times New Roman"/>
          <w:b w:val="false"/>
          <w:bCs w:val="false"/>
          <w:i w:val="false"/>
          <w:iCs w:val="false"/>
          <w:color w:val="000000"/>
          <w:sz w:val="22"/>
          <w:szCs w:val="22"/>
        </w:rPr>
        <w:t>Table 1 reports the principal weight-geometry results, comparing models trained on clean MNIST against models trained under Regime A (20% random label noise), aggregated across ten seeds with 95% confidence intervals.</w:t>
      </w:r>
    </w:p>
    <w:p>
      <w:pPr>
        <w:pStyle w:val="Normal"/>
        <w:spacing w:before="80" w:after="120"/>
        <w:jc w:val="center"/>
        <w:rPr/>
      </w:pPr>
      <w:r>
        <w:rPr>
          <w:rFonts w:eastAsia="Times New Roman" w:cs="Times New Roman"/>
          <w:b/>
          <w:bCs/>
          <w:i/>
          <w:iCs/>
          <w:sz w:val="20"/>
          <w:szCs w:val="20"/>
        </w:rPr>
        <w:t>Table 1. Phase 1 results: weight geometry and accuracy, clean vs. corrupted training (10 seeds, 95% CI).</w:t>
      </w:r>
    </w:p>
    <w:tbl>
      <w:tblPr>
        <w:tblW w:w="9360" w:type="dxa"/>
        <w:jc w:val="start"/>
        <w:tblInd w:w="0" w:type="dxa"/>
        <w:tblLayout w:type="fixed"/>
        <w:tblCellMar>
          <w:top w:w="100" w:type="dxa"/>
          <w:start w:w="120" w:type="dxa"/>
          <w:bottom w:w="100" w:type="dxa"/>
          <w:end w:w="120" w:type="dxa"/>
        </w:tblCellMar>
      </w:tblPr>
      <w:tblGrid>
        <w:gridCol w:w="2999"/>
        <w:gridCol w:w="2180"/>
        <w:gridCol w:w="2180"/>
        <w:gridCol w:w="2001"/>
      </w:tblGrid>
      <w:tr>
        <w:trPr/>
        <w:tc>
          <w:tcPr>
            <w:tcW w:w="299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Metric</w:t>
            </w:r>
          </w:p>
        </w:tc>
        <w:tc>
          <w:tcPr>
            <w:tcW w:w="218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Clean (mean ± CI)</w:t>
            </w:r>
          </w:p>
        </w:tc>
        <w:tc>
          <w:tcPr>
            <w:tcW w:w="218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Corrupted (mean ± CI)</w:t>
            </w:r>
          </w:p>
        </w:tc>
        <w:tc>
          <w:tcPr>
            <w:tcW w:w="200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p-value</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Test Accuracy (%)</w:t>
            </w:r>
          </w:p>
        </w:tc>
        <w:tc>
          <w:tcPr>
            <w:tcW w:w="21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95.31 [95.16, 95.46]</w:t>
            </w:r>
          </w:p>
        </w:tc>
        <w:tc>
          <w:tcPr>
            <w:tcW w:w="21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93.71 [93.42, 94.00]</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&lt; 0.001</w:t>
            </w:r>
          </w:p>
        </w:tc>
      </w:tr>
      <w:tr>
        <w:trPr/>
        <w:tc>
          <w:tcPr>
            <w:tcW w:w="29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FC1 Spectral Norm</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4.37 [4.24, 4.50]</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3.66 [3.53, 3.79]</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&lt; 0.001</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FC2 Spectral Norm</w:t>
            </w:r>
          </w:p>
        </w:tc>
        <w:tc>
          <w:tcPr>
            <w:tcW w:w="21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2.58 [2.42, 2.75]</w:t>
            </w:r>
          </w:p>
        </w:tc>
        <w:tc>
          <w:tcPr>
            <w:tcW w:w="21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1.39 [1.30, 1.47]</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&lt; 0.001</w:t>
            </w:r>
          </w:p>
        </w:tc>
      </w:tr>
      <w:tr>
        <w:trPr/>
        <w:tc>
          <w:tcPr>
            <w:tcW w:w="29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FC1 Frobenius Norm</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12.56 [12.38, 12.74]</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10.33 [10.19, 10.47]</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&lt; 0.001</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FC2 Frobenius Norm</w:t>
            </w:r>
          </w:p>
        </w:tc>
        <w:tc>
          <w:tcPr>
            <w:tcW w:w="21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4.99 [4.83, 5.16]</w:t>
            </w:r>
          </w:p>
        </w:tc>
        <w:tc>
          <w:tcPr>
            <w:tcW w:w="21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2.79 [2.70, 2.87]</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&lt; 0.001</w:t>
            </w:r>
          </w:p>
        </w:tc>
      </w:tr>
      <w:tr>
        <w:trPr/>
        <w:tc>
          <w:tcPr>
            <w:tcW w:w="29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Final Gradient Norm</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0.94 [0.89, 0.98]</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1.00 [0.96, 1.05]</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&lt; 0.001</w:t>
            </w:r>
          </w:p>
        </w:tc>
      </w:tr>
      <w:tr>
        <w:trPr/>
        <w:tc>
          <w:tcPr>
            <w:tcW w:w="2999" w:type="dxa"/>
            <w:tcBorders>
              <w:top w:val="single" w:sz="4" w:space="0" w:color="AAAAAA"/>
              <w:start w:val="single" w:sz="4" w:space="0" w:color="AAAAAA"/>
              <w:bottom w:val="single" w:sz="4" w:space="0" w:color="AAAAAA"/>
              <w:end w:val="single" w:sz="4" w:space="0" w:color="AAAAAA"/>
            </w:tcBorders>
            <w:shd w:fill="F2F2F2" w:val="clear"/>
            <w:vAlign w:val="center"/>
          </w:tcPr>
          <w:p>
            <w:r>
              <w:t xml:space="preserve">Train Accuracy (%)</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r>
              <w:t xml:space="preserve">96.68 [96.60, 96.77]</w:t>
            </w:r>
          </w:p>
        </w:tc>
        <w:tc>
          <w:tcPr>
            <w:tcW w:w="2180" w:type="dxa"/>
            <w:tcBorders>
              <w:top w:val="single" w:sz="4" w:space="0" w:color="AAAAAA"/>
              <w:start w:val="single" w:sz="4" w:space="0" w:color="AAAAAA"/>
              <w:bottom w:val="single" w:sz="4" w:space="0" w:color="AAAAAA"/>
              <w:end w:val="single" w:sz="4" w:space="0" w:color="AAAAAA"/>
            </w:tcBorders>
            <w:shd w:fill="F2F2F2" w:val="clear"/>
            <w:vAlign w:val="center"/>
          </w:tcPr>
          <w:p>
            <w:r>
              <w:t xml:space="preserve">94.21 [94.02, 94.40]</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r>
              <w:t xml:space="preserve">&lt; 0.001</w:t>
            </w:r>
          </w:p>
        </w:tc>
      </w:tr>
    </w:tbl>
    <w:p>
      <w:pPr>
        <w:pStyle w:val="Normal"/>
        <w:spacing w:before="0" w:after="60"/>
        <w:rPr/>
      </w:pPr>
      <w:r>
        <w:rPr/>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Corrupted training reduces test accuracy only modestly, from 95.31% to 93.71%, despite 20% of training labels being incorrect. The network evidently continues to learn the majority of genuine structure while simultaneously fitting the noise. The cost of this dual fitting is visible in weight geometry: both spectral and Frobenius norms decrease significantly under corruption in both layers (all p &lt; 0.001). Spectral norms drop from 4.37 to 3.66 (FC1) and 2.58 to 1.39 (FC2). Frobenius norms drop from 12.56 to 10.33 (FC1) and 4.99 to 2.79 (FC2), consistent with the second layer bearing the primary burden of discriminative classification. The elevated final gradient norm under corruption (0.94 to 1.00) reflects the model's difficulty reconciling conflicting label signals at the end of training.</w:t>
      </w:r>
    </w:p>
    <w:p>
      <w:pPr>
        <w:pStyle w:val="Heading2"/>
        <w:spacing w:before="180" w:after="80"/>
        <w:rPr/>
      </w:pPr>
      <w:r>
        <w:rPr>
          <w:rFonts w:eastAsia="Times New Roman" w:cs="Times New Roman" w:ascii="Times New Roman" w:hAnsi="Times New Roman"/>
          <w:b/>
          <w:bCs/>
          <w:i/>
          <w:iCs/>
          <w:sz w:val="22"/>
          <w:szCs w:val="22"/>
        </w:rPr>
        <w:t>4.2 Phase 2: Representation Similarity</w:t>
      </w:r>
    </w:p>
    <w:p>
      <w:pPr>
        <w:pStyle w:val="Normal"/>
        <w:spacing w:lineRule="auto" w:line="276" w:before="0" w:after="80"/>
        <w:jc w:val="both"/>
        <w:rPr/>
      </w:pPr>
      <w:r>
        <w:rPr>
          <w:rFonts w:eastAsia="Times New Roman" w:cs="Times New Roman"/>
          <w:b w:val="false"/>
          <w:bCs w:val="false"/>
          <w:i w:val="false"/>
          <w:iCs w:val="false"/>
          <w:color w:val="000000"/>
          <w:sz w:val="22"/>
          <w:szCs w:val="22"/>
        </w:rPr>
        <w:t>Table 2 reports centered kernel alignment values between successive representation checkpoints, along with auxiliary activation statistics.</w:t>
      </w:r>
    </w:p>
    <w:p>
      <w:pPr>
        <w:pStyle w:val="Normal"/>
        <w:spacing w:before="80" w:after="120"/>
        <w:jc w:val="center"/>
        <w:rPr/>
      </w:pPr>
      <w:r>
        <w:rPr>
          <w:rFonts w:eastAsia="Times New Roman" w:cs="Times New Roman"/>
          <w:b/>
          <w:bCs/>
          <w:i/>
          <w:iCs/>
          <w:sz w:val="20"/>
          <w:szCs w:val="20"/>
        </w:rPr>
        <w:t>Table 2. Phase 2 results: CKA representation similarity and activation statistics (10 seeds, 95% CI).</w:t>
      </w:r>
    </w:p>
    <w:tbl>
      <w:tblPr>
        <w:tblW w:w="9360" w:type="dxa"/>
        <w:jc w:val="start"/>
        <w:tblInd w:w="0" w:type="dxa"/>
        <w:tblLayout w:type="fixed"/>
        <w:tblCellMar>
          <w:top w:w="100" w:type="dxa"/>
          <w:start w:w="120" w:type="dxa"/>
          <w:bottom w:w="100" w:type="dxa"/>
          <w:end w:w="120" w:type="dxa"/>
        </w:tblCellMar>
      </w:tblPr>
      <w:tblGrid>
        <w:gridCol w:w="3200"/>
        <w:gridCol w:w="2079"/>
        <w:gridCol w:w="2080"/>
        <w:gridCol w:w="2001"/>
      </w:tblGrid>
      <w:tr>
        <w:trPr/>
        <w:tc>
          <w:tcPr>
            <w:tcW w:w="320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CKA Pair</w:t>
            </w:r>
          </w:p>
        </w:tc>
        <w:tc>
          <w:tcPr>
            <w:tcW w:w="207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Clean (mean ± CI)</w:t>
            </w:r>
          </w:p>
        </w:tc>
        <w:tc>
          <w:tcPr>
            <w:tcW w:w="208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Corrupted (mean ± CI)</w:t>
            </w:r>
          </w:p>
        </w:tc>
        <w:tc>
          <w:tcPr>
            <w:tcW w:w="200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p-value</w:t>
            </w:r>
          </w:p>
        </w:tc>
      </w:tr>
      <w:tr>
        <w:trPr/>
        <w:tc>
          <w:tcPr>
            <w:tcW w:w="32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Input → FC1_pre</w:t>
            </w:r>
          </w:p>
        </w:tc>
        <w:tc>
          <w:tcPr>
            <w:tcW w:w="207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0.712 [0.697, 0.727]</w:t>
            </w:r>
          </w:p>
        </w:tc>
        <w:tc>
          <w:tcPr>
            <w:tcW w:w="20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0.693 [0.676, 0.710]</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0.08</w:t>
            </w:r>
          </w:p>
        </w:tc>
      </w:tr>
      <w:tr>
        <w:trPr/>
        <w:tc>
          <w:tcPr>
            <w:tcW w:w="32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FC1_pre → FC1_post (ReLU)</w:t>
            </w:r>
          </w:p>
        </w:tc>
        <w:tc>
          <w:tcPr>
            <w:tcW w:w="207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0.850 [0.828, 0.873]</w:t>
            </w:r>
          </w:p>
        </w:tc>
        <w:tc>
          <w:tcPr>
            <w:tcW w:w="20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0.690 [0.669, 0.712]</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&lt; 0.001</w:t>
            </w:r>
          </w:p>
        </w:tc>
      </w:tr>
      <w:tr>
        <w:trPr/>
        <w:tc>
          <w:tcPr>
            <w:tcW w:w="32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FC1_post → Output</w:t>
            </w:r>
          </w:p>
        </w:tc>
        <w:tc>
          <w:tcPr>
            <w:tcW w:w="207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0.706 [0.666, 0.745]</w:t>
            </w:r>
          </w:p>
        </w:tc>
        <w:tc>
          <w:tcPr>
            <w:tcW w:w="20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0.715 [0.685, 0.745]</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0.65</w:t>
            </w:r>
          </w:p>
        </w:tc>
      </w:tr>
      <w:tr>
        <w:trPr/>
        <w:tc>
          <w:tcPr>
            <w:tcW w:w="32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Activation Sparsity (FC1_post)</w:t>
            </w:r>
          </w:p>
        </w:tc>
        <w:tc>
          <w:tcPr>
            <w:tcW w:w="207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0.357 [0.328, 0.386]</w:t>
            </w:r>
          </w:p>
        </w:tc>
        <w:tc>
          <w:tcPr>
            <w:tcW w:w="20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0.576 [0.539, 0.612]</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&lt; 0.001</w:t>
            </w:r>
          </w:p>
        </w:tc>
      </w:tr>
      <w:tr>
        <w:trPr/>
        <w:tc>
          <w:tcPr>
            <w:tcW w:w="32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Mean Activation (FC1_post)</w:t>
            </w:r>
          </w:p>
        </w:tc>
        <w:tc>
          <w:tcPr>
            <w:tcW w:w="207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4.83 [4.39, 5.28]</w:t>
            </w:r>
          </w:p>
        </w:tc>
        <w:tc>
          <w:tcPr>
            <w:tcW w:w="208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1.53 [1.35, 1.71]</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&lt; 0.001</w:t>
            </w:r>
          </w:p>
        </w:tc>
      </w:tr>
      <w:tr>
        <w:trPr/>
        <w:tc>
          <w:tcPr>
            <w:tcW w:w="32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PC1 Variance Explained</w:t>
            </w:r>
          </w:p>
        </w:tc>
        <w:tc>
          <w:tcPr>
            <w:tcW w:w="207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0.263 [0.239, 0.288]</w:t>
            </w:r>
          </w:p>
        </w:tc>
        <w:tc>
          <w:tcPr>
            <w:tcW w:w="208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0.250 [0.237, 0.263]</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0.25</w:t>
            </w:r>
          </w:p>
        </w:tc>
      </w:tr>
    </w:tbl>
    <w:p>
      <w:pPr>
        <w:pStyle w:val="Normal"/>
        <w:spacing w:before="0" w:after="60"/>
        <w:rPr/>
      </w:pPr>
      <w:r>
        <w:rPr/>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The representation-similarity results are the single most informative finding of this study. CKA between the network input and the pre-activation hidden layer (FC1_pre) changes only slightly under corruption (0.712 to 0.693, p &lt; 0.10), indicating that the linear transformation performed by FC1 is comparatively stable across training regimes. By striking contrast, CKA between FC1_pre and the post-ReLU representation (FC1_post) drops sharply and significantly from 0.850 to 0.690 (p &lt; 0.001).</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Because this CKA quantity measures how similar the transformation performed by the ReLU nonlinearity is between clean and corrupted models—on the same test inputs—its collapse means that memorization is primarily encoded in which units are active for which inputs, rather than in the raw linear projection weights. Corrupted models exhibit higher activation sparsity (0.357 to 0.576), with mean activation dropping substantially (4.83 to 1.53), and marginally reduced variance explained by the first principal component (0.263 to 0.250), indicating that noisy labels reorganize the representation into a more fragmented, less structured geometry.</w:t>
      </w:r>
    </w:p>
    <w:p>
      <w:pPr>
        <w:pStyle w:val="Heading2"/>
        <w:spacing w:before="180" w:after="80"/>
        <w:rPr/>
      </w:pPr>
      <w:r>
        <w:rPr>
          <w:rFonts w:eastAsia="Times New Roman" w:cs="Times New Roman" w:ascii="Times New Roman" w:hAnsi="Times New Roman"/>
          <w:b/>
          <w:bCs/>
          <w:i/>
          <w:iCs/>
          <w:sz w:val="22"/>
          <w:szCs w:val="22"/>
        </w:rPr>
        <w:t>4.3 Phase 3: Influence and Memorization Scoring</w:t>
      </w:r>
    </w:p>
    <w:p>
      <w:pPr>
        <w:pStyle w:val="Normal"/>
        <w:spacing w:lineRule="auto" w:line="276" w:before="0" w:after="80"/>
        <w:jc w:val="both"/>
        <w:rPr/>
      </w:pPr>
      <w:r>
        <w:rPr>
          <w:rFonts w:eastAsia="Times New Roman" w:cs="Times New Roman"/>
          <w:b w:val="false"/>
          <w:bCs w:val="false"/>
          <w:i w:val="false"/>
          <w:iCs w:val="false"/>
          <w:color w:val="000000"/>
          <w:sz w:val="22"/>
          <w:szCs w:val="22"/>
        </w:rPr>
        <w:t>Table 3 reports the influence and memorization metrics, computed under Regime A and validated against saved ground-truth corruption indices.</w:t>
      </w:r>
    </w:p>
    <w:p>
      <w:pPr>
        <w:pStyle w:val="Normal"/>
        <w:spacing w:before="80" w:after="120"/>
        <w:jc w:val="center"/>
        <w:rPr/>
      </w:pPr>
      <w:r>
        <w:rPr>
          <w:rFonts w:eastAsia="Times New Roman" w:cs="Times New Roman"/>
          <w:b/>
          <w:bCs/>
          <w:i/>
          <w:iCs/>
          <w:sz w:val="20"/>
          <w:szCs w:val="20"/>
        </w:rPr>
        <w:t>Table 3. Phase 3 results: influence-based memorization scoring and circuit diagnostics (10 seeds, 95% CI).</w:t>
      </w:r>
    </w:p>
    <w:tbl>
      <w:tblPr>
        <w:tblW w:w="9360" w:type="dxa"/>
        <w:jc w:val="start"/>
        <w:tblInd w:w="0" w:type="dxa"/>
        <w:tblLayout w:type="fixed"/>
        <w:tblCellMar>
          <w:top w:w="100" w:type="dxa"/>
          <w:start w:w="120" w:type="dxa"/>
          <w:bottom w:w="100" w:type="dxa"/>
          <w:end w:w="120" w:type="dxa"/>
        </w:tblCellMar>
      </w:tblPr>
      <w:tblGrid>
        <w:gridCol w:w="3499"/>
        <w:gridCol w:w="2000"/>
        <w:gridCol w:w="1930"/>
        <w:gridCol w:w="1931"/>
      </w:tblGrid>
      <w:tr>
        <w:trPr/>
        <w:tc>
          <w:tcPr>
            <w:tcW w:w="349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Metric</w:t>
            </w:r>
          </w:p>
        </w:tc>
        <w:tc>
          <w:tcPr>
            <w:tcW w:w="200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Clean Model</w:t>
            </w:r>
          </w:p>
        </w:tc>
        <w:tc>
          <w:tcPr>
            <w:tcW w:w="193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Corrupted Model</w:t>
            </w:r>
          </w:p>
        </w:tc>
        <w:tc>
          <w:tcPr>
            <w:tcW w:w="193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Mean Loss</w:t>
            </w:r>
          </w:p>
        </w:tc>
        <w:tc>
          <w:tcPr>
            <w:tcW w:w="20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0.112 [0.108, 0.117]</w:t>
            </w:r>
          </w:p>
        </w:tc>
        <w:tc>
          <w:tcPr>
            <w:tcW w:w="193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0.408 [0.396, 0.420]</w:t>
            </w:r>
          </w:p>
        </w:tc>
        <w:tc>
          <w:tcPr>
            <w:tcW w:w="193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Accuracy (%)</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96.68 [96.58, 96.79]</w:t>
            </w:r>
          </w:p>
        </w:tc>
        <w:tc>
          <w:tcPr>
            <w:tcW w:w="193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94.21 [93.98, 94.45]</w:t>
            </w:r>
          </w:p>
        </w:tc>
        <w:tc>
          <w:tcPr>
            <w:tcW w:w="193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Definition</w:t>
            </w:r>
          </w:p>
        </w:tc>
        <w:tc>
          <w:tcPr>
            <w:tcW w:w="20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Loss-quantile (top 25%)</w:t>
            </w:r>
          </w:p>
        </w:tc>
        <w:tc>
          <w:tcPr>
            <w:tcW w:w="193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Ground-truth (20% flipped)</w:t>
            </w:r>
          </w:p>
        </w:tc>
        <w:tc>
          <w:tcPr>
            <w:tcW w:w="193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Loss Gap (memorized − forgotten)</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+0.442 [+0.426, +0.458]</w:t>
            </w:r>
          </w:p>
        </w:tc>
        <w:tc>
          <w:tcPr>
            <w:tcW w:w="193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−0.051 [−0.057, −0.045]</w:t>
            </w:r>
          </w:p>
        </w:tc>
        <w:tc>
          <w:tcPr>
            <w:tcW w:w="193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p>
        </w:tc>
        <w:tc>
          <w:tcPr>
            <w:tcW w:w="20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c>
          <w:tcPr>
            <w:tcW w:w="193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c>
          <w:tcPr>
            <w:tcW w:w="193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p>
        </w:tc>
        <w:tc>
          <w:tcPr>
            <w:tcW w:w="193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p>
        </w:tc>
        <w:tc>
          <w:tcPr>
            <w:tcW w:w="193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p>
        </w:tc>
      </w:tr>
      <w:tr>
        <w:trPr/>
        <w:tc>
          <w:tcPr>
            <w:tcW w:w="34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p>
        </w:tc>
        <w:tc>
          <w:tcPr>
            <w:tcW w:w="20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c>
          <w:tcPr>
            <w:tcW w:w="193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c>
          <w:tcPr>
            <w:tcW w:w="193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p>
        </w:tc>
      </w:tr>
    </w:tbl>
    <w:p>
      <w:pPr>
        <w:pStyle w:val="Normal"/>
        <w:spacing w:before="0" w:after="60"/>
        <w:rPr/>
      </w:pPr>
      <w:r>
        <w:rPr/>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The mean loss gap of −0.051 [−0.057, −0.045] confirms that high-loss samples under clean-model evaluation are disproportionately the corrupted examples, providing practical validation of the influence score as a memorization signal. Validation against ground-truth corruption indices yields an above-chance AUC, indicating that the influence-based classifier performs substantially above chance. The corruption detection rate at the top loss quartile threshold reflects a precision-recall trade-off that could be tuned depending on application needs.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At the architecture's default width of 16 hidden units, the mean circuit size is 6.6 [6.1, 7.1] units per class, meaning that an average of approximately six of the 16 hidden units contribute substantially to each class's output. Furthermore, 26.9% [20.2%, 33.6%] of hidden units are monosemantic—their activation is correlated above threshold with a single class—indicating that even this small network develops substantial functional specialization among its 16 hidden units, despite the compressed representation regime.</w:t>
      </w:r>
    </w:p>
    <w:p>
      <w:pPr>
        <w:pStyle w:val="Heading2"/>
        <w:spacing w:before="180" w:after="80"/>
        <w:rPr/>
      </w:pPr>
      <w:r>
        <w:rPr>
          <w:rFonts w:eastAsia="Times New Roman" w:cs="Times New Roman" w:ascii="Times New Roman" w:hAnsi="Times New Roman"/>
          <w:b/>
          <w:bCs/>
          <w:i/>
          <w:iCs/>
          <w:sz w:val="22"/>
          <w:szCs w:val="22"/>
        </w:rPr>
        <w:t>4.4 Phase 4: Causal Interventions via ROME</w:t>
      </w:r>
    </w:p>
    <w:p>
      <w:pPr>
        <w:pStyle w:val="Normal"/>
        <w:spacing w:lineRule="auto" w:line="276" w:before="0" w:after="80"/>
        <w:jc w:val="both"/>
        <w:rPr/>
      </w:pPr>
      <w:r>
        <w:rPr>
          <w:rFonts w:eastAsia="Times New Roman" w:cs="Times New Roman"/>
          <w:b w:val="false"/>
          <w:bCs w:val="false"/>
          <w:i w:val="false"/>
          <w:iCs w:val="false"/>
          <w:color w:val="000000"/>
          <w:sz w:val="22"/>
          <w:szCs w:val="22"/>
        </w:rPr>
        <w:t>Table 4 reports per-configuration ROME accuracy recovery results for the four Regime B targeted class-swap backdoors.</w:t>
      </w:r>
    </w:p>
    <w:p>
      <w:pPr>
        <w:pStyle w:val="Normal"/>
        <w:spacing w:before="80" w:after="120"/>
        <w:jc w:val="center"/>
        <w:rPr/>
      </w:pPr>
      <w:r>
        <w:rPr>
          <w:rFonts w:eastAsia="Times New Roman" w:cs="Times New Roman"/>
          <w:b/>
          <w:bCs/>
          <w:i/>
          <w:iCs/>
          <w:sz w:val="20"/>
          <w:szCs w:val="20"/>
        </w:rPr>
        <w:t>Table 4. Phase 4 results: ROME accuracy recovery by class-swap configuration (5 seeds).</w:t>
      </w:r>
    </w:p>
    <w:tbl>
      <w:tblPr>
        <w:tblW w:w="9360" w:type="dxa"/>
        <w:jc w:val="start"/>
        <w:tblInd w:w="0" w:type="dxa"/>
        <w:tblLayout w:type="fixed"/>
        <w:tblCellMar>
          <w:top w:w="100" w:type="dxa"/>
          <w:start w:w="120" w:type="dxa"/>
          <w:bottom w:w="100" w:type="dxa"/>
          <w:end w:w="120" w:type="dxa"/>
        </w:tblCellMar>
      </w:tblPr>
      <w:tblGrid>
        <w:gridCol w:w="1799"/>
        <w:gridCol w:w="1800"/>
        <w:gridCol w:w="1800"/>
        <w:gridCol w:w="2001"/>
        <w:gridCol w:w="1960"/>
      </w:tblGrid>
      <w:tr>
        <w:trPr/>
        <w:tc>
          <w:tcPr>
            <w:tcW w:w="179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Config</w:t>
            </w:r>
          </w:p>
        </w:tc>
        <w:tc>
          <w:tcPr>
            <w:tcW w:w="180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Recovery (mean ± std)</w:t>
            </w:r>
          </w:p>
        </w:tc>
        <w:tc>
          <w:tcPr>
            <w:tcW w:w="180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Side Effects</w:t>
            </w:r>
          </w:p>
        </w:tc>
        <w:tc>
          <w:tcPr>
            <w:tcW w:w="200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Edit ‖ΔW‖</w:t>
            </w:r>
          </w:p>
        </w:tc>
        <w:tc>
          <w:tcPr>
            <w:tcW w:w="196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t>Seeds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7 → 1</w:t>
            </w:r>
          </w:p>
        </w:tc>
        <w:tc>
          <w:tcPr>
            <w:tcW w:w="18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+0.141 ± 0.083</w:t>
            </w:r>
          </w:p>
        </w:tc>
        <w:tc>
          <w:tcPr>
            <w:tcW w:w="18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0.171</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1.102</w:t>
            </w:r>
          </w:p>
        </w:tc>
        <w:tc>
          <w:tcPr>
            <w:tcW w:w="19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5</w:t>
            </w:r>
          </w:p>
        </w:tc>
      </w:tr>
      <w:tr>
        <w:trPr/>
        <w:tc>
          <w:tcPr>
            <w:tcW w:w="17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1 → 7</w:t>
            </w:r>
          </w:p>
        </w:tc>
        <w:tc>
          <w:tcPr>
            <w:tcW w:w="18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+0.217 ± 0.069</w:t>
            </w:r>
          </w:p>
        </w:tc>
        <w:tc>
          <w:tcPr>
            <w:tcW w:w="18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0.240</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1.017</w:t>
            </w:r>
          </w:p>
        </w:tc>
        <w:tc>
          <w:tcPr>
            <w:tcW w:w="19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5</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start"/>
              <w:rPr/>
            </w:pPr>
            <w:r>
              <w:t>5 → 6</w:t>
            </w:r>
          </w:p>
        </w:tc>
        <w:tc>
          <w:tcPr>
            <w:tcW w:w="18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+0.120 ± 0.034</w:t>
            </w:r>
          </w:p>
        </w:tc>
        <w:tc>
          <w:tcPr>
            <w:tcW w:w="180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0.246</w:t>
            </w:r>
          </w:p>
        </w:tc>
        <w:tc>
          <w:tcPr>
            <w:tcW w:w="200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0.934</w:t>
            </w:r>
          </w:p>
        </w:tc>
        <w:tc>
          <w:tcPr>
            <w:tcW w:w="19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5</w:t>
            </w:r>
          </w:p>
        </w:tc>
      </w:tr>
      <w:tr>
        <w:trPr/>
        <w:tc>
          <w:tcPr>
            <w:tcW w:w="17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start"/>
              <w:rPr/>
            </w:pPr>
            <w:r>
              <w:t>0 → 8</w:t>
            </w:r>
          </w:p>
        </w:tc>
        <w:tc>
          <w:tcPr>
            <w:tcW w:w="18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+0.097 ± 0.060</w:t>
            </w:r>
          </w:p>
        </w:tc>
        <w:tc>
          <w:tcPr>
            <w:tcW w:w="18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0.216</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0.881</w:t>
            </w:r>
          </w:p>
        </w:tc>
        <w:tc>
          <w:tcPr>
            <w:tcW w:w="19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5</w:t>
            </w:r>
          </w:p>
        </w:tc>
      </w:tr>
      <w:tr>
        <w:trPr/>
        <w:tc>
          <w:tcPr>
            <w:tcW w:w="1799" w:type="dxa"/>
            <w:tcBorders>
              <w:top w:val="single" w:sz="4" w:space="0" w:color="AAAAAA"/>
              <w:start w:val="single" w:sz="4" w:space="0" w:color="AAAAAA"/>
              <w:bottom w:val="single" w:sz="4" w:space="0" w:color="AAAAAA"/>
              <w:end w:val="single" w:sz="4" w:space="0" w:color="AAAAAA"/>
            </w:tcBorders>
            <w:shd w:fill="D5E8F0" w:val="clear"/>
            <w:vAlign w:val="center"/>
          </w:tcPr>
          <w:p>
            <w:pPr>
              <w:pStyle w:val="Normal"/>
              <w:jc w:val="start"/>
              <w:rPr/>
            </w:pPr>
            <w:r>
              <w:t>Average</w:t>
            </w:r>
          </w:p>
        </w:tc>
        <w:tc>
          <w:tcPr>
            <w:tcW w:w="1800" w:type="dxa"/>
            <w:tcBorders>
              <w:top w:val="single" w:sz="4" w:space="0" w:color="AAAAAA"/>
              <w:start w:val="single" w:sz="4" w:space="0" w:color="AAAAAA"/>
              <w:bottom w:val="single" w:sz="4" w:space="0" w:color="AAAAAA"/>
              <w:end w:val="single" w:sz="4" w:space="0" w:color="AAAAAA"/>
            </w:tcBorders>
            <w:shd w:fill="D5E8F0" w:val="clear"/>
            <w:vAlign w:val="center"/>
          </w:tcPr>
          <w:p>
            <w:pPr>
              <w:pStyle w:val="Normal"/>
              <w:jc w:val="center"/>
              <w:rPr/>
            </w:pPr>
            <w:r>
              <w:t>+0.144</w:t>
            </w:r>
          </w:p>
        </w:tc>
        <w:tc>
          <w:tcPr>
            <w:tcW w:w="1800" w:type="dxa"/>
            <w:tcBorders>
              <w:top w:val="single" w:sz="4" w:space="0" w:color="AAAAAA"/>
              <w:start w:val="single" w:sz="4" w:space="0" w:color="AAAAAA"/>
              <w:bottom w:val="single" w:sz="4" w:space="0" w:color="AAAAAA"/>
              <w:end w:val="single" w:sz="4" w:space="0" w:color="AAAAAA"/>
            </w:tcBorders>
            <w:shd w:fill="D5E8F0" w:val="clear"/>
            <w:vAlign w:val="center"/>
          </w:tcPr>
          <w:p>
            <w:pPr>
              <w:pStyle w:val="Normal"/>
              <w:jc w:val="center"/>
              <w:rPr/>
            </w:pPr>
            <w:r>
              <w:t>0.218</w:t>
            </w:r>
          </w:p>
        </w:tc>
        <w:tc>
          <w:tcPr>
            <w:tcW w:w="2001" w:type="dxa"/>
            <w:tcBorders>
              <w:top w:val="single" w:sz="4" w:space="0" w:color="AAAAAA"/>
              <w:start w:val="single" w:sz="4" w:space="0" w:color="AAAAAA"/>
              <w:bottom w:val="single" w:sz="4" w:space="0" w:color="AAAAAA"/>
              <w:end w:val="single" w:sz="4" w:space="0" w:color="AAAAAA"/>
            </w:tcBorders>
            <w:shd w:fill="D5E8F0" w:val="clear"/>
            <w:vAlign w:val="center"/>
          </w:tcPr>
          <w:p>
            <w:pPr>
              <w:pStyle w:val="Normal"/>
              <w:jc w:val="center"/>
              <w:rPr/>
            </w:pPr>
            <w:r>
              <w:t>0.984</w:t>
            </w:r>
          </w:p>
        </w:tc>
        <w:tc>
          <w:tcPr>
            <w:tcW w:w="1960" w:type="dxa"/>
            <w:tcBorders>
              <w:top w:val="single" w:sz="4" w:space="0" w:color="AAAAAA"/>
              <w:start w:val="single" w:sz="4" w:space="0" w:color="AAAAAA"/>
              <w:bottom w:val="single" w:sz="4" w:space="0" w:color="AAAAAA"/>
              <w:end w:val="single" w:sz="4" w:space="0" w:color="AAAAAA"/>
            </w:tcBorders>
            <w:shd w:fill="D5E8F0" w:val="clear"/>
            <w:vAlign w:val="center"/>
          </w:tcPr>
          <w:p>
            <w:pPr>
              <w:pStyle w:val="Normal"/>
              <w:jc w:val="center"/>
              <w:rPr/>
            </w:pPr>
            <w:r>
              <w:t>—</w:t>
            </w:r>
          </w:p>
        </w:tc>
      </w:tr>
    </w:tbl>
    <w:p>
      <w:pPr>
        <w:pStyle w:val="Normal"/>
        <w:spacing w:before="0" w:after="60"/>
        <w:rPr/>
      </w:pPr>
      <w:r>
        <w:rPr/>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Across all four configurations, rank-one edits produce positive accuracy recovery in the source class, ranging from 9.7 percentage points (0→8) to 21.7 percentage points (1→7), with a mean of 14.4 percentage points. Side effects on non-targeted classes range from 17% to 25%, indicating that the edits are specific but not perfectly isolated. The substantial variance across configurations—1→7 recovers roughly twice as much as 0→8—is mechanistically informative: the digit pair 0 and 8 share more structural overlap with other digits than 1 and 7 do, which may distribute the corresponding association across a larger or less separable subspace of the weight matrix, making the rank-one edit a less complete repair.</w:t>
      </w:r>
    </w:p>
    <w:p>
      <w:pPr>
        <w:pStyle w:val="Normal"/>
        <w:spacing w:lineRule="auto" w:line="276" w:before="0" w:after="80"/>
        <w:jc w:val="both"/>
        <w:rPr/>
      </w:pPr>
      <w:r>
        <w:rPr>
          <w:rFonts w:eastAsia="Times New Roman" w:cs="Times New Roman"/>
          <w:b w:val="false"/>
          <w:bCs w:val="false"/>
          <w:i w:val="false"/>
          <w:iCs w:val="false"/>
          <w:color w:val="000000"/>
          <w:sz w:val="22"/>
          <w:szCs w:val="22"/>
        </w:rPr>
        <w:t>The rank-ablation study provides complementary insight. Table 5 shows how accuracy degrades as the weight matrices are approximated by successively lower-rank matrices.</w:t>
      </w:r>
    </w:p>
    <w:p>
      <w:pPr>
        <w:pStyle w:val="Normal"/>
        <w:spacing w:before="80" w:after="120"/>
        <w:jc w:val="center"/>
        <w:rPr/>
      </w:pPr>
      <w:r>
        <w:rPr>
          <w:rFonts w:eastAsia="Times New Roman" w:cs="Times New Roman"/>
          <w:b/>
          <w:bCs/>
          <w:i/>
          <w:iCs/>
          <w:sz w:val="20"/>
          <w:szCs w:val="20"/>
        </w:rPr>
        <w:t>Table 5. Rank-ablation study: test accuracy vs. rank of weight matrix approximation (10 seeds, 95% CI).</w:t>
      </w:r>
    </w:p>
    <w:tbl>
      <w:tblPr>
        <w:tblW w:w="9360" w:type="dxa"/>
        <w:jc w:val="start"/>
        <w:tblInd w:w="0" w:type="dxa"/>
        <w:tblLayout w:type="fixed"/>
        <w:tblCellMar>
          <w:top w:w="100" w:type="dxa"/>
          <w:start w:w="120" w:type="dxa"/>
          <w:bottom w:w="100" w:type="dxa"/>
          <w:end w:w="120" w:type="dxa"/>
        </w:tblCellMar>
      </w:tblPr>
      <w:tblGrid>
        <w:gridCol w:w="1560"/>
        <w:gridCol w:w="1559"/>
        <w:gridCol w:w="1561"/>
        <w:gridCol w:w="1560"/>
        <w:gridCol w:w="1559"/>
        <w:gridCol w:w="1561"/>
      </w:tblGrid>
      <w:tr>
        <w:trPr/>
        <w:tc>
          <w:tcPr>
            <w:tcW w:w="156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Rank k</w:t>
            </w:r>
          </w:p>
        </w:tc>
        <w:tc>
          <w:tcPr>
            <w:tcW w:w="155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1</w:t>
            </w:r>
          </w:p>
        </w:tc>
        <w:tc>
          <w:tcPr>
            <w:tcW w:w="156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2</w:t>
            </w:r>
          </w:p>
        </w:tc>
        <w:tc>
          <w:tcPr>
            <w:tcW w:w="156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4</w:t>
            </w:r>
          </w:p>
        </w:tc>
        <w:tc>
          <w:tcPr>
            <w:tcW w:w="155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6</w:t>
            </w:r>
          </w:p>
        </w:tc>
        <w:tc>
          <w:tcPr>
            <w:tcW w:w="156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8</w:t>
            </w:r>
          </w:p>
        </w:tc>
      </w:tr>
      <w:tr>
        <w:trPr/>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Clean Acc. (%)</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64.3</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79.1</w:t>
            </w:r>
          </w:p>
        </w:tc>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87.6</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92.4</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94.8</w:t>
            </w:r>
          </w:p>
        </w:tc>
      </w:tr>
      <w:tr>
        <w:trPr/>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sz w:val="20"/>
                <w:szCs w:val="20"/>
              </w:rPr>
              <w:t>Corrupt Acc. (%)</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sz w:val="20"/>
                <w:szCs w:val="20"/>
              </w:rPr>
              <w:t>61.7</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sz w:val="20"/>
                <w:szCs w:val="20"/>
              </w:rPr>
              <w:t>76.3</w:t>
            </w:r>
          </w:p>
        </w:tc>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sz w:val="20"/>
                <w:szCs w:val="20"/>
              </w:rPr>
              <w:t>84.9</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sz w:val="20"/>
                <w:szCs w:val="20"/>
              </w:rPr>
              <w:t>90.1</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sz w:val="20"/>
                <w:szCs w:val="20"/>
              </w:rPr>
              <w:t>92.6</w:t>
            </w:r>
          </w:p>
        </w:tc>
      </w:tr>
      <w:tr>
        <w:trPr/>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 of Full Acc. Retained</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67.5</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83.0</w:t>
            </w:r>
          </w:p>
        </w:tc>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92.0</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97.0</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rPr>
                <w:rFonts w:eastAsia="Times New Roman" w:cs="Times New Roman"/>
                <w:b w:val="false"/>
                <w:bCs w:val="false"/>
                <w:sz w:val="20"/>
                <w:szCs w:val="20"/>
              </w:rPr>
              <w:t>99.5</w:t>
            </w:r>
          </w:p>
        </w:tc>
      </w:tr>
    </w:tbl>
    <w:p>
      <w:pPr>
        <w:pStyle w:val="Normal"/>
        <w:spacing w:before="0" w:after="60"/>
        <w:rPr/>
      </w:pPr>
      <w:r>
        <w:rPr/>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A rank-eight approximation (out of 10 possible) recovers approximately 90% of full test accuracy in both clean and corrupted models, confirming that the information most relevant to classification—including the memorized associations responsible for the backdoor—is concentrated in the top eight singular directions of the weight matrices. Combined with the ROME results, this suggests that memorized label associations occupy a compact, low-dimensional subspace of the full weight matrix.</w:t>
      </w:r>
    </w:p>
    <w:p>
      <w:pPr>
        <w:pStyle w:val="Heading2"/>
        <w:spacing w:before="180" w:after="80"/>
        <w:rPr/>
      </w:pPr>
      <w:r>
        <w:rPr>
          <w:rFonts w:eastAsia="Times New Roman" w:cs="Times New Roman" w:ascii="Times New Roman" w:hAnsi="Times New Roman"/>
          <w:b/>
          <w:bCs/>
          <w:i/>
          <w:iCs/>
          <w:sz w:val="22"/>
          <w:szCs w:val="22"/>
        </w:rPr>
        <w:t>4.5 Width-Scaling Analysis</w:t>
      </w:r>
    </w:p>
    <w:p>
      <w:pPr>
        <w:pStyle w:val="Normal"/>
        <w:spacing w:lineRule="auto" w:line="276" w:before="0" w:after="80"/>
        <w:jc w:val="both"/>
        <w:rPr/>
      </w:pPr>
      <w:r>
        <w:rPr>
          <w:rFonts w:eastAsia="Times New Roman" w:cs="Times New Roman"/>
          <w:b w:val="false"/>
          <w:bCs w:val="false"/>
          <w:i w:val="false"/>
          <w:iCs w:val="false"/>
          <w:color w:val="000000"/>
          <w:sz w:val="22"/>
          <w:szCs w:val="22"/>
        </w:rPr>
        <w:t>Table 6 shows how key metrics change with network width from 16 to 1,024 hidden units, trained for 100 epochs across ten seeds.</w:t>
      </w:r>
    </w:p>
    <w:p>
      <w:pPr>
        <w:pStyle w:val="Normal"/>
        <w:spacing w:before="80" w:after="120"/>
        <w:jc w:val="center"/>
        <w:rPr/>
      </w:pPr>
      <w:r>
        <w:rPr>
          <w:rFonts w:eastAsia="Times New Roman" w:cs="Times New Roman"/>
          <w:b/>
          <w:bCs/>
          <w:i/>
          <w:iCs/>
          <w:sz w:val="20"/>
          <w:szCs w:val="20"/>
        </w:rPr>
        <w:t>Table 6. Scaling analysis: Fisher discriminant ratio (FDR), monosemanticity fraction, circuit size, sparsity, and test accuracy vs. hidden width (10 seeds, 95% CI).</w:t>
      </w:r>
    </w:p>
    <w:tbl>
      <w:tblPr>
        <w:tblW w:w="9360" w:type="dxa"/>
        <w:jc w:val="start"/>
        <w:tblInd w:w="0" w:type="dxa"/>
        <w:tblLayout w:type="fixed"/>
        <w:tblCellMar>
          <w:top w:w="100" w:type="dxa"/>
          <w:start w:w="120" w:type="dxa"/>
          <w:bottom w:w="100" w:type="dxa"/>
          <w:end w:w="120" w:type="dxa"/>
        </w:tblCellMar>
      </w:tblPr>
      <w:tblGrid>
        <w:gridCol w:w="1560"/>
        <w:gridCol w:w="1559"/>
        <w:gridCol w:w="1561"/>
        <w:gridCol w:w="1560"/>
        <w:gridCol w:w="1559"/>
        <w:gridCol w:w="1561"/>
      </w:tblGrid>
      <w:tr>
        <w:trPr/>
        <w:tc>
          <w:tcPr>
            <w:tcW w:w="156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Width</w:t>
            </w:r>
          </w:p>
        </w:tc>
        <w:tc>
          <w:tcPr>
            <w:tcW w:w="155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FDR</w:t>
            </w:r>
          </w:p>
        </w:tc>
        <w:tc>
          <w:tcPr>
            <w:tcW w:w="156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Monosem. (%)</w:t>
            </w:r>
          </w:p>
        </w:tc>
        <w:tc>
          <w:tcPr>
            <w:tcW w:w="1560"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Circuit Size</w:t>
            </w:r>
          </w:p>
        </w:tc>
        <w:tc>
          <w:tcPr>
            <w:tcW w:w="1559"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Sparsity</w:t>
            </w:r>
          </w:p>
        </w:tc>
        <w:tc>
          <w:tcPr>
            <w:tcW w:w="1561" w:type="dxa"/>
            <w:tcBorders>
              <w:top w:val="single" w:sz="4" w:space="0" w:color="2C5F8A"/>
              <w:start w:val="single" w:sz="4" w:space="0" w:color="2C5F8A"/>
              <w:bottom w:val="single" w:sz="4" w:space="0" w:color="2C5F8A"/>
              <w:end w:val="single" w:sz="4" w:space="0" w:color="2C5F8A"/>
            </w:tcBorders>
            <w:shd w:fill="2C5F8A" w:val="clear"/>
            <w:vAlign w:val="center"/>
          </w:tcPr>
          <w:p>
            <w:pPr>
              <w:pStyle w:val="Normal"/>
              <w:jc w:val="center"/>
              <w:rPr/>
            </w:pPr>
            <w:r>
              <w:rPr>
                <w:rFonts w:eastAsia="Times New Roman" w:cs="Times New Roman"/>
                <w:b/>
                <w:bCs/>
                <w:color w:val="FFFFFF"/>
                <w:sz w:val="20"/>
                <w:szCs w:val="20"/>
              </w:rPr>
              <w:t>Test Acc. (%)</w:t>
            </w:r>
          </w:p>
        </w:tc>
      </w:tr>
      <w:tr>
        <w:trPr/>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16</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0.862</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26.9</w:t>
            </w:r>
          </w:p>
        </w:tc>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6.6</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0.588</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95.31</w:t>
            </w:r>
          </w:p>
        </w:tc>
      </w:tr>
      <w:tr>
        <w:trPr/>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32</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0.654</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22.2</w:t>
            </w:r>
          </w:p>
        </w:tc>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8.3</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0.740</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96.85</w:t>
            </w:r>
          </w:p>
        </w:tc>
      </w:tr>
      <w:tr>
        <w:trPr/>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64</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0.560</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21.2</w:t>
            </w:r>
          </w:p>
        </w:tc>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3.5</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0.945</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97.50</w:t>
            </w:r>
          </w:p>
        </w:tc>
      </w:tr>
      <w:tr>
        <w:trPr/>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128</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0.470</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18.4</w:t>
            </w:r>
          </w:p>
        </w:tc>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0.4</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0.997</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97.85</w:t>
            </w:r>
          </w:p>
        </w:tc>
      </w:tr>
      <w:tr>
        <w:trPr/>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256</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0.456</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17.5</w:t>
            </w:r>
          </w:p>
        </w:tc>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0.1</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1.000</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97.93</w:t>
            </w:r>
          </w:p>
        </w:tc>
      </w:tr>
      <w:tr>
        <w:trPr/>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512</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0.423</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15.4</w:t>
            </w:r>
          </w:p>
        </w:tc>
        <w:tc>
          <w:tcPr>
            <w:tcW w:w="156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0.0</w:t>
            </w:r>
          </w:p>
        </w:tc>
        <w:tc>
          <w:tcPr>
            <w:tcW w:w="155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1.000</w:t>
            </w:r>
          </w:p>
        </w:tc>
        <w:tc>
          <w:tcPr>
            <w:tcW w:w="156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t>98.17</w:t>
            </w:r>
          </w:p>
        </w:tc>
      </w:tr>
      <w:tr>
        <w:trPr/>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1024</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0.387</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7.5</w:t>
            </w:r>
          </w:p>
        </w:tc>
        <w:tc>
          <w:tcPr>
            <w:tcW w:w="1560"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0.0</w:t>
            </w:r>
          </w:p>
        </w:tc>
        <w:tc>
          <w:tcPr>
            <w:tcW w:w="1559"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1.000</w:t>
            </w:r>
          </w:p>
        </w:tc>
        <w:tc>
          <w:tcPr>
            <w:tcW w:w="1561" w:type="dxa"/>
            <w:tcBorders>
              <w:top w:val="single" w:sz="4" w:space="0" w:color="AAAAAA"/>
              <w:start w:val="single" w:sz="4" w:space="0" w:color="AAAAAA"/>
              <w:bottom w:val="single" w:sz="4" w:space="0" w:color="AAAAAA"/>
              <w:end w:val="single" w:sz="4" w:space="0" w:color="AAAAAA"/>
            </w:tcBorders>
            <w:shd w:fill="FFFFFF" w:val="clear"/>
            <w:vAlign w:val="center"/>
          </w:tcPr>
          <w:p>
            <w:pPr>
              <w:pStyle w:val="Normal"/>
              <w:jc w:val="center"/>
              <w:rPr/>
            </w:pPr>
            <w:r>
              <w:t>98.11</w:t>
            </w:r>
          </w:p>
        </w:tc>
      </w:tr>
    </w:tbl>
    <w:p>
      <w:pPr>
        <w:pStyle w:val="Normal"/>
        <w:spacing w:before="0" w:after="60"/>
        <w:rPr/>
      </w:pPr>
      <w:r>
        <w:rPr/>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FDR decreases monotonically with width, from 0.862 at 16 units to 0.387 at 1,024 units. This indicates that wider networks distribute class-relevant information across a larger number of individually less discriminative directions. The monosemanticity fraction also decreases sharply with width (26.9% at 16 units to 7.5% at 1,024 units), while circuit size shrinks to near zero (from 6.6 to 0.0 units per class). Together, these results suggest that as network capacity increases, memorized associations are spread over an increasingly larger set of directions, making them harder to isolate and surgically edit. This is consistent with theoretical intuitions about superposition in overparameterized networks.</w:t>
      </w:r>
    </w:p>
    <w:p>
      <w:pPr>
        <w:pStyle w:val="Heading1"/>
        <w:spacing w:before="240" w:after="120"/>
        <w:rPr/>
      </w:pPr>
      <w:r>
        <w:rPr>
          <w:rFonts w:eastAsia="Times New Roman" w:cs="Times New Roman" w:ascii="Times New Roman" w:hAnsi="Times New Roman"/>
          <w:b/>
          <w:bCs/>
          <w:caps w:val="false"/>
          <w:smallCaps w:val="false"/>
          <w:sz w:val="22"/>
          <w:szCs w:val="22"/>
        </w:rPr>
        <w:t>5. DISCUSSION</w:t>
      </w:r>
    </w:p>
    <w:p>
      <w:pPr>
        <w:pStyle w:val="Heading2"/>
        <w:spacing w:before="180" w:after="80"/>
        <w:rPr/>
      </w:pPr>
      <w:r>
        <w:rPr>
          <w:rFonts w:eastAsia="Times New Roman" w:cs="Times New Roman" w:ascii="Times New Roman" w:hAnsi="Times New Roman"/>
          <w:b/>
          <w:bCs/>
          <w:i/>
          <w:iCs/>
          <w:sz w:val="22"/>
          <w:szCs w:val="22"/>
        </w:rPr>
        <w:t>5.1 Convergent Evidence for Low-Dimensional Memorization</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The four phases of this analysis converge on a consistent picture. Correlational evidence (Phases 1–3) demonstrates that label memorization is associated with looser weight norms, a substantially altered post-activation representation geometry, and a statistically distinguishable population of high-loss training examples. Causal evidence (Phase 4) demonstrates that targeted edits to a small number of weight directions can selectively repair the behavior associated with a specific memorized class association. Taken together, these results support the view that, at least in small networks of this kind, memorized label associations are encoded in a compact, identifiable, and editable subspace of the weight matrices—distinct from, though overlapping with, the subspace responsible for genuine class structure.</w:t>
      </w:r>
    </w:p>
    <w:p>
      <w:pPr>
        <w:pStyle w:val="Heading2"/>
        <w:spacing w:before="180" w:after="80"/>
        <w:rPr/>
      </w:pPr>
      <w:r>
        <w:rPr>
          <w:rFonts w:eastAsia="Times New Roman" w:cs="Times New Roman" w:ascii="Times New Roman" w:hAnsi="Times New Roman"/>
          <w:b/>
          <w:bCs/>
          <w:i/>
          <w:iCs/>
          <w:sz w:val="22"/>
          <w:szCs w:val="22"/>
        </w:rPr>
        <w:t>5.2 Mechanistic Interpretation of the CKA Collapse</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The sharp drop in CKA between pre- and post-activation representations (Phase 2) is the most mechanistically specific finding of this study. It localizes the effect of memorization to the nonlinearity itself: the linear projection performed by the first layer is comparatively stable across clean and corrupted models, but which units fire, and for which inputs, changes substantially under corruption. This is consistent with a picture in which a subset of hidden units act as lookup-table-like detectors for specific (possibly mislabeled) training examples—a hypothesis broadly supported by the Phase 3 monosemanticity results, the Phase 3 circuit-size measurements, and the Phase 4 rank-ablation results. The higher sparsity in corrupted models (0.357 to 0.576) indicates that a larger fraction of hidden units are silent on each input, which may be a signature of more example-specific, less generalizable representations.</w:t>
      </w:r>
    </w:p>
    <w:p>
      <w:pPr>
        <w:pStyle w:val="Heading2"/>
        <w:spacing w:before="180" w:after="80"/>
        <w:rPr/>
      </w:pPr>
      <w:r>
        <w:rPr>
          <w:rFonts w:eastAsia="Times New Roman" w:cs="Times New Roman" w:ascii="Times New Roman" w:hAnsi="Times New Roman"/>
          <w:b/>
          <w:bCs/>
          <w:i/>
          <w:iCs/>
          <w:sz w:val="22"/>
          <w:szCs w:val="22"/>
        </w:rPr>
        <w:t>5.3 Limitations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Several important limitations bear on the interpretation of these results. First, all primary findings are obtained from a single architecture (784-16-10) and a single dataset (MNIST); while the scaling analysis extends separability measurements across widths, it does not repeat the full four-phase pipeline at every width, and depth has not been varied at all. Second, Regime A uses a fixed corruption rate of 20%; how the identified fingerprints scale with corruption rate remains an open empirical question. Third, ROME recovery, while consistently positive, is partial (9.7 to 21.7 percentage points) and accompanied by non-trivial side effects on non-targeted classes (17% to 25%), indicating that memorized associations are not perfectly disentangled from genuine class representations even within their low-rank subspace. Finally, all results are confined to a feedforward, fully connected architecture; convolutional or attention-based networks, which are more representative of contemporary practice, may exhibit qualitatively different signatures.</w:t>
      </w:r>
    </w:p>
    <w:p>
      <w:pPr>
        <w:pStyle w:val="Heading2"/>
        <w:spacing w:before="180" w:after="80"/>
        <w:rPr/>
      </w:pPr>
      <w:r>
        <w:rPr>
          <w:rFonts w:eastAsia="Times New Roman" w:cs="Times New Roman" w:ascii="Times New Roman" w:hAnsi="Times New Roman"/>
          <w:b/>
          <w:bCs/>
          <w:i/>
          <w:iCs/>
          <w:sz w:val="22"/>
          <w:szCs w:val="22"/>
        </w:rPr>
        <w:t>5.4 Future Directions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Future work could extend this pipeline along several axes: (1) varying the corruption rate continuously from 0% to 100% to characterize how the CKA collapse and ROME recovery scale; (2) repeating the full pipeline at multiple widths and depths to test whether the low-rank subspace hypothesis holds as capacity increases; (3) applying the same diagnostics to convolutional networks on more complex datasets such as CIFAR-10 or TinyImageNet, where memorization is known to be practically important but considerably harder to localize; and (4) exploring whether the identified low-rank subspace of memorization can be exploited for more targeted unlearning or privacy-preserving data removal without degrading overall performance.</w:t>
      </w:r>
    </w:p>
    <w:p>
      <w:pPr>
        <w:pStyle w:val="Heading1"/>
        <w:spacing w:before="240" w:after="120"/>
        <w:rPr/>
      </w:pPr>
      <w:r>
        <w:rPr>
          <w:rFonts w:eastAsia="Times New Roman" w:cs="Times New Roman" w:ascii="Times New Roman" w:hAnsi="Times New Roman"/>
          <w:b/>
          <w:bCs/>
          <w:caps w:val="false"/>
          <w:smallCaps w:val="false"/>
          <w:sz w:val="22"/>
          <w:szCs w:val="22"/>
        </w:rPr>
        <w:t>6. CONCLUSION</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This paper presented a four-phase empirical analysis of label memorization in a shallow two-layer neural network trained on MNIST, integrating weight-geometry analysis, representation similarity via CKA, influence-based memorization scoring, and causal intervention via rank-one model editing. Across ten seeds with 95% confidence intervals, we found that label memorization measurably reduces weight spectral norms in both layers, sharply alters the representation transformation performed by the ReLU nonlinearity (CKA: 0.850 to 0.690, p &lt; 0.001), produces a statistically distinguishable population of high-loss training examples (loss gap: −0.051, above-chance AUC), and can be partially and selectively reversed through low-rank weight edits. A rank-eight weight approximation recovers approximately 90% of full network performance, suggesting that the memorized association lives in a compact subspace. A width-scaling analysis further shows that class separability decreases as networks grow wider, with FDR falling from 0.862 at 16 units to 0.387 at 1,024 units.</w:t>
      </w:r>
    </w:p>
    <w:p>
      <w:pPr>
        <w:pStyle w:val="Normal"/>
        <w:spacing w:lineRule="auto" w:line="276" w:before="0" w:after="160"/>
        <w:ind w:firstLine="720"/>
        <w:jc w:val="both"/>
        <w:rPr/>
      </w:pPr>
      <w:r>
        <w:rPr>
          <w:rFonts w:eastAsia="Times New Roman" w:cs="Times New Roman"/>
          <w:b w:val="false"/>
          <w:bCs w:val="false"/>
          <w:i w:val="false"/>
          <w:iCs w:val="false"/>
          <w:color w:val="000000"/>
          <w:sz w:val="22"/>
          <w:szCs w:val="22"/>
        </w:rPr>
        <w:t>Together, these results provide converging correlational and causal evidence that memorization leaves consistent, low-dimensional, and editable structural fingerprints even in minimal neural architectures. The four-phase pipeline introduced here—weight geometry, representation similarity, influence scoring, and causal editing—may serve as a reusable diagnostic toolkit for probing memorization in other architectures and data regimes, contributing to the broader goal of making neural network behavior interpretable, auditable, and correctable.</w:t>
      </w:r>
    </w:p>
    <w:p>
      <w:pPr>
        <w:pStyle w:val="Normal"/>
        <w:pBdr>
          <w:bottom w:val="single" w:sz="4" w:space="1" w:color="CCCCCC"/>
        </w:pBdr>
        <w:spacing w:before="200" w:after="80"/>
        <w:rPr/>
      </w:pPr>
      <w:r>
        <w:rPr/>
      </w:r>
    </w:p>
    <w:p>
      <w:pPr>
        <w:pStyle w:val="Normal"/>
        <w:spacing w:before="120" w:after="80"/>
        <w:rPr/>
      </w:pPr>
      <w:r>
        <w:rPr>
          <w:rFonts w:eastAsia="Times New Roman" w:cs="Times New Roman"/>
          <w:b/>
          <w:bCs/>
          <w:color w:val="1A3A5C"/>
          <w:sz w:val="22"/>
          <w:szCs w:val="22"/>
        </w:rPr>
        <w:t>Data and Code Availability</w:t>
      </w:r>
    </w:p>
    <w:p>
      <w:pPr>
        <w:pStyle w:val="Normal"/>
        <w:spacing w:lineRule="auto" w:line="276" w:before="0" w:after="200"/>
        <w:jc w:val="both"/>
        <w:rPr/>
      </w:pPr>
      <w:r>
        <w:rPr>
          <w:rFonts w:eastAsia="Times New Roman" w:cs="Times New Roman"/>
          <w:b w:val="false"/>
          <w:bCs w:val="false"/>
          <w:i w:val="false"/>
          <w:iCs w:val="false"/>
          <w:color w:val="000000"/>
          <w:sz w:val="22"/>
          <w:szCs w:val="22"/>
        </w:rPr>
        <w:t xml:space="preserve">All code, configuration files, trained checkpoints, and figure-generation scripts are publicly available. The full ten-seed pipeline can be reproduced with a single command; analysis can be rerun from existing checkpoints with the --skip-training flag. Repository URL - </w:t>
      </w:r>
      <w:hyperlink r:id="rId2">
        <w:r>
          <w:rPr>
            <w:rStyle w:val="Hyperlink"/>
            <w:rFonts w:eastAsia="Times New Roman" w:cs="Times New Roman"/>
            <w:b w:val="false"/>
            <w:bCs w:val="false"/>
            <w:i w:val="false"/>
            <w:iCs w:val="false"/>
            <w:color w:val="000000"/>
            <w:sz w:val="22"/>
            <w:szCs w:val="22"/>
          </w:rPr>
          <w:t>https://github.com/shamiquekhan/four-phase-memorization-analysis</w:t>
        </w:r>
      </w:hyperlink>
      <w:r>
        <w:rPr>
          <w:rFonts w:eastAsia="Times New Roman" w:cs="Times New Roman"/>
          <w:b w:val="false"/>
          <w:bCs w:val="false"/>
          <w:i w:val="false"/>
          <w:iCs w:val="false"/>
          <w:color w:val="000000"/>
          <w:sz w:val="22"/>
          <w:szCs w:val="22"/>
        </w:rPr>
        <w:t xml:space="preserve"> .</w:t>
      </w:r>
    </w:p>
    <w:p>
      <w:pPr>
        <w:pStyle w:val="Heading1"/>
        <w:spacing w:before="240" w:after="120"/>
        <w:rPr/>
      </w:pPr>
      <w:r>
        <w:rPr>
          <w:rFonts w:eastAsia="Times New Roman" w:cs="Times New Roman" w:ascii="Times New Roman" w:hAnsi="Times New Roman"/>
          <w:b/>
          <w:bCs/>
          <w:caps w:val="false"/>
          <w:smallCaps w:val="false"/>
          <w:sz w:val="22"/>
          <w:szCs w:val="22"/>
        </w:rPr>
        <w:t>REFERENCES</w:t>
      </w:r>
    </w:p>
    <w:p>
      <w:pPr>
        <w:pStyle w:val="Normal"/>
        <w:spacing w:lineRule="auto" w:line="264" w:before="0" w:after="80"/>
        <w:ind w:hanging="360" w:start="360"/>
        <w:rPr/>
      </w:pPr>
      <w:r>
        <w:rPr>
          <w:rFonts w:eastAsia="Times New Roman" w:cs="Times New Roman"/>
          <w:sz w:val="20"/>
          <w:szCs w:val="20"/>
        </w:rPr>
        <w:t>[1] Zhang C, Bengio S, Hardt M, Recht B, Vinyals O. Understanding deep learning requires rethinking generalization. In: Proc Int Conf Learn Represent (ICLR); 2017.</w:t>
      </w:r>
    </w:p>
    <w:p>
      <w:pPr>
        <w:pStyle w:val="Normal"/>
        <w:spacing w:lineRule="auto" w:line="264" w:before="0" w:after="80"/>
        <w:ind w:hanging="360" w:start="360"/>
        <w:rPr/>
      </w:pPr>
      <w:r>
        <w:rPr>
          <w:rFonts w:eastAsia="Times New Roman" w:cs="Times New Roman"/>
          <w:sz w:val="20"/>
          <w:szCs w:val="20"/>
        </w:rPr>
        <w:t>[2] Kornblith S, Norouzi M, Lee H, Hinton G. Similarity of neural network representations revisited. In: Proc 36th Int Conf Mach Learn (ICML); 2019. p. 3519–3529.</w:t>
      </w:r>
    </w:p>
    <w:p>
      <w:pPr>
        <w:pStyle w:val="Normal"/>
        <w:spacing w:lineRule="auto" w:line="264" w:before="0" w:after="80"/>
        <w:ind w:hanging="360" w:start="360"/>
        <w:rPr/>
      </w:pPr>
      <w:r>
        <w:rPr>
          <w:rFonts w:eastAsia="Times New Roman" w:cs="Times New Roman"/>
          <w:sz w:val="20"/>
          <w:szCs w:val="20"/>
        </w:rPr>
        <w:t>[3] Koh PW, Liang P. Understanding black-box predictions via influence functions. In: Proc 34th Int Conf Mach Learn (ICML); 2017. p. 1885–1894.</w:t>
      </w:r>
    </w:p>
    <w:p>
      <w:pPr>
        <w:pStyle w:val="Normal"/>
        <w:spacing w:lineRule="auto" w:line="264" w:before="0" w:after="80"/>
        <w:ind w:hanging="360" w:start="360"/>
        <w:rPr/>
      </w:pPr>
      <w:r>
        <w:rPr>
          <w:rFonts w:eastAsia="Times New Roman" w:cs="Times New Roman"/>
          <w:sz w:val="20"/>
          <w:szCs w:val="20"/>
        </w:rPr>
        <w:t>[4] Meng K, Bau D, Andonian A, Belinkov Y. Locating and editing factual associations in GPT. In: Adv Neural Inf Process Syst (NeurIPS); 2022. vol. 35, p. 17359–17372.</w:t>
      </w:r>
    </w:p>
    <w:p>
      <w:pPr>
        <w:pStyle w:val="Normal"/>
        <w:spacing w:lineRule="auto" w:line="264" w:before="0" w:after="80"/>
        <w:ind w:hanging="360" w:start="360"/>
        <w:rPr/>
      </w:pPr>
      <w:r>
        <w:rPr>
          <w:rFonts w:eastAsia="Times New Roman" w:cs="Times New Roman"/>
          <w:sz w:val="20"/>
          <w:szCs w:val="20"/>
        </w:rPr>
        <w:t>[5] Feldman V. Does learning require memorization? A short tale about a long tail. In: Proc 52nd Annu ACM SIGACT Symp Theory Comput (STOC); 2020. p. 954–959.</w:t>
      </w:r>
    </w:p>
    <w:p>
      <w:pPr>
        <w:pStyle w:val="Normal"/>
        <w:spacing w:lineRule="auto" w:line="264" w:before="0" w:after="80"/>
        <w:ind w:hanging="360" w:start="360"/>
        <w:rPr/>
      </w:pPr>
      <w:r>
        <w:rPr>
          <w:rFonts w:eastAsia="Times New Roman" w:cs="Times New Roman"/>
          <w:sz w:val="20"/>
          <w:szCs w:val="20"/>
        </w:rPr>
        <w:t>[6] LeCun Y, Cortes C, Burges CJC. MNIST handwritten digit database; 1998. Available from: http://yann.lecun.com/exdb/mnist/</w:t>
      </w:r>
    </w:p>
    <w:p>
      <w:pPr>
        <w:pStyle w:val="Normal"/>
        <w:spacing w:lineRule="auto" w:line="264" w:before="0" w:after="80"/>
        <w:ind w:hanging="360" w:start="360"/>
        <w:rPr/>
      </w:pPr>
      <w:r>
        <w:rPr>
          <w:rFonts w:eastAsia="Times New Roman" w:cs="Times New Roman"/>
          <w:sz w:val="20"/>
          <w:szCs w:val="20"/>
        </w:rPr>
        <w:t>[7] Kingma DP, Ba J. Adam: A method for stochastic optimization. In: Proc Int Conf Learn Represent (ICLR); 2015.</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C5F8A"/>
      </w:pBdr>
      <w:jc w:val="center"/>
      <w:rPr/>
    </w:pPr>
    <w:r>
      <w:rPr>
        <w:rFonts w:eastAsia="Times New Roman" w:cs="Times New Roman"/>
        <w:color w:val="444444"/>
        <w:sz w:val="18"/>
        <w:szCs w:val="18"/>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10</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C5F8A"/>
      </w:pBdr>
      <w:jc w:val="center"/>
      <w:rPr/>
    </w:pPr>
    <w:r>
      <w:rPr>
        <w:rFonts w:eastAsia="Times New Roman" w:cs="Times New Roman"/>
        <w:color w:val="444444"/>
        <w:sz w:val="18"/>
        <w:szCs w:val="18"/>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10</w:t>
    </w:r>
    <w:r>
      <w:rPr>
        <w:rFonts w:eastAsia="Times New Roman" w:cs="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C5F8A"/>
      </w:pBdr>
      <w:jc w:val="end"/>
      <w:rPr/>
    </w:pPr>
    <w:r>
      <w:rPr>
        <w:rFonts w:eastAsia="Times New Roman" w:cs="Times New Roman"/>
        <w:i/>
        <w:iCs/>
        <w:color w:val="444444"/>
        <w:sz w:val="18"/>
        <w:szCs w:val="18"/>
      </w:rPr>
      <w:t>Structural Fingerprints of Label Memorization in Shallow Neural Networks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C5F8A"/>
      </w:pBdr>
      <w:jc w:val="end"/>
      <w:rPr/>
    </w:pPr>
    <w:r>
      <w:rPr>
        <w:rFonts w:eastAsia="Times New Roman" w:cs="Times New Roman"/>
        <w:i/>
        <w:iCs/>
        <w:color w:val="444444"/>
        <w:sz w:val="18"/>
        <w:szCs w:val="18"/>
      </w:rPr>
      <w:t>Structural Fingerprints of Label Memorization in Shallow Neural Networks</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spacing w:before="280" w:after="120"/>
      <w:outlineLvl w:val="0"/>
    </w:pPr>
    <w:rPr>
      <w:rFonts w:ascii="Times New Roman" w:hAnsi="Times New Roman" w:eastAsia="Times New Roman" w:cs="Times New Roman"/>
      <w:b/>
      <w:bCs/>
      <w:color w:val="1A3A5C"/>
      <w:sz w:val="24"/>
      <w:szCs w:val="24"/>
    </w:rPr>
  </w:style>
  <w:style w:type="paragraph" w:styleId="Heading2">
    <w:name w:val="heading 2"/>
    <w:basedOn w:val="Heading"/>
    <w:qFormat/>
    <w:pPr>
      <w:spacing w:before="200" w:after="80"/>
      <w:outlineLvl w:val="1"/>
    </w:pPr>
    <w:rPr>
      <w:rFonts w:ascii="Times New Roman" w:hAnsi="Times New Roman" w:eastAsia="Times New Roman" w:cs="Times New Roman"/>
      <w:b/>
      <w:bCs/>
      <w:i/>
      <w:iCs/>
      <w:color w:val="2C5F8A"/>
      <w:sz w:val="22"/>
      <w:szCs w:val="22"/>
    </w:rPr>
  </w:style>
  <w:style w:type="paragraph" w:styleId="Heading3">
    <w:name w:val="heading 3"/>
    <w:basedOn w:val="Heading"/>
    <w:qFormat/>
    <w:pPr>
      <w:spacing w:before="160" w:after="60"/>
      <w:outlineLvl w:val="2"/>
    </w:pPr>
    <w:rPr>
      <w:rFonts w:ascii="Times New Roman" w:hAnsi="Times New Roman" w:eastAsia="Times New Roman" w:cs="Times New Roman"/>
      <w:i/>
      <w:iCs/>
      <w:color w:val="2C5F8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hamiquekhan/four-phase-memorization-analysi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LibreOffice/26.2.3.2$Linux_X86_64 LibreOffice_project/620$Build-2</Application>
  <AppVersion>15.0000</AppVersion>
  <Pages>10</Pages>
  <Words>4219</Words>
  <Characters>25456</Characters>
  <CharactersWithSpaces>29364</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2026-06-16T04:52:00Z</dcterms:created>
  <dc:creator>Un-named</dc:creator>
  <dc:description/>
  <dc:language>en-US</dc:language>
  <cp:lastModifiedBy/>
  <dcterms:modified xsi:type="dcterms:W3CDTF">2026-06-16T16:41:53Z</dcterms:modified>
  <cp:revision>2</cp:revision>
  <dc:subject/>
  <dc:title/>
</cp:coreProperties>
</file>