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ind w:firstLine="720"/>
        <w:contextualSpacing w:val="0"/>
        <w:jc w:val="center"/>
      </w:pPr>
      <w:r w:rsidDel="00000000" w:rsidR="00000000" w:rsidRPr="00000000">
        <w:rPr>
          <w:sz w:val="72"/>
          <w:szCs w:val="72"/>
          <w:u w:val="single"/>
          <w:rtl w:val="1"/>
        </w:rPr>
        <w:t xml:space="preserve">תיק</w:t>
      </w:r>
      <w:r w:rsidDel="00000000" w:rsidR="00000000" w:rsidRPr="00000000">
        <w:rPr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sz w:val="72"/>
          <w:szCs w:val="72"/>
          <w:u w:val="single"/>
          <w:rtl w:val="1"/>
        </w:rPr>
        <w:t xml:space="preserve">איפיון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Play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19438" cy="3119438"/>
            <wp:effectExtent b="0" l="0" r="0" t="0"/>
            <wp:docPr descr="Image result for sport field cartoon" id="6" name="image12.jpg"/>
            <a:graphic>
              <a:graphicData uri="http://schemas.openxmlformats.org/drawingml/2006/picture">
                <pic:pic>
                  <pic:nvPicPr>
                    <pic:cNvPr descr="Image result for sport field cartoon" id="0" name="image1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מגישים</w:t>
      </w:r>
      <w:r w:rsidDel="00000000" w:rsidR="00000000" w:rsidRPr="00000000">
        <w:rPr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גילעד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סגל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עמית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שלו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עניינים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כללי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משתמשי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דיאגרמות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7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עובדים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מגרשים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10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דיאגרמות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הצטרפות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להזמנה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13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טלפוני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המצב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לעיתים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מתרחשות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הזמינו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נציגי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ולארגנה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סטאטוס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אושרה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נידחתה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') </w:t>
      </w:r>
      <w:r w:rsidDel="00000000" w:rsidR="00000000" w:rsidRPr="00000000">
        <w:rPr>
          <w:sz w:val="24"/>
          <w:szCs w:val="24"/>
          <w:rtl w:val="1"/>
        </w:rPr>
        <w:t xml:space="preserve">ומשתתפיה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ושביעות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נפגעת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ולקוחותיהם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תכונותיהם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להדגיש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מנהלי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דחיית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אדמיניסטרטיבי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דחייה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הפקת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שימוש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בכלל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המגרשים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הפקת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פעילות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לקוח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הפקת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לקוחות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שדווחו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לקוחות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אחרים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תספק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ממשק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לניהול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העסק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יצירה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/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מחיקה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עובדים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הקפאת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/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ביטול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הקפאת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חשבון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תאכוף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הרשאות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וסיסמה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תספר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ממשק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אינטואיטיבי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ופשוט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ינגיש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בצורה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נוחה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המידע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והמגרשים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להרשאות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תאפשר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להשאיר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חוות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דעת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אחרים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לטובת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שאר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בנוסף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להגיש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תלונה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גמישה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לשינויים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ולתכולות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עתידיות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מיזוג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משתתפים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התקנת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play</w:t>
      </w:r>
      <w:r w:rsidDel="00000000" w:rsidR="00000000" w:rsidRPr="00000000">
        <w:rPr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Simple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מרכיבי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שרת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בסיס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נתונים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הפנייה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ש</w:t>
      </w:r>
      <w:r w:rsidDel="00000000" w:rsidR="00000000" w:rsidRPr="00000000">
        <w:rPr>
          <w:b w:val="1"/>
          <w:sz w:val="28"/>
          <w:szCs w:val="28"/>
          <w:rtl w:val="1"/>
        </w:rPr>
        <w:t xml:space="preserve">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IIS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וכתיבה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עמדות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קצה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תונגש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לבחירתם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משתמשי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מנהל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מתשמש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ולהקפיא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השוטף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אדמיניסטרטיבי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הקפאת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ועובדים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עובד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השוטף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תמחור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בחשבונות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ודחייה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יצירה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היררכיה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להתלונן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דיאגרמות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Case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ניהול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עובדים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200400"/>
            <wp:effectExtent b="0" l="0" r="0" t="0"/>
            <wp:docPr id="2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ניהול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42291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להתלונן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להקפיא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דווחו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ניהול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הזמנות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853832" cy="5900738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832" cy="590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משתתף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הפקת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מגרשים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7004696" cy="4148138"/>
            <wp:effectExtent b="0" l="0" r="0" t="0"/>
            <wp:docPr id="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4696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למחוק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לעדכן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להפיק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מגרשים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דיאגרמות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Activity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ניהול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לקוחות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4140200"/>
            <wp:effectExtent b="0" l="0" r="0" t="0"/>
            <wp:docPr id="3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ניהול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הזמנות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697230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הצטרפות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להזמנה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489585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506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jpg"/><Relationship Id="rId10" Type="http://schemas.openxmlformats.org/officeDocument/2006/relationships/image" Target="media/image09.jpg"/><Relationship Id="rId13" Type="http://schemas.openxmlformats.org/officeDocument/2006/relationships/header" Target="header1.xml"/><Relationship Id="rId12" Type="http://schemas.openxmlformats.org/officeDocument/2006/relationships/image" Target="media/image11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image" Target="media/image12.jpg"/><Relationship Id="rId6" Type="http://schemas.openxmlformats.org/officeDocument/2006/relationships/image" Target="media/image07.jpg"/><Relationship Id="rId7" Type="http://schemas.openxmlformats.org/officeDocument/2006/relationships/image" Target="media/image10.jpg"/><Relationship Id="rId8" Type="http://schemas.openxmlformats.org/officeDocument/2006/relationships/image" Target="media/image15.jpg"/></Relationships>
</file>