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drawing>
          <wp:inline xmlns:a="http://schemas.openxmlformats.org/drawingml/2006/main" xmlns:pic="http://schemas.openxmlformats.org/drawingml/2006/picture">
            <wp:extent cx="720000" cy="726316"/>
            <wp:docPr id="1" name="Picture 1"/>
            <wp:cNvGraphicFramePr>
              <a:graphicFrameLocks noChangeAspect="1"/>
            </wp:cNvGraphicFramePr>
            <a:graphic>
              <a:graphicData uri="http://schemas.openxmlformats.org/drawingml/2006/picture">
                <pic:pic>
                  <pic:nvPicPr>
                    <pic:cNvPr id="0" name="diu-seal.png"/>
                    <pic:cNvPicPr/>
                  </pic:nvPicPr>
                  <pic:blipFill>
                    <a:blip r:embed="rId9"/>
                    <a:stretch>
                      <a:fillRect/>
                    </a:stretch>
                  </pic:blipFill>
                  <pic:spPr>
                    <a:xfrm>
                      <a:off x="0" y="0"/>
                      <a:ext cx="720000" cy="726316"/>
                    </a:xfrm>
                    <a:prstGeom prst="rect"/>
                  </pic:spPr>
                </pic:pic>
              </a:graphicData>
            </a:graphic>
          </wp:inline>
        </w:drawing>
      </w:r>
    </w:p>
    <w:p>
      <w:pPr>
        <w:spacing w:before="0" w:after="0" w:line="240" w:lineRule="auto"/>
        <w:jc w:val="center"/>
      </w:pPr>
      <w:sdt>
        <w:sdtPr>
          <w:alias w:val="University Name"/>
          <w:tag w:val="University_Name"/>
          <w:text/>
        </w:sdtPr>
        <w:sdtContent>
          <w:r>
            <w:rPr>
              <w:rFonts w:ascii="Times New Roman" w:hAnsi="Times New Roman" w:cs="Times New Roman" w:eastAsia="Times New Roman"/>
              <w:b/>
              <w:i w:val="0"/>
              <w:color w:val="1F3864"/>
              <w:sz w:val="34"/>
            </w:rPr>
            <w:t>Dhaka International University</w:t>
          </w:r>
        </w:sdtContent>
      </w:sdt>
    </w:p>
    <w:p>
      <w:pPr>
        <w:spacing w:before="40" w:after="120" w:line="240" w:lineRule="auto"/>
        <w:jc w:val="center"/>
      </w:pPr>
      <w:sdt>
        <w:sdtPr>
          <w:alias w:val="Department"/>
          <w:tag w:val="Department"/>
          <w:text/>
        </w:sdtPr>
        <w:sdtContent>
          <w:r>
            <w:rPr>
              <w:rFonts w:ascii="Times New Roman" w:hAnsi="Times New Roman" w:cs="Times New Roman" w:eastAsia="Times New Roman"/>
              <w:b w:val="0"/>
              <w:i/>
              <w:color w:val="595959"/>
              <w:sz w:val="23"/>
            </w:rPr>
            <w:t>Department of Business Administration</w:t>
          </w:r>
        </w:sdtContent>
      </w:sdt>
    </w:p>
    <w:p>
      <w:pPr>
        <w:spacing w:before="0" w:after="120" w:line="240" w:lineRule="auto"/>
        <w:jc w:val="center"/>
      </w:pPr>
      <w:r>
        <w:drawing>
          <wp:inline xmlns:a="http://schemas.openxmlformats.org/drawingml/2006/main" xmlns:pic="http://schemas.openxmlformats.org/drawingml/2006/picture">
            <wp:extent cx="5688000" cy="3764118"/>
            <wp:docPr id="2" name="Picture 2"/>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688000" cy="3764118"/>
                    </a:xfrm>
                    <a:prstGeom prst="rect"/>
                  </pic:spPr>
                </pic:pic>
              </a:graphicData>
            </a:graphic>
          </wp:inline>
        </w:drawing>
      </w:r>
    </w:p>
    <w:tbl>
      <w:tblPr>
        <w:tblW w:type="dxa" w:w="8958"/>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30" w:type="dxa"/>
          <w:left w:w="80" w:type="dxa"/>
          <w:bottom w:w="30" w:type="dxa"/>
          <w:right w:w="80" w:type="dxa"/>
        </w:tblCellMar>
      </w:tblPr>
      <w:tblGrid>
        <w:gridCol w:w="2268"/>
        <w:gridCol w:w="6690"/>
      </w:tblGrid>
      <w:tr>
        <w:tc>
          <w:tcPr>
            <w:tcW w:type="dxa" w:w="2268"/>
          </w:tcPr>
          <w:p>
            <w:pPr>
              <w:spacing w:before="40" w:after="40" w:line="240" w:lineRule="auto"/>
            </w:pPr>
            <w:r>
              <w:rPr>
                <w:rFonts w:ascii="Times New Roman" w:hAnsi="Times New Roman" w:cs="Times New Roman" w:eastAsia="Times New Roman"/>
                <w:b/>
                <w:color w:val="1F3864"/>
                <w:sz w:val="22"/>
              </w:rPr>
              <w:t>Course Title :</w:t>
            </w:r>
          </w:p>
        </w:tc>
        <w:tc>
          <w:tcPr>
            <w:tcW w:type="dxa" w:w="6690"/>
            <w:tcBorders>
              <w:bottom w:val="dotted" w:sz="4" w:space="0" w:color="8C8C8C"/>
            </w:tcBorders>
          </w:tcPr>
          <w:p>
            <w:pPr>
              <w:spacing w:before="40" w:after="40" w:line="240" w:lineRule="auto"/>
            </w:pPr>
            <w:sdt>
              <w:sdtPr>
                <w:alias w:val="Course Title"/>
                <w:tag w:val="Course_Title"/>
                <w:text/>
              </w:sdtPr>
              <w:sdtContent>
                <w:r>
                  <w:rPr>
                    <w:rFonts w:ascii="Times New Roman" w:hAnsi="Times New Roman" w:cs="Times New Roman" w:eastAsia="Times New Roman"/>
                    <w:b w:val="0"/>
                    <w:i w:val="0"/>
                    <w:color w:val="1A1A1A"/>
                    <w:sz w:val="23"/>
                  </w:rPr>
                  <w:t>[Write course title, e.g. Macroeconomics]</w:t>
                </w:r>
              </w:sdtContent>
            </w:sdt>
          </w:p>
        </w:tc>
      </w:tr>
      <w:tr>
        <w:tc>
          <w:tcPr>
            <w:tcW w:type="dxa" w:w="2268"/>
          </w:tcPr>
          <w:p>
            <w:pPr>
              <w:spacing w:before="40" w:after="40" w:line="240" w:lineRule="auto"/>
            </w:pPr>
            <w:r>
              <w:rPr>
                <w:rFonts w:ascii="Times New Roman" w:hAnsi="Times New Roman" w:cs="Times New Roman" w:eastAsia="Times New Roman"/>
                <w:b/>
                <w:color w:val="1F3864"/>
                <w:sz w:val="22"/>
              </w:rPr>
              <w:t>Course Code :</w:t>
            </w:r>
          </w:p>
        </w:tc>
        <w:tc>
          <w:tcPr>
            <w:tcW w:type="dxa" w:w="6690"/>
            <w:tcBorders>
              <w:bottom w:val="dotted" w:sz="4" w:space="0" w:color="8C8C8C"/>
            </w:tcBorders>
          </w:tcPr>
          <w:p>
            <w:pPr>
              <w:spacing w:before="40" w:after="40" w:line="240" w:lineRule="auto"/>
            </w:pPr>
            <w:sdt>
              <w:sdtPr>
                <w:alias w:val="Course Code"/>
                <w:tag w:val="Course_Code"/>
                <w:text/>
              </w:sdtPr>
              <w:sdtContent>
                <w:r>
                  <w:rPr>
                    <w:rFonts w:ascii="Times New Roman" w:hAnsi="Times New Roman" w:cs="Times New Roman" w:eastAsia="Times New Roman"/>
                    <w:b w:val="0"/>
                    <w:i w:val="0"/>
                    <w:color w:val="1A1A1A"/>
                    <w:sz w:val="23"/>
                  </w:rPr>
                  <w:t>[Write course code, e.g. ECO-201]</w:t>
                </w:r>
              </w:sdtContent>
            </w:sdt>
          </w:p>
        </w:tc>
      </w:tr>
    </w:tbl>
    <w:p>
      <w:pPr>
        <w:spacing w:before="0" w:after="120" w:line="240" w:lineRule="auto"/>
      </w:pP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20" w:type="dxa"/>
          <w:left w:w="60" w:type="dxa"/>
          <w:bottom w:w="20" w:type="dxa"/>
          <w:right w:w="60" w:type="dxa"/>
        </w:tblCellMar>
      </w:tblPr>
      <w:tblGrid>
        <w:gridCol w:w="1247"/>
        <w:gridCol w:w="2948"/>
        <w:gridCol w:w="453"/>
        <w:gridCol w:w="1360"/>
        <w:gridCol w:w="3061"/>
      </w:tblGrid>
      <w:tr>
        <w:tc>
          <w:tcPr>
            <w:tcW w:type="dxa" w:w="4195"/>
            <w:gridSpan w:val="2"/>
            <w:shd w:val="clear" w:color="auto" w:fill="1F3864"/>
          </w:tcPr>
          <w:p>
            <w:pPr>
              <w:spacing w:before="40" w:after="40" w:line="240" w:lineRule="auto"/>
              <w:jc w:val="center"/>
            </w:pPr>
            <w:r>
              <w:rPr>
                <w:rFonts w:ascii="Times New Roman" w:hAnsi="Times New Roman" w:cs="Times New Roman" w:eastAsia="Times New Roman"/>
                <w:b/>
                <w:caps/>
                <w:color w:val="FFFFFF"/>
                <w:sz w:val="24"/>
              </w:rPr>
              <w:t>Submitted To</w:t>
            </w:r>
          </w:p>
        </w:tc>
        <w:tc>
          <w:tcPr>
            <w:tcW w:type="dxa" w:w="454"/>
          </w:tcPr>
          <w:p/>
        </w:tc>
        <w:tc>
          <w:tcPr>
            <w:tcW w:type="dxa" w:w="4422"/>
            <w:gridSpan w:val="2"/>
            <w:shd w:val="clear" w:color="auto" w:fill="1F3864"/>
          </w:tcPr>
          <w:p>
            <w:pPr>
              <w:spacing w:before="40" w:after="40" w:line="240" w:lineRule="auto"/>
              <w:jc w:val="center"/>
            </w:pPr>
            <w:r>
              <w:rPr>
                <w:rFonts w:ascii="Times New Roman" w:hAnsi="Times New Roman" w:cs="Times New Roman" w:eastAsia="Times New Roman"/>
                <w:b/>
                <w:caps/>
                <w:color w:val="FFFFFF"/>
                <w:sz w:val="24"/>
              </w:rPr>
              <w:t>Submitted By</w:t>
            </w:r>
          </w:p>
        </w:tc>
      </w:tr>
      <w:tr>
        <w:tc>
          <w:tcPr>
            <w:tcW w:type="dxa" w:w="1247"/>
            <w:vAlign w:val="bottom"/>
          </w:tcPr>
          <w:p>
            <w:pPr>
              <w:spacing w:before="60" w:after="20" w:line="240" w:lineRule="auto"/>
            </w:pPr>
            <w:r>
              <w:rPr>
                <w:rFonts w:ascii="Times New Roman" w:hAnsi="Times New Roman" w:cs="Times New Roman" w:eastAsia="Times New Roman"/>
                <w:b/>
                <w:color w:val="1F3864"/>
                <w:sz w:val="20"/>
              </w:rPr>
              <w:t>Name</w:t>
            </w:r>
          </w:p>
        </w:tc>
        <w:tc>
          <w:tcPr>
            <w:tcW w:type="dxa" w:w="2948"/>
            <w:tcBorders>
              <w:bottom w:val="dotted" w:sz="4" w:space="0" w:color="8C8C8C"/>
            </w:tcBorders>
            <w:vAlign w:val="bottom"/>
          </w:tcPr>
          <w:p>
            <w:pPr>
              <w:spacing w:before="60" w:after="20" w:line="240" w:lineRule="auto"/>
            </w:pPr>
            <w:sdt>
              <w:sdtPr>
                <w:alias w:val="Teacher Name"/>
                <w:tag w:val="Teacher_Name"/>
                <w:text/>
              </w:sdtPr>
              <w:sdtContent>
                <w:r>
                  <w:rPr>
                    <w:rFonts w:ascii="Times New Roman" w:hAnsi="Times New Roman" w:cs="Times New Roman" w:eastAsia="Times New Roman"/>
                    <w:b w:val="0"/>
                    <w:i w:val="0"/>
                    <w:color w:val="1A1A1A"/>
                    <w:sz w:val="22"/>
                  </w:rPr>
                  <w:t>[Teacher's Name]</w:t>
                </w:r>
              </w:sdtContent>
            </w:sdt>
          </w:p>
        </w:tc>
        <w:tc>
          <w:tcPr>
            <w:tcW w:type="dxa" w:w="454"/>
          </w:tcPr>
          <w:p/>
        </w:tc>
        <w:tc>
          <w:tcPr>
            <w:tcW w:type="dxa" w:w="1361"/>
            <w:vAlign w:val="bottom"/>
          </w:tcPr>
          <w:p>
            <w:pPr>
              <w:spacing w:before="60" w:after="20" w:line="240" w:lineRule="auto"/>
            </w:pPr>
            <w:r>
              <w:rPr>
                <w:rFonts w:ascii="Times New Roman" w:hAnsi="Times New Roman" w:cs="Times New Roman" w:eastAsia="Times New Roman"/>
                <w:b/>
                <w:color w:val="1F3864"/>
                <w:sz w:val="20"/>
              </w:rPr>
              <w:t>Name</w:t>
            </w:r>
          </w:p>
        </w:tc>
        <w:tc>
          <w:tcPr>
            <w:tcW w:type="dxa" w:w="3061"/>
            <w:tcBorders>
              <w:bottom w:val="dotted" w:sz="4" w:space="0" w:color="8C8C8C"/>
            </w:tcBorders>
            <w:vAlign w:val="bottom"/>
          </w:tcPr>
          <w:p>
            <w:pPr>
              <w:spacing w:before="60" w:after="20" w:line="240" w:lineRule="auto"/>
            </w:pPr>
            <w:sdt>
              <w:sdtPr>
                <w:alias w:val="Student Name"/>
                <w:tag w:val="Student_Name"/>
                <w:text/>
              </w:sdtPr>
              <w:sdtContent>
                <w:r>
                  <w:rPr>
                    <w:rFonts w:ascii="Times New Roman" w:hAnsi="Times New Roman" w:cs="Times New Roman" w:eastAsia="Times New Roman"/>
                    <w:b w:val="0"/>
                    <w:i w:val="0"/>
                    <w:color w:val="1A1A1A"/>
                    <w:sz w:val="22"/>
                  </w:rPr>
                  <w:t>[Your Full Name]</w:t>
                </w:r>
              </w:sdtContent>
            </w:sdt>
          </w:p>
        </w:tc>
      </w:tr>
      <w:tr>
        <w:tc>
          <w:tcPr>
            <w:tcW w:type="dxa" w:w="1247"/>
            <w:vAlign w:val="bottom"/>
          </w:tcPr>
          <w:p>
            <w:pPr>
              <w:spacing w:before="60" w:after="20" w:line="240" w:lineRule="auto"/>
            </w:pPr>
            <w:r>
              <w:rPr>
                <w:rFonts w:ascii="Times New Roman" w:hAnsi="Times New Roman" w:cs="Times New Roman" w:eastAsia="Times New Roman"/>
                <w:b/>
                <w:color w:val="1F3864"/>
                <w:sz w:val="20"/>
              </w:rPr>
              <w:t>Designation</w:t>
            </w:r>
          </w:p>
        </w:tc>
        <w:tc>
          <w:tcPr>
            <w:tcW w:type="dxa" w:w="2948"/>
            <w:tcBorders>
              <w:bottom w:val="dotted" w:sz="4" w:space="0" w:color="8C8C8C"/>
            </w:tcBorders>
            <w:vAlign w:val="bottom"/>
          </w:tcPr>
          <w:p>
            <w:pPr>
              <w:spacing w:before="60" w:after="20" w:line="240" w:lineRule="auto"/>
            </w:pPr>
            <w:sdt>
              <w:sdtPr>
                <w:alias w:val="Teacher Designation"/>
                <w:tag w:val="Teacher_Designation"/>
                <w:text/>
              </w:sdtPr>
              <w:sdtContent>
                <w:r>
                  <w:rPr>
                    <w:rFonts w:ascii="Times New Roman" w:hAnsi="Times New Roman" w:cs="Times New Roman" w:eastAsia="Times New Roman"/>
                    <w:b w:val="0"/>
                    <w:i w:val="0"/>
                    <w:color w:val="1A1A1A"/>
                    <w:sz w:val="22"/>
                  </w:rPr>
                  <w:t>[Lecturer / Assistant Professor]</w:t>
                </w:r>
              </w:sdtContent>
            </w:sdt>
          </w:p>
        </w:tc>
        <w:tc>
          <w:tcPr>
            <w:tcW w:type="dxa" w:w="454"/>
          </w:tcPr>
          <w:p/>
        </w:tc>
        <w:tc>
          <w:tcPr>
            <w:tcW w:type="dxa" w:w="1361"/>
            <w:vAlign w:val="bottom"/>
          </w:tcPr>
          <w:p>
            <w:pPr>
              <w:spacing w:before="60" w:after="20" w:line="240" w:lineRule="auto"/>
            </w:pPr>
            <w:r>
              <w:rPr>
                <w:rFonts w:ascii="Times New Roman" w:hAnsi="Times New Roman" w:cs="Times New Roman" w:eastAsia="Times New Roman"/>
                <w:b/>
                <w:color w:val="1F3864"/>
                <w:sz w:val="20"/>
              </w:rPr>
              <w:t>Student ID</w:t>
            </w:r>
          </w:p>
        </w:tc>
        <w:tc>
          <w:tcPr>
            <w:tcW w:type="dxa" w:w="3061"/>
            <w:tcBorders>
              <w:bottom w:val="dotted" w:sz="4" w:space="0" w:color="8C8C8C"/>
            </w:tcBorders>
            <w:vAlign w:val="bottom"/>
          </w:tcPr>
          <w:p>
            <w:pPr>
              <w:spacing w:before="60" w:after="20" w:line="240" w:lineRule="auto"/>
            </w:pPr>
            <w:sdt>
              <w:sdtPr>
                <w:alias w:val="Student Student ID"/>
                <w:tag w:val="Student_Student_ID"/>
                <w:text/>
              </w:sdtPr>
              <w:sdtContent>
                <w:r>
                  <w:rPr>
                    <w:rFonts w:ascii="Times New Roman" w:hAnsi="Times New Roman" w:cs="Times New Roman" w:eastAsia="Times New Roman"/>
                    <w:b w:val="0"/>
                    <w:i w:val="0"/>
                    <w:color w:val="1A1A1A"/>
                    <w:sz w:val="22"/>
                  </w:rPr>
                  <w:t>[Your ID]</w:t>
                </w:r>
              </w:sdtContent>
            </w:sdt>
          </w:p>
        </w:tc>
      </w:tr>
      <w:tr>
        <w:tc>
          <w:tcPr>
            <w:tcW w:type="dxa" w:w="1247"/>
            <w:vAlign w:val="bottom"/>
          </w:tcPr>
          <w:p>
            <w:pPr>
              <w:spacing w:before="60" w:after="20" w:line="240" w:lineRule="auto"/>
            </w:pPr>
            <w:r>
              <w:rPr>
                <w:rFonts w:ascii="Times New Roman" w:hAnsi="Times New Roman" w:cs="Times New Roman" w:eastAsia="Times New Roman"/>
                <w:b/>
                <w:color w:val="1F3864"/>
                <w:sz w:val="20"/>
              </w:rPr>
              <w:t>Department</w:t>
            </w:r>
          </w:p>
        </w:tc>
        <w:tc>
          <w:tcPr>
            <w:tcW w:type="dxa" w:w="2948"/>
            <w:tcBorders>
              <w:bottom w:val="dotted" w:sz="4" w:space="0" w:color="8C8C8C"/>
            </w:tcBorders>
            <w:vAlign w:val="bottom"/>
          </w:tcPr>
          <w:p>
            <w:pPr>
              <w:spacing w:before="60" w:after="20" w:line="240" w:lineRule="auto"/>
            </w:pPr>
            <w:sdt>
              <w:sdtPr>
                <w:alias w:val="Teacher Department"/>
                <w:tag w:val="Teacher_Department"/>
                <w:text/>
              </w:sdtPr>
              <w:sdtContent>
                <w:r>
                  <w:rPr>
                    <w:rFonts w:ascii="Times New Roman" w:hAnsi="Times New Roman" w:cs="Times New Roman" w:eastAsia="Times New Roman"/>
                    <w:b w:val="0"/>
                    <w:i w:val="0"/>
                    <w:color w:val="1A1A1A"/>
                    <w:sz w:val="22"/>
                  </w:rPr>
                  <w:t>[Department Name]</w:t>
                </w:r>
              </w:sdtContent>
            </w:sdt>
          </w:p>
        </w:tc>
        <w:tc>
          <w:tcPr>
            <w:tcW w:type="dxa" w:w="454"/>
          </w:tcPr>
          <w:p/>
        </w:tc>
        <w:tc>
          <w:tcPr>
            <w:tcW w:type="dxa" w:w="1361"/>
            <w:vAlign w:val="bottom"/>
          </w:tcPr>
          <w:p>
            <w:pPr>
              <w:spacing w:before="60" w:after="20" w:line="240" w:lineRule="auto"/>
            </w:pPr>
            <w:r>
              <w:rPr>
                <w:rFonts w:ascii="Times New Roman" w:hAnsi="Times New Roman" w:cs="Times New Roman" w:eastAsia="Times New Roman"/>
                <w:b/>
                <w:color w:val="1F3864"/>
                <w:sz w:val="20"/>
              </w:rPr>
              <w:t>Batch</w:t>
            </w:r>
          </w:p>
        </w:tc>
        <w:tc>
          <w:tcPr>
            <w:tcW w:type="dxa" w:w="3061"/>
            <w:tcBorders>
              <w:bottom w:val="dotted" w:sz="4" w:space="0" w:color="8C8C8C"/>
            </w:tcBorders>
            <w:vAlign w:val="bottom"/>
          </w:tcPr>
          <w:p>
            <w:pPr>
              <w:spacing w:before="60" w:after="20" w:line="240" w:lineRule="auto"/>
            </w:pPr>
            <w:sdt>
              <w:sdtPr>
                <w:alias w:val="Student Batch"/>
                <w:tag w:val="Student_Batch"/>
                <w:text/>
              </w:sdtPr>
              <w:sdtContent>
                <w:r>
                  <w:rPr>
                    <w:rFonts w:ascii="Times New Roman" w:hAnsi="Times New Roman" w:cs="Times New Roman" w:eastAsia="Times New Roman"/>
                    <w:b w:val="0"/>
                    <w:i w:val="0"/>
                    <w:color w:val="1A1A1A"/>
                    <w:sz w:val="22"/>
                  </w:rPr>
                  <w:t>[Batch]</w:t>
                </w:r>
              </w:sdtContent>
            </w:sdt>
          </w:p>
        </w:tc>
      </w:tr>
      <w:tr>
        <w:tc>
          <w:tcPr>
            <w:tcW w:type="dxa" w:w="1247"/>
            <w:vAlign w:val="bottom"/>
          </w:tcPr>
          <w:p>
            <w:pPr>
              <w:spacing w:before="60" w:after="20" w:line="240" w:lineRule="auto"/>
            </w:pPr>
            <w:r>
              <w:rPr>
                <w:rFonts w:ascii="Times New Roman" w:hAnsi="Times New Roman" w:cs="Times New Roman" w:eastAsia="Times New Roman"/>
                <w:b/>
                <w:color w:val="1F3864"/>
                <w:sz w:val="20"/>
              </w:rPr>
              <w:t>University</w:t>
            </w:r>
          </w:p>
        </w:tc>
        <w:tc>
          <w:tcPr>
            <w:tcW w:type="dxa" w:w="2948"/>
            <w:tcBorders>
              <w:bottom w:val="dotted" w:sz="4" w:space="0" w:color="8C8C8C"/>
            </w:tcBorders>
            <w:vAlign w:val="bottom"/>
          </w:tcPr>
          <w:p>
            <w:pPr>
              <w:spacing w:before="60" w:after="20" w:line="240" w:lineRule="auto"/>
            </w:pPr>
            <w:sdt>
              <w:sdtPr>
                <w:alias w:val="Teacher University"/>
                <w:tag w:val="Teacher_University"/>
                <w:text/>
              </w:sdtPr>
              <w:sdtContent>
                <w:r>
                  <w:rPr>
                    <w:rFonts w:ascii="Times New Roman" w:hAnsi="Times New Roman" w:cs="Times New Roman" w:eastAsia="Times New Roman"/>
                    <w:b w:val="0"/>
                    <w:i w:val="0"/>
                    <w:color w:val="1A1A1A"/>
                    <w:sz w:val="22"/>
                  </w:rPr>
                  <w:t>[University Name]</w:t>
                </w:r>
              </w:sdtContent>
            </w:sdt>
          </w:p>
        </w:tc>
        <w:tc>
          <w:tcPr>
            <w:tcW w:type="dxa" w:w="454"/>
          </w:tcPr>
          <w:p/>
        </w:tc>
        <w:tc>
          <w:tcPr>
            <w:tcW w:type="dxa" w:w="1361"/>
            <w:vAlign w:val="bottom"/>
          </w:tcPr>
          <w:p>
            <w:pPr>
              <w:spacing w:before="60" w:after="20" w:line="240" w:lineRule="auto"/>
            </w:pPr>
            <w:r>
              <w:rPr>
                <w:rFonts w:ascii="Times New Roman" w:hAnsi="Times New Roman" w:cs="Times New Roman" w:eastAsia="Times New Roman"/>
                <w:b/>
                <w:color w:val="1F3864"/>
                <w:sz w:val="20"/>
              </w:rPr>
              <w:t>Section</w:t>
            </w:r>
          </w:p>
        </w:tc>
        <w:tc>
          <w:tcPr>
            <w:tcW w:type="dxa" w:w="3061"/>
            <w:tcBorders>
              <w:bottom w:val="dotted" w:sz="4" w:space="0" w:color="8C8C8C"/>
            </w:tcBorders>
            <w:vAlign w:val="bottom"/>
          </w:tcPr>
          <w:p>
            <w:pPr>
              <w:spacing w:before="60" w:after="20" w:line="240" w:lineRule="auto"/>
            </w:pPr>
            <w:sdt>
              <w:sdtPr>
                <w:alias w:val="Student Section"/>
                <w:tag w:val="Student_Section"/>
                <w:text/>
              </w:sdtPr>
              <w:sdtContent>
                <w:r>
                  <w:rPr>
                    <w:rFonts w:ascii="Times New Roman" w:hAnsi="Times New Roman" w:cs="Times New Roman" w:eastAsia="Times New Roman"/>
                    <w:b w:val="0"/>
                    <w:i w:val="0"/>
                    <w:color w:val="1A1A1A"/>
                    <w:sz w:val="22"/>
                  </w:rPr>
                  <w:t>[Section]</w:t>
                </w:r>
              </w:sdtContent>
            </w:sdt>
          </w:p>
        </w:tc>
      </w:tr>
      <w:tr>
        <w:tc>
          <w:tcPr>
            <w:tcW w:type="dxa" w:w="1247"/>
          </w:tcPr>
          <w:p/>
        </w:tc>
        <w:tc>
          <w:tcPr>
            <w:tcW w:type="dxa" w:w="2948"/>
          </w:tcPr>
          <w:p/>
        </w:tc>
        <w:tc>
          <w:tcPr>
            <w:tcW w:type="dxa" w:w="454"/>
          </w:tcPr>
          <w:p/>
        </w:tc>
        <w:tc>
          <w:tcPr>
            <w:tcW w:type="dxa" w:w="1361"/>
            <w:vAlign w:val="bottom"/>
          </w:tcPr>
          <w:p>
            <w:pPr>
              <w:spacing w:before="60" w:after="20" w:line="240" w:lineRule="auto"/>
            </w:pPr>
            <w:r>
              <w:rPr>
                <w:rFonts w:ascii="Times New Roman" w:hAnsi="Times New Roman" w:cs="Times New Roman" w:eastAsia="Times New Roman"/>
                <w:b/>
                <w:color w:val="1F3864"/>
                <w:sz w:val="20"/>
              </w:rPr>
              <w:t>Semester</w:t>
            </w:r>
          </w:p>
        </w:tc>
        <w:tc>
          <w:tcPr>
            <w:tcW w:type="dxa" w:w="3061"/>
            <w:tcBorders>
              <w:bottom w:val="dotted" w:sz="4" w:space="0" w:color="8C8C8C"/>
            </w:tcBorders>
            <w:vAlign w:val="bottom"/>
          </w:tcPr>
          <w:p>
            <w:pPr>
              <w:spacing w:before="60" w:after="20" w:line="240" w:lineRule="auto"/>
            </w:pPr>
            <w:sdt>
              <w:sdtPr>
                <w:alias w:val="Student Semester"/>
                <w:tag w:val="Student_Semester"/>
                <w:text/>
              </w:sdtPr>
              <w:sdtContent>
                <w:r>
                  <w:rPr>
                    <w:rFonts w:ascii="Times New Roman" w:hAnsi="Times New Roman" w:cs="Times New Roman" w:eastAsia="Times New Roman"/>
                    <w:b w:val="0"/>
                    <w:i w:val="0"/>
                    <w:color w:val="1A1A1A"/>
                    <w:sz w:val="22"/>
                  </w:rPr>
                  <w:t>[Semester]</w:t>
                </w:r>
              </w:sdtContent>
            </w:sdt>
          </w:p>
        </w:tc>
      </w:tr>
      <w:tr>
        <w:tc>
          <w:tcPr>
            <w:tcW w:type="dxa" w:w="1247"/>
          </w:tcPr>
          <w:p/>
        </w:tc>
        <w:tc>
          <w:tcPr>
            <w:tcW w:type="dxa" w:w="2948"/>
          </w:tcPr>
          <w:p/>
        </w:tc>
        <w:tc>
          <w:tcPr>
            <w:tcW w:type="dxa" w:w="454"/>
          </w:tcPr>
          <w:p/>
        </w:tc>
        <w:tc>
          <w:tcPr>
            <w:tcW w:type="dxa" w:w="1361"/>
            <w:vAlign w:val="bottom"/>
          </w:tcPr>
          <w:p>
            <w:pPr>
              <w:spacing w:before="60" w:after="20" w:line="240" w:lineRule="auto"/>
            </w:pPr>
            <w:r>
              <w:rPr>
                <w:rFonts w:ascii="Times New Roman" w:hAnsi="Times New Roman" w:cs="Times New Roman" w:eastAsia="Times New Roman"/>
                <w:b/>
                <w:color w:val="1F3864"/>
                <w:sz w:val="20"/>
              </w:rPr>
              <w:t>Program</w:t>
            </w:r>
          </w:p>
        </w:tc>
        <w:tc>
          <w:tcPr>
            <w:tcW w:type="dxa" w:w="3061"/>
            <w:tcBorders>
              <w:bottom w:val="dotted" w:sz="4" w:space="0" w:color="8C8C8C"/>
            </w:tcBorders>
            <w:vAlign w:val="bottom"/>
          </w:tcPr>
          <w:p>
            <w:pPr>
              <w:spacing w:before="60" w:after="20" w:line="240" w:lineRule="auto"/>
            </w:pPr>
            <w:sdt>
              <w:sdtPr>
                <w:alias w:val="Student Program"/>
                <w:tag w:val="Student_Program"/>
                <w:text/>
              </w:sdtPr>
              <w:sdtContent>
                <w:r>
                  <w:rPr>
                    <w:rFonts w:ascii="Times New Roman" w:hAnsi="Times New Roman" w:cs="Times New Roman" w:eastAsia="Times New Roman"/>
                    <w:b w:val="0"/>
                    <w:i w:val="0"/>
                    <w:color w:val="1A1A1A"/>
                    <w:sz w:val="22"/>
                  </w:rPr>
                  <w:t>[BBA / BSS / BSc]</w:t>
                </w:r>
              </w:sdtContent>
            </w:sdt>
          </w:p>
        </w:tc>
      </w:tr>
    </w:tbl>
    <w:p>
      <w:pPr>
        <w:spacing w:before="240" w:after="0" w:line="240" w:lineRule="auto"/>
        <w:jc w:val="center"/>
      </w:pPr>
      <w:r>
        <w:rPr>
          <w:rFonts w:ascii="Times New Roman" w:hAnsi="Times New Roman" w:cs="Times New Roman" w:eastAsia="Times New Roman"/>
          <w:b/>
          <w:color w:val="1F3864"/>
          <w:sz w:val="23"/>
        </w:rPr>
        <w:t xml:space="preserve">Date of Submission :  </w:t>
      </w:r>
      <w:sdt>
        <w:sdtPr>
          <w:alias w:val="Submission Date"/>
          <w:tag w:val="Submission_Date"/>
          <w:text/>
        </w:sdtPr>
        <w:sdtContent>
          <w:r>
            <w:rPr>
              <w:rFonts w:ascii="Times New Roman" w:hAnsi="Times New Roman" w:cs="Times New Roman" w:eastAsia="Times New Roman"/>
              <w:b w:val="0"/>
              <w:i w:val="0"/>
              <w:color w:val="1A1A1A"/>
              <w:sz w:val="23"/>
            </w:rPr>
            <w:t>[DD Month YYYY]</w:t>
          </w:r>
        </w:sdtContent>
      </w:sdt>
    </w:p>
    <w:p>
      <w:pPr>
        <w:sectPr>
          <w:pgSz w:w="11906" w:h="16838"/>
          <w:pgMar w:top="794" w:right="1134" w:bottom="680" w:left="1134" w:header="624" w:footer="624" w:gutter="0"/>
          <w:cols w:space="720"/>
          <w:docGrid w:linePitch="360"/>
          <w:pgBorders w:offsetFrom="page">
            <w:top w:val="thinThickSmallGap" w:sz="18" w:space="22" w:color="1F3864"/>
            <w:left w:val="thinThickSmallGap" w:sz="18" w:space="22" w:color="1F3864"/>
            <w:bottom w:val="thinThickSmallGap" w:sz="18" w:space="22" w:color="1F3864"/>
            <w:right w:val="thinThickSmallGap" w:sz="18" w:space="22" w:color="1F3864"/>
          </w:pgBorders>
        </w:sectPr>
      </w:pPr>
    </w:p>
    <w:p>
      <w:pPr>
        <w:spacing w:before="0" w:after="280" w:line="240" w:lineRule="auto"/>
        <w:jc w:val="center"/>
        <w:pBdr>
          <w:bottom w:val="single" w:sz="8" w:space="6" w:color="1F3864"/>
        </w:pBdr>
      </w:pPr>
      <w:r>
        <w:rPr>
          <w:rFonts w:ascii="Times New Roman" w:hAnsi="Times New Roman" w:cs="Times New Roman" w:eastAsia="Times New Roman"/>
          <w:b/>
          <w:caps/>
          <w:color w:val="1F3864"/>
          <w:sz w:val="32"/>
        </w:rPr>
        <w:t>Abstract</w:t>
      </w:r>
    </w:p>
    <w:p>
      <w:pPr>
        <w:spacing w:before="0" w:after="160" w:line="276" w:lineRule="auto"/>
        <w:jc w:val="both"/>
      </w:pPr>
      <w:r>
        <w:rPr>
          <w:rFonts w:ascii="Times New Roman" w:hAnsi="Times New Roman" w:cs="Times New Roman" w:eastAsia="Times New Roman"/>
        </w:rPr>
        <w:t>Gross Domestic Product (GDP) is the most widely quoted number in economics. Governments set growth targets around it, the media report it every quarter, and international bodies use it to rank countries. Yet GDP was designed to measure the market value of production, not the quality of people's lives. This assignment asks whether GDP growth is an adequate measure of economic well-being.</w:t>
      </w:r>
    </w:p>
    <w:p>
      <w:pPr>
        <w:spacing w:before="0" w:after="160" w:line="276" w:lineRule="auto"/>
        <w:jc w:val="both"/>
      </w:pPr>
      <w:r>
        <w:rPr>
          <w:rFonts w:ascii="Times New Roman" w:hAnsi="Times New Roman" w:cs="Times New Roman" w:eastAsia="Times New Roman"/>
        </w:rPr>
        <w:t>The study uses secondary data from the World Bank, UNDP, the World Inequality Lab, the World Happiness Report, the Bangladesh Bureau of Statistics (BBS) and peer-reviewed literature. It first explains how GDP is measured and what economists mean by well-being. It then sets out the case for GDP, followed by its main limitations: it ignores distribution, unpaid and informal work, environmental damage, defensive spending, leisure and subjective life satisfaction. Five worked demonstrations and seventeen charts show these points with numbers. Alternative measures, including the Human Development Index (HDI) and the Genuine Progress Indicator (GPI), are compared, and Bangladesh is used as a case study.</w:t>
      </w:r>
    </w:p>
    <w:p>
      <w:pPr>
        <w:spacing w:before="0" w:after="160" w:line="276" w:lineRule="auto"/>
        <w:jc w:val="both"/>
      </w:pPr>
      <w:r>
        <w:rPr>
          <w:rFonts w:ascii="Times New Roman" w:hAnsi="Times New Roman" w:cs="Times New Roman" w:eastAsia="Times New Roman"/>
        </w:rPr>
        <w:t xml:space="preserve">The evidence shows that GDP growth is closely linked to falling poverty and better health in low-income countries, so it remains a necessary indicator. However, the link weakens at higher income levels, and GDP can rise while inequality, environmental loss and stress also rise. The study concludes that GDP growth is </w:t>
      </w:r>
      <w:r>
        <w:rPr>
          <w:rFonts w:ascii="Times New Roman" w:hAnsi="Times New Roman" w:cs="Times New Roman" w:eastAsia="Times New Roman"/>
          <w:b/>
        </w:rPr>
        <w:t>necessary but not sufficient</w:t>
      </w:r>
      <w:r>
        <w:rPr>
          <w:rFonts w:ascii="Times New Roman" w:hAnsi="Times New Roman" w:cs="Times New Roman" w:eastAsia="Times New Roman"/>
        </w:rPr>
        <w:t>: it is a good measure of economic activity but an inadequate measure of economic well-being on its own. A dashboard approach that reports GDP alongside distribution, human development and sustainability indicators is recommended, especially for Bangladesh.</w:t>
      </w:r>
    </w:p>
    <w:p>
      <w:pPr>
        <w:spacing w:before="120" w:after="0" w:line="288" w:lineRule="auto"/>
        <w:jc w:val="both"/>
      </w:pPr>
      <w:r>
        <w:rPr>
          <w:rFonts w:ascii="Times New Roman" w:hAnsi="Times New Roman" w:cs="Times New Roman" w:eastAsia="Times New Roman"/>
          <w:b/>
          <w:color w:val="1F3864"/>
          <w:sz w:val="23"/>
        </w:rPr>
        <w:t xml:space="preserve">Keywords: </w:t>
      </w:r>
      <w:r>
        <w:rPr>
          <w:rFonts w:ascii="Times New Roman" w:hAnsi="Times New Roman" w:cs="Times New Roman" w:eastAsia="Times New Roman"/>
          <w:i/>
          <w:sz w:val="23"/>
        </w:rPr>
        <w:t>GDP, economic growth, economic well-being, Human Development Index, Genuine Progress Indicator, inequality, sustainability, beyond GDP, Bangladesh</w:t>
      </w:r>
    </w:p>
    <w:p>
      <w:r>
        <w:br w:type="page"/>
      </w:r>
    </w:p>
    <w:p>
      <w:pPr>
        <w:spacing w:before="0" w:after="280" w:line="240" w:lineRule="auto"/>
        <w:jc w:val="center"/>
        <w:pBdr>
          <w:bottom w:val="single" w:sz="8" w:space="6" w:color="1F3864"/>
        </w:pBdr>
      </w:pPr>
      <w:r>
        <w:rPr>
          <w:rFonts w:ascii="Times New Roman" w:hAnsi="Times New Roman" w:cs="Times New Roman" w:eastAsia="Times New Roman"/>
          <w:b/>
          <w:caps/>
          <w:color w:val="1F3864"/>
          <w:sz w:val="32"/>
        </w:rPr>
        <w:t>Table of Contents</w:t>
      </w:r>
    </w:p>
    <w:p>
      <w:pPr>
        <w:pStyle w:val="toc1"/>
      </w:pPr>
      <w:r>
        <w:fldChar w:fldCharType="begin"/>
      </w:r>
      <w:r>
        <w:instrText xml:space="preserve">TOC \o "1-2" \z \u</w:instrText>
      </w:r>
      <w:r>
        <w:fldChar w:fldCharType="separate"/>
      </w:r>
      <w:r>
        <w:rPr>
          <w:rFonts w:ascii="Times New Roman" w:hAnsi="Times New Roman" w:cs="Times New Roman" w:eastAsia="Times New Roman"/>
          <w:b/>
          <w:color w:val="1A1A1A"/>
          <w:sz w:val="22"/>
        </w:rPr>
        <w:t>1. Introduction</w:t>
      </w:r>
      <w:r>
        <w:rPr>
          <w:rFonts w:ascii="Times New Roman" w:hAnsi="Times New Roman" w:cs="Times New Roman" w:eastAsia="Times New Roman"/>
          <w:b/>
          <w:color w:val="1A1A1A"/>
          <w:sz w:val="22"/>
        </w:rPr>
        <w:tab/>
        <w:t>1</w:t>
      </w:r>
    </w:p>
    <w:p>
      <w:pPr>
        <w:pStyle w:val="toc2"/>
      </w:pPr>
      <w:r>
        <w:rPr>
          <w:rFonts w:ascii="Times New Roman" w:hAnsi="Times New Roman" w:cs="Times New Roman" w:eastAsia="Times New Roman"/>
          <w:b w:val="0"/>
          <w:color w:val="1A1A1A"/>
          <w:sz w:val="22"/>
        </w:rPr>
        <w:t>1.1 Background of the Study</w:t>
      </w:r>
      <w:r>
        <w:rPr>
          <w:rFonts w:ascii="Times New Roman" w:hAnsi="Times New Roman" w:cs="Times New Roman" w:eastAsia="Times New Roman"/>
          <w:b w:val="0"/>
          <w:color w:val="1A1A1A"/>
          <w:sz w:val="22"/>
        </w:rPr>
        <w:tab/>
        <w:t>1</w:t>
      </w:r>
    </w:p>
    <w:p>
      <w:pPr>
        <w:pStyle w:val="toc2"/>
      </w:pPr>
      <w:r>
        <w:rPr>
          <w:rFonts w:ascii="Times New Roman" w:hAnsi="Times New Roman" w:cs="Times New Roman" w:eastAsia="Times New Roman"/>
          <w:b w:val="0"/>
          <w:color w:val="1A1A1A"/>
          <w:sz w:val="22"/>
        </w:rPr>
        <w:t>1.2 Statement of the Problem</w:t>
      </w:r>
      <w:r>
        <w:rPr>
          <w:rFonts w:ascii="Times New Roman" w:hAnsi="Times New Roman" w:cs="Times New Roman" w:eastAsia="Times New Roman"/>
          <w:b w:val="0"/>
          <w:color w:val="1A1A1A"/>
          <w:sz w:val="22"/>
        </w:rPr>
        <w:tab/>
        <w:t>1</w:t>
      </w:r>
    </w:p>
    <w:p>
      <w:pPr>
        <w:pStyle w:val="toc2"/>
      </w:pPr>
      <w:r>
        <w:rPr>
          <w:rFonts w:ascii="Times New Roman" w:hAnsi="Times New Roman" w:cs="Times New Roman" w:eastAsia="Times New Roman"/>
          <w:b w:val="0"/>
          <w:color w:val="1A1A1A"/>
          <w:sz w:val="22"/>
        </w:rPr>
        <w:t>1.3 Objectives of the Study</w:t>
      </w:r>
      <w:r>
        <w:rPr>
          <w:rFonts w:ascii="Times New Roman" w:hAnsi="Times New Roman" w:cs="Times New Roman" w:eastAsia="Times New Roman"/>
          <w:b w:val="0"/>
          <w:color w:val="1A1A1A"/>
          <w:sz w:val="22"/>
        </w:rPr>
        <w:tab/>
        <w:t>1</w:t>
      </w:r>
    </w:p>
    <w:p>
      <w:pPr>
        <w:pStyle w:val="toc2"/>
      </w:pPr>
      <w:r>
        <w:rPr>
          <w:rFonts w:ascii="Times New Roman" w:hAnsi="Times New Roman" w:cs="Times New Roman" w:eastAsia="Times New Roman"/>
          <w:b w:val="0"/>
          <w:color w:val="1A1A1A"/>
          <w:sz w:val="22"/>
        </w:rPr>
        <w:t>1.4 Research Questions</w:t>
      </w:r>
      <w:r>
        <w:rPr>
          <w:rFonts w:ascii="Times New Roman" w:hAnsi="Times New Roman" w:cs="Times New Roman" w:eastAsia="Times New Roman"/>
          <w:b w:val="0"/>
          <w:color w:val="1A1A1A"/>
          <w:sz w:val="22"/>
        </w:rPr>
        <w:tab/>
        <w:t>1</w:t>
      </w:r>
    </w:p>
    <w:p>
      <w:pPr>
        <w:pStyle w:val="toc2"/>
      </w:pPr>
      <w:r>
        <w:rPr>
          <w:rFonts w:ascii="Times New Roman" w:hAnsi="Times New Roman" w:cs="Times New Roman" w:eastAsia="Times New Roman"/>
          <w:b w:val="0"/>
          <w:color w:val="1A1A1A"/>
          <w:sz w:val="22"/>
        </w:rPr>
        <w:t>1.5 Methodology and Data Sources</w:t>
      </w:r>
      <w:r>
        <w:rPr>
          <w:rFonts w:ascii="Times New Roman" w:hAnsi="Times New Roman" w:cs="Times New Roman" w:eastAsia="Times New Roman"/>
          <w:b w:val="0"/>
          <w:color w:val="1A1A1A"/>
          <w:sz w:val="22"/>
        </w:rPr>
        <w:tab/>
        <w:t>2</w:t>
      </w:r>
    </w:p>
    <w:p>
      <w:pPr>
        <w:pStyle w:val="toc2"/>
      </w:pPr>
      <w:r>
        <w:rPr>
          <w:rFonts w:ascii="Times New Roman" w:hAnsi="Times New Roman" w:cs="Times New Roman" w:eastAsia="Times New Roman"/>
          <w:b w:val="0"/>
          <w:color w:val="1A1A1A"/>
          <w:sz w:val="22"/>
        </w:rPr>
        <w:t>1.6 Scope and Limitations</w:t>
      </w:r>
      <w:r>
        <w:rPr>
          <w:rFonts w:ascii="Times New Roman" w:hAnsi="Times New Roman" w:cs="Times New Roman" w:eastAsia="Times New Roman"/>
          <w:b w:val="0"/>
          <w:color w:val="1A1A1A"/>
          <w:sz w:val="22"/>
        </w:rPr>
        <w:tab/>
        <w:t>2</w:t>
      </w:r>
    </w:p>
    <w:p>
      <w:pPr>
        <w:pStyle w:val="toc1"/>
      </w:pPr>
      <w:r>
        <w:rPr>
          <w:rFonts w:ascii="Times New Roman" w:hAnsi="Times New Roman" w:cs="Times New Roman" w:eastAsia="Times New Roman"/>
          <w:b/>
          <w:color w:val="1A1A1A"/>
          <w:sz w:val="22"/>
        </w:rPr>
        <w:t>2. Understanding Gross Domestic Product</w:t>
      </w:r>
      <w:r>
        <w:rPr>
          <w:rFonts w:ascii="Times New Roman" w:hAnsi="Times New Roman" w:cs="Times New Roman" w:eastAsia="Times New Roman"/>
          <w:b/>
          <w:color w:val="1A1A1A"/>
          <w:sz w:val="22"/>
        </w:rPr>
        <w:tab/>
        <w:t>3</w:t>
      </w:r>
    </w:p>
    <w:p>
      <w:pPr>
        <w:pStyle w:val="toc2"/>
      </w:pPr>
      <w:r>
        <w:rPr>
          <w:rFonts w:ascii="Times New Roman" w:hAnsi="Times New Roman" w:cs="Times New Roman" w:eastAsia="Times New Roman"/>
          <w:b w:val="0"/>
          <w:color w:val="1A1A1A"/>
          <w:sz w:val="22"/>
        </w:rPr>
        <w:t>2.1 Definition of GDP</w:t>
      </w:r>
      <w:r>
        <w:rPr>
          <w:rFonts w:ascii="Times New Roman" w:hAnsi="Times New Roman" w:cs="Times New Roman" w:eastAsia="Times New Roman"/>
          <w:b w:val="0"/>
          <w:color w:val="1A1A1A"/>
          <w:sz w:val="22"/>
        </w:rPr>
        <w:tab/>
        <w:t>3</w:t>
      </w:r>
    </w:p>
    <w:p>
      <w:pPr>
        <w:pStyle w:val="toc2"/>
      </w:pPr>
      <w:r>
        <w:rPr>
          <w:rFonts w:ascii="Times New Roman" w:hAnsi="Times New Roman" w:cs="Times New Roman" w:eastAsia="Times New Roman"/>
          <w:b w:val="0"/>
          <w:color w:val="1A1A1A"/>
          <w:sz w:val="22"/>
        </w:rPr>
        <w:t>2.2 Three Approaches to Measuring GDP</w:t>
      </w:r>
      <w:r>
        <w:rPr>
          <w:rFonts w:ascii="Times New Roman" w:hAnsi="Times New Roman" w:cs="Times New Roman" w:eastAsia="Times New Roman"/>
          <w:b w:val="0"/>
          <w:color w:val="1A1A1A"/>
          <w:sz w:val="22"/>
        </w:rPr>
        <w:tab/>
        <w:t>3</w:t>
      </w:r>
    </w:p>
    <w:p>
      <w:pPr>
        <w:pStyle w:val="toc2"/>
      </w:pPr>
      <w:r>
        <w:rPr>
          <w:rFonts w:ascii="Times New Roman" w:hAnsi="Times New Roman" w:cs="Times New Roman" w:eastAsia="Times New Roman"/>
          <w:b w:val="0"/>
          <w:color w:val="1A1A1A"/>
          <w:sz w:val="22"/>
        </w:rPr>
        <w:t>2.3 Nominal GDP, Real GDP and GDP per Capita</w:t>
      </w:r>
      <w:r>
        <w:rPr>
          <w:rFonts w:ascii="Times New Roman" w:hAnsi="Times New Roman" w:cs="Times New Roman" w:eastAsia="Times New Roman"/>
          <w:b w:val="0"/>
          <w:color w:val="1A1A1A"/>
          <w:sz w:val="22"/>
        </w:rPr>
        <w:tab/>
        <w:t>3</w:t>
      </w:r>
    </w:p>
    <w:p>
      <w:pPr>
        <w:pStyle w:val="toc2"/>
      </w:pPr>
      <w:r>
        <w:rPr>
          <w:rFonts w:ascii="Times New Roman" w:hAnsi="Times New Roman" w:cs="Times New Roman" w:eastAsia="Times New Roman"/>
          <w:b w:val="0"/>
          <w:color w:val="1A1A1A"/>
          <w:sz w:val="22"/>
        </w:rPr>
        <w:t>2.4 How GDP Became the Headline Number</w:t>
      </w:r>
      <w:r>
        <w:rPr>
          <w:rFonts w:ascii="Times New Roman" w:hAnsi="Times New Roman" w:cs="Times New Roman" w:eastAsia="Times New Roman"/>
          <w:b w:val="0"/>
          <w:color w:val="1A1A1A"/>
          <w:sz w:val="22"/>
        </w:rPr>
        <w:tab/>
        <w:t>4</w:t>
      </w:r>
    </w:p>
    <w:p>
      <w:pPr>
        <w:pStyle w:val="toc1"/>
      </w:pPr>
      <w:r>
        <w:rPr>
          <w:rFonts w:ascii="Times New Roman" w:hAnsi="Times New Roman" w:cs="Times New Roman" w:eastAsia="Times New Roman"/>
          <w:b/>
          <w:color w:val="1A1A1A"/>
          <w:sz w:val="22"/>
        </w:rPr>
        <w:t>3. The Concept of Economic Well-Being</w:t>
      </w:r>
      <w:r>
        <w:rPr>
          <w:rFonts w:ascii="Times New Roman" w:hAnsi="Times New Roman" w:cs="Times New Roman" w:eastAsia="Times New Roman"/>
          <w:b/>
          <w:color w:val="1A1A1A"/>
          <w:sz w:val="22"/>
        </w:rPr>
        <w:tab/>
        <w:t>5</w:t>
      </w:r>
    </w:p>
    <w:p>
      <w:pPr>
        <w:pStyle w:val="toc2"/>
      </w:pPr>
      <w:r>
        <w:rPr>
          <w:rFonts w:ascii="Times New Roman" w:hAnsi="Times New Roman" w:cs="Times New Roman" w:eastAsia="Times New Roman"/>
          <w:b w:val="0"/>
          <w:color w:val="1A1A1A"/>
          <w:sz w:val="22"/>
        </w:rPr>
        <w:t>3.1 Defining Economic Well-Being</w:t>
      </w:r>
      <w:r>
        <w:rPr>
          <w:rFonts w:ascii="Times New Roman" w:hAnsi="Times New Roman" w:cs="Times New Roman" w:eastAsia="Times New Roman"/>
          <w:b w:val="0"/>
          <w:color w:val="1A1A1A"/>
          <w:sz w:val="22"/>
        </w:rPr>
        <w:tab/>
        <w:t>5</w:t>
      </w:r>
    </w:p>
    <w:p>
      <w:pPr>
        <w:pStyle w:val="toc2"/>
      </w:pPr>
      <w:r>
        <w:rPr>
          <w:rFonts w:ascii="Times New Roman" w:hAnsi="Times New Roman" w:cs="Times New Roman" w:eastAsia="Times New Roman"/>
          <w:b w:val="0"/>
          <w:color w:val="1A1A1A"/>
          <w:sz w:val="22"/>
        </w:rPr>
        <w:t>3.2 Dimensions of Well-Being</w:t>
      </w:r>
      <w:r>
        <w:rPr>
          <w:rFonts w:ascii="Times New Roman" w:hAnsi="Times New Roman" w:cs="Times New Roman" w:eastAsia="Times New Roman"/>
          <w:b w:val="0"/>
          <w:color w:val="1A1A1A"/>
          <w:sz w:val="22"/>
        </w:rPr>
        <w:tab/>
        <w:t>5</w:t>
      </w:r>
    </w:p>
    <w:p>
      <w:pPr>
        <w:pStyle w:val="toc2"/>
      </w:pPr>
      <w:r>
        <w:rPr>
          <w:rFonts w:ascii="Times New Roman" w:hAnsi="Times New Roman" w:cs="Times New Roman" w:eastAsia="Times New Roman"/>
          <w:b w:val="0"/>
          <w:color w:val="1A1A1A"/>
          <w:sz w:val="22"/>
        </w:rPr>
        <w:t>3.3 The Stiglitz-Sen-Fitoussi Commission</w:t>
      </w:r>
      <w:r>
        <w:rPr>
          <w:rFonts w:ascii="Times New Roman" w:hAnsi="Times New Roman" w:cs="Times New Roman" w:eastAsia="Times New Roman"/>
          <w:b w:val="0"/>
          <w:color w:val="1A1A1A"/>
          <w:sz w:val="22"/>
        </w:rPr>
        <w:tab/>
        <w:t>5</w:t>
      </w:r>
    </w:p>
    <w:p>
      <w:pPr>
        <w:pStyle w:val="toc2"/>
      </w:pPr>
      <w:r>
        <w:rPr>
          <w:rFonts w:ascii="Times New Roman" w:hAnsi="Times New Roman" w:cs="Times New Roman" w:eastAsia="Times New Roman"/>
          <w:b w:val="0"/>
          <w:color w:val="1A1A1A"/>
          <w:sz w:val="22"/>
        </w:rPr>
        <w:t>3.4 GDP and Well-Being: A Conceptual Comparison</w:t>
      </w:r>
      <w:r>
        <w:rPr>
          <w:rFonts w:ascii="Times New Roman" w:hAnsi="Times New Roman" w:cs="Times New Roman" w:eastAsia="Times New Roman"/>
          <w:b w:val="0"/>
          <w:color w:val="1A1A1A"/>
          <w:sz w:val="22"/>
        </w:rPr>
        <w:tab/>
        <w:t>6</w:t>
      </w:r>
    </w:p>
    <w:p>
      <w:pPr>
        <w:pStyle w:val="toc1"/>
      </w:pPr>
      <w:r>
        <w:rPr>
          <w:rFonts w:ascii="Times New Roman" w:hAnsi="Times New Roman" w:cs="Times New Roman" w:eastAsia="Times New Roman"/>
          <w:b/>
          <w:color w:val="1A1A1A"/>
          <w:sz w:val="22"/>
        </w:rPr>
        <w:t>4. The Case for GDP: Why Growth Still Matters</w:t>
      </w:r>
      <w:r>
        <w:rPr>
          <w:rFonts w:ascii="Times New Roman" w:hAnsi="Times New Roman" w:cs="Times New Roman" w:eastAsia="Times New Roman"/>
          <w:b/>
          <w:color w:val="1A1A1A"/>
          <w:sz w:val="22"/>
        </w:rPr>
        <w:tab/>
        <w:t>6</w:t>
      </w:r>
    </w:p>
    <w:p>
      <w:pPr>
        <w:pStyle w:val="toc2"/>
      </w:pPr>
      <w:r>
        <w:rPr>
          <w:rFonts w:ascii="Times New Roman" w:hAnsi="Times New Roman" w:cs="Times New Roman" w:eastAsia="Times New Roman"/>
          <w:b w:val="0"/>
          <w:color w:val="1A1A1A"/>
          <w:sz w:val="22"/>
        </w:rPr>
        <w:t>4.1 Growth and Living Standards</w:t>
      </w:r>
      <w:r>
        <w:rPr>
          <w:rFonts w:ascii="Times New Roman" w:hAnsi="Times New Roman" w:cs="Times New Roman" w:eastAsia="Times New Roman"/>
          <w:b w:val="0"/>
          <w:color w:val="1A1A1A"/>
          <w:sz w:val="22"/>
        </w:rPr>
        <w:tab/>
        <w:t>6</w:t>
      </w:r>
    </w:p>
    <w:p>
      <w:pPr>
        <w:pStyle w:val="toc2"/>
      </w:pPr>
      <w:r>
        <w:rPr>
          <w:rFonts w:ascii="Times New Roman" w:hAnsi="Times New Roman" w:cs="Times New Roman" w:eastAsia="Times New Roman"/>
          <w:b w:val="0"/>
          <w:color w:val="1A1A1A"/>
          <w:sz w:val="22"/>
        </w:rPr>
        <w:t>4.2 Growth and Poverty Reduction: Evidence from Bangladesh</w:t>
      </w:r>
      <w:r>
        <w:rPr>
          <w:rFonts w:ascii="Times New Roman" w:hAnsi="Times New Roman" w:cs="Times New Roman" w:eastAsia="Times New Roman"/>
          <w:b w:val="0"/>
          <w:color w:val="1A1A1A"/>
          <w:sz w:val="22"/>
        </w:rPr>
        <w:tab/>
        <w:t>7</w:t>
      </w:r>
    </w:p>
    <w:p>
      <w:pPr>
        <w:pStyle w:val="toc2"/>
      </w:pPr>
      <w:r>
        <w:rPr>
          <w:rFonts w:ascii="Times New Roman" w:hAnsi="Times New Roman" w:cs="Times New Roman" w:eastAsia="Times New Roman"/>
          <w:b w:val="0"/>
          <w:color w:val="1A1A1A"/>
          <w:sz w:val="22"/>
        </w:rPr>
        <w:t>4.3 Practical Advantages of GDP</w:t>
      </w:r>
      <w:r>
        <w:rPr>
          <w:rFonts w:ascii="Times New Roman" w:hAnsi="Times New Roman" w:cs="Times New Roman" w:eastAsia="Times New Roman"/>
          <w:b w:val="0"/>
          <w:color w:val="1A1A1A"/>
          <w:sz w:val="22"/>
        </w:rPr>
        <w:tab/>
        <w:t>8</w:t>
      </w:r>
    </w:p>
    <w:p>
      <w:pPr>
        <w:pStyle w:val="toc1"/>
      </w:pPr>
      <w:r>
        <w:rPr>
          <w:rFonts w:ascii="Times New Roman" w:hAnsi="Times New Roman" w:cs="Times New Roman" w:eastAsia="Times New Roman"/>
          <w:b/>
          <w:color w:val="1A1A1A"/>
          <w:sz w:val="22"/>
        </w:rPr>
        <w:t>5. Limitations of GDP as a Measure of Well-Being</w:t>
      </w:r>
      <w:r>
        <w:rPr>
          <w:rFonts w:ascii="Times New Roman" w:hAnsi="Times New Roman" w:cs="Times New Roman" w:eastAsia="Times New Roman"/>
          <w:b/>
          <w:color w:val="1A1A1A"/>
          <w:sz w:val="22"/>
        </w:rPr>
        <w:tab/>
        <w:t>8</w:t>
      </w:r>
    </w:p>
    <w:p>
      <w:pPr>
        <w:pStyle w:val="toc2"/>
      </w:pPr>
      <w:r>
        <w:rPr>
          <w:rFonts w:ascii="Times New Roman" w:hAnsi="Times New Roman" w:cs="Times New Roman" w:eastAsia="Times New Roman"/>
          <w:b w:val="0"/>
          <w:color w:val="1A1A1A"/>
          <w:sz w:val="22"/>
        </w:rPr>
        <w:t>5.1 GDP Ignores the Distribution of Income</w:t>
      </w:r>
      <w:r>
        <w:rPr>
          <w:rFonts w:ascii="Times New Roman" w:hAnsi="Times New Roman" w:cs="Times New Roman" w:eastAsia="Times New Roman"/>
          <w:b w:val="0"/>
          <w:color w:val="1A1A1A"/>
          <w:sz w:val="22"/>
        </w:rPr>
        <w:tab/>
        <w:t>8</w:t>
      </w:r>
    </w:p>
    <w:p>
      <w:pPr>
        <w:pStyle w:val="toc2"/>
      </w:pPr>
      <w:r>
        <w:rPr>
          <w:rFonts w:ascii="Times New Roman" w:hAnsi="Times New Roman" w:cs="Times New Roman" w:eastAsia="Times New Roman"/>
          <w:b w:val="0"/>
          <w:color w:val="1A1A1A"/>
          <w:sz w:val="22"/>
        </w:rPr>
        <w:t>5.2 Non-Market and Unpaid Work</w:t>
      </w:r>
      <w:r>
        <w:rPr>
          <w:rFonts w:ascii="Times New Roman" w:hAnsi="Times New Roman" w:cs="Times New Roman" w:eastAsia="Times New Roman"/>
          <w:b w:val="0"/>
          <w:color w:val="1A1A1A"/>
          <w:sz w:val="22"/>
        </w:rPr>
        <w:tab/>
        <w:t>10</w:t>
      </w:r>
    </w:p>
    <w:p>
      <w:pPr>
        <w:pStyle w:val="toc2"/>
      </w:pPr>
      <w:r>
        <w:rPr>
          <w:rFonts w:ascii="Times New Roman" w:hAnsi="Times New Roman" w:cs="Times New Roman" w:eastAsia="Times New Roman"/>
          <w:b w:val="0"/>
          <w:color w:val="1A1A1A"/>
          <w:sz w:val="22"/>
        </w:rPr>
        <w:t>5.3 The Informal Economy</w:t>
      </w:r>
      <w:r>
        <w:rPr>
          <w:rFonts w:ascii="Times New Roman" w:hAnsi="Times New Roman" w:cs="Times New Roman" w:eastAsia="Times New Roman"/>
          <w:b w:val="0"/>
          <w:color w:val="1A1A1A"/>
          <w:sz w:val="22"/>
        </w:rPr>
        <w:tab/>
        <w:t>11</w:t>
      </w:r>
    </w:p>
    <w:p>
      <w:pPr>
        <w:pStyle w:val="toc2"/>
      </w:pPr>
      <w:r>
        <w:rPr>
          <w:rFonts w:ascii="Times New Roman" w:hAnsi="Times New Roman" w:cs="Times New Roman" w:eastAsia="Times New Roman"/>
          <w:b w:val="0"/>
          <w:color w:val="1A1A1A"/>
          <w:sz w:val="22"/>
        </w:rPr>
        <w:t>5.4 Environmental Degradation and Resource Depletion</w:t>
      </w:r>
      <w:r>
        <w:rPr>
          <w:rFonts w:ascii="Times New Roman" w:hAnsi="Times New Roman" w:cs="Times New Roman" w:eastAsia="Times New Roman"/>
          <w:b w:val="0"/>
          <w:color w:val="1A1A1A"/>
          <w:sz w:val="22"/>
        </w:rPr>
        <w:tab/>
        <w:t>11</w:t>
      </w:r>
    </w:p>
    <w:p>
      <w:pPr>
        <w:pStyle w:val="toc2"/>
      </w:pPr>
      <w:r>
        <w:rPr>
          <w:rFonts w:ascii="Times New Roman" w:hAnsi="Times New Roman" w:cs="Times New Roman" w:eastAsia="Times New Roman"/>
          <w:b w:val="0"/>
          <w:color w:val="1A1A1A"/>
          <w:sz w:val="22"/>
        </w:rPr>
        <w:t>5.5 Defensive Expenditure and the Broken-Window Problem</w:t>
      </w:r>
      <w:r>
        <w:rPr>
          <w:rFonts w:ascii="Times New Roman" w:hAnsi="Times New Roman" w:cs="Times New Roman" w:eastAsia="Times New Roman"/>
          <w:b w:val="0"/>
          <w:color w:val="1A1A1A"/>
          <w:sz w:val="22"/>
        </w:rPr>
        <w:tab/>
        <w:t>12</w:t>
      </w:r>
    </w:p>
    <w:p>
      <w:pPr>
        <w:pStyle w:val="toc2"/>
      </w:pPr>
      <w:r>
        <w:rPr>
          <w:rFonts w:ascii="Times New Roman" w:hAnsi="Times New Roman" w:cs="Times New Roman" w:eastAsia="Times New Roman"/>
          <w:b w:val="0"/>
          <w:color w:val="1A1A1A"/>
          <w:sz w:val="22"/>
        </w:rPr>
        <w:t>5.6 Spending More Does Not Always Mean Living Better</w:t>
      </w:r>
      <w:r>
        <w:rPr>
          <w:rFonts w:ascii="Times New Roman" w:hAnsi="Times New Roman" w:cs="Times New Roman" w:eastAsia="Times New Roman"/>
          <w:b w:val="0"/>
          <w:color w:val="1A1A1A"/>
          <w:sz w:val="22"/>
        </w:rPr>
        <w:tab/>
        <w:t>13</w:t>
      </w:r>
    </w:p>
    <w:p>
      <w:pPr>
        <w:pStyle w:val="toc2"/>
      </w:pPr>
      <w:r>
        <w:rPr>
          <w:rFonts w:ascii="Times New Roman" w:hAnsi="Times New Roman" w:cs="Times New Roman" w:eastAsia="Times New Roman"/>
          <w:b w:val="0"/>
          <w:color w:val="1A1A1A"/>
          <w:sz w:val="22"/>
        </w:rPr>
        <w:t>5.7 Happiness and the Easterlin Paradox</w:t>
      </w:r>
      <w:r>
        <w:rPr>
          <w:rFonts w:ascii="Times New Roman" w:hAnsi="Times New Roman" w:cs="Times New Roman" w:eastAsia="Times New Roman"/>
          <w:b w:val="0"/>
          <w:color w:val="1A1A1A"/>
          <w:sz w:val="22"/>
        </w:rPr>
        <w:tab/>
        <w:t>13</w:t>
      </w:r>
    </w:p>
    <w:p>
      <w:pPr>
        <w:pStyle w:val="toc2"/>
      </w:pPr>
      <w:r>
        <w:rPr>
          <w:rFonts w:ascii="Times New Roman" w:hAnsi="Times New Roman" w:cs="Times New Roman" w:eastAsia="Times New Roman"/>
          <w:b w:val="0"/>
          <w:color w:val="1A1A1A"/>
          <w:sz w:val="22"/>
        </w:rPr>
        <w:t>5.8 Quality Change, Free Digital Goods and Leisure</w:t>
      </w:r>
      <w:r>
        <w:rPr>
          <w:rFonts w:ascii="Times New Roman" w:hAnsi="Times New Roman" w:cs="Times New Roman" w:eastAsia="Times New Roman"/>
          <w:b w:val="0"/>
          <w:color w:val="1A1A1A"/>
          <w:sz w:val="22"/>
        </w:rPr>
        <w:tab/>
        <w:t>14</w:t>
      </w:r>
    </w:p>
    <w:p>
      <w:pPr>
        <w:pStyle w:val="toc1"/>
      </w:pPr>
      <w:r>
        <w:rPr>
          <w:rFonts w:ascii="Times New Roman" w:hAnsi="Times New Roman" w:cs="Times New Roman" w:eastAsia="Times New Roman"/>
          <w:b/>
          <w:color w:val="1A1A1A"/>
          <w:sz w:val="22"/>
        </w:rPr>
        <w:t>6. Alternative and Complementary Measures</w:t>
      </w:r>
      <w:r>
        <w:rPr>
          <w:rFonts w:ascii="Times New Roman" w:hAnsi="Times New Roman" w:cs="Times New Roman" w:eastAsia="Times New Roman"/>
          <w:b/>
          <w:color w:val="1A1A1A"/>
          <w:sz w:val="22"/>
        </w:rPr>
        <w:tab/>
        <w:t>15</w:t>
      </w:r>
    </w:p>
    <w:p>
      <w:pPr>
        <w:pStyle w:val="toc2"/>
      </w:pPr>
      <w:r>
        <w:rPr>
          <w:rFonts w:ascii="Times New Roman" w:hAnsi="Times New Roman" w:cs="Times New Roman" w:eastAsia="Times New Roman"/>
          <w:b w:val="0"/>
          <w:color w:val="1A1A1A"/>
          <w:sz w:val="22"/>
        </w:rPr>
        <w:t>6.1 The Human Development Index (HDI)</w:t>
      </w:r>
      <w:r>
        <w:rPr>
          <w:rFonts w:ascii="Times New Roman" w:hAnsi="Times New Roman" w:cs="Times New Roman" w:eastAsia="Times New Roman"/>
          <w:b w:val="0"/>
          <w:color w:val="1A1A1A"/>
          <w:sz w:val="22"/>
        </w:rPr>
        <w:tab/>
        <w:t>15</w:t>
      </w:r>
    </w:p>
    <w:p>
      <w:pPr>
        <w:pStyle w:val="toc2"/>
      </w:pPr>
      <w:r>
        <w:rPr>
          <w:rFonts w:ascii="Times New Roman" w:hAnsi="Times New Roman" w:cs="Times New Roman" w:eastAsia="Times New Roman"/>
          <w:b w:val="0"/>
          <w:color w:val="1A1A1A"/>
          <w:sz w:val="22"/>
        </w:rPr>
        <w:t>6.2 The Genuine Progress Indicator (GPI)</w:t>
      </w:r>
      <w:r>
        <w:rPr>
          <w:rFonts w:ascii="Times New Roman" w:hAnsi="Times New Roman" w:cs="Times New Roman" w:eastAsia="Times New Roman"/>
          <w:b w:val="0"/>
          <w:color w:val="1A1A1A"/>
          <w:sz w:val="22"/>
        </w:rPr>
        <w:tab/>
        <w:t>17</w:t>
      </w:r>
    </w:p>
    <w:p>
      <w:pPr>
        <w:pStyle w:val="toc2"/>
      </w:pPr>
      <w:r>
        <w:rPr>
          <w:rFonts w:ascii="Times New Roman" w:hAnsi="Times New Roman" w:cs="Times New Roman" w:eastAsia="Times New Roman"/>
          <w:b w:val="0"/>
          <w:color w:val="1A1A1A"/>
          <w:sz w:val="22"/>
        </w:rPr>
        <w:t>6.3 Other Measures</w:t>
      </w:r>
      <w:r>
        <w:rPr>
          <w:rFonts w:ascii="Times New Roman" w:hAnsi="Times New Roman" w:cs="Times New Roman" w:eastAsia="Times New Roman"/>
          <w:b w:val="0"/>
          <w:color w:val="1A1A1A"/>
          <w:sz w:val="22"/>
        </w:rPr>
        <w:tab/>
        <w:t>17</w:t>
      </w:r>
    </w:p>
    <w:p>
      <w:pPr>
        <w:pStyle w:val="toc1"/>
      </w:pPr>
      <w:r>
        <w:rPr>
          <w:rFonts w:ascii="Times New Roman" w:hAnsi="Times New Roman" w:cs="Times New Roman" w:eastAsia="Times New Roman"/>
          <w:b/>
          <w:color w:val="1A1A1A"/>
          <w:sz w:val="22"/>
        </w:rPr>
        <w:t>7. Case Study: Bangladesh</w:t>
      </w:r>
      <w:r>
        <w:rPr>
          <w:rFonts w:ascii="Times New Roman" w:hAnsi="Times New Roman" w:cs="Times New Roman" w:eastAsia="Times New Roman"/>
          <w:b/>
          <w:color w:val="1A1A1A"/>
          <w:sz w:val="22"/>
        </w:rPr>
        <w:tab/>
        <w:t>18</w:t>
      </w:r>
    </w:p>
    <w:p>
      <w:pPr>
        <w:pStyle w:val="toc2"/>
      </w:pPr>
      <w:r>
        <w:rPr>
          <w:rFonts w:ascii="Times New Roman" w:hAnsi="Times New Roman" w:cs="Times New Roman" w:eastAsia="Times New Roman"/>
          <w:b w:val="0"/>
          <w:color w:val="1A1A1A"/>
          <w:sz w:val="22"/>
        </w:rPr>
        <w:t>7.1 Growth Performance</w:t>
      </w:r>
      <w:r>
        <w:rPr>
          <w:rFonts w:ascii="Times New Roman" w:hAnsi="Times New Roman" w:cs="Times New Roman" w:eastAsia="Times New Roman"/>
          <w:b w:val="0"/>
          <w:color w:val="1A1A1A"/>
          <w:sz w:val="22"/>
        </w:rPr>
        <w:tab/>
        <w:t>18</w:t>
      </w:r>
    </w:p>
    <w:p>
      <w:pPr>
        <w:pStyle w:val="toc2"/>
      </w:pPr>
      <w:r>
        <w:rPr>
          <w:rFonts w:ascii="Times New Roman" w:hAnsi="Times New Roman" w:cs="Times New Roman" w:eastAsia="Times New Roman"/>
          <w:b w:val="0"/>
          <w:color w:val="1A1A1A"/>
          <w:sz w:val="22"/>
        </w:rPr>
        <w:t>7.2 Human Development Progress</w:t>
      </w:r>
      <w:r>
        <w:rPr>
          <w:rFonts w:ascii="Times New Roman" w:hAnsi="Times New Roman" w:cs="Times New Roman" w:eastAsia="Times New Roman"/>
          <w:b w:val="0"/>
          <w:color w:val="1A1A1A"/>
          <w:sz w:val="22"/>
        </w:rPr>
        <w:tab/>
        <w:t>18</w:t>
      </w:r>
    </w:p>
    <w:p>
      <w:pPr>
        <w:pStyle w:val="toc2"/>
      </w:pPr>
      <w:r>
        <w:rPr>
          <w:rFonts w:ascii="Times New Roman" w:hAnsi="Times New Roman" w:cs="Times New Roman" w:eastAsia="Times New Roman"/>
          <w:b w:val="0"/>
          <w:color w:val="1A1A1A"/>
          <w:sz w:val="22"/>
        </w:rPr>
        <w:t>7.3 What GDP Growth Does Not Show</w:t>
      </w:r>
      <w:r>
        <w:rPr>
          <w:rFonts w:ascii="Times New Roman" w:hAnsi="Times New Roman" w:cs="Times New Roman" w:eastAsia="Times New Roman"/>
          <w:b w:val="0"/>
          <w:color w:val="1A1A1A"/>
          <w:sz w:val="22"/>
        </w:rPr>
        <w:tab/>
        <w:t>19</w:t>
      </w:r>
    </w:p>
    <w:p>
      <w:pPr>
        <w:pStyle w:val="toc1"/>
      </w:pPr>
      <w:r>
        <w:rPr>
          <w:rFonts w:ascii="Times New Roman" w:hAnsi="Times New Roman" w:cs="Times New Roman" w:eastAsia="Times New Roman"/>
          <w:b/>
          <w:color w:val="1A1A1A"/>
          <w:sz w:val="22"/>
        </w:rPr>
        <w:t>8. Comparative Analysis: A Dashboard Approach</w:t>
      </w:r>
      <w:r>
        <w:rPr>
          <w:rFonts w:ascii="Times New Roman" w:hAnsi="Times New Roman" w:cs="Times New Roman" w:eastAsia="Times New Roman"/>
          <w:b/>
          <w:color w:val="1A1A1A"/>
          <w:sz w:val="22"/>
        </w:rPr>
        <w:tab/>
        <w:t>20</w:t>
      </w:r>
    </w:p>
    <w:p>
      <w:pPr>
        <w:pStyle w:val="toc1"/>
      </w:pPr>
      <w:r>
        <w:rPr>
          <w:rFonts w:ascii="Times New Roman" w:hAnsi="Times New Roman" w:cs="Times New Roman" w:eastAsia="Times New Roman"/>
          <w:b/>
          <w:color w:val="1A1A1A"/>
          <w:sz w:val="22"/>
        </w:rPr>
        <w:t>9. Findings and Discussion</w:t>
      </w:r>
      <w:r>
        <w:rPr>
          <w:rFonts w:ascii="Times New Roman" w:hAnsi="Times New Roman" w:cs="Times New Roman" w:eastAsia="Times New Roman"/>
          <w:b/>
          <w:color w:val="1A1A1A"/>
          <w:sz w:val="22"/>
        </w:rPr>
        <w:tab/>
        <w:t>22</w:t>
      </w:r>
    </w:p>
    <w:p>
      <w:pPr>
        <w:pStyle w:val="toc2"/>
      </w:pPr>
      <w:r>
        <w:rPr>
          <w:rFonts w:ascii="Times New Roman" w:hAnsi="Times New Roman" w:cs="Times New Roman" w:eastAsia="Times New Roman"/>
          <w:b w:val="0"/>
          <w:color w:val="1A1A1A"/>
          <w:sz w:val="22"/>
        </w:rPr>
        <w:t>9.1 Key Findings</w:t>
      </w:r>
      <w:r>
        <w:rPr>
          <w:rFonts w:ascii="Times New Roman" w:hAnsi="Times New Roman" w:cs="Times New Roman" w:eastAsia="Times New Roman"/>
          <w:b w:val="0"/>
          <w:color w:val="1A1A1A"/>
          <w:sz w:val="22"/>
        </w:rPr>
        <w:tab/>
        <w:t>22</w:t>
      </w:r>
    </w:p>
    <w:p>
      <w:pPr>
        <w:pStyle w:val="toc2"/>
      </w:pPr>
      <w:r>
        <w:rPr>
          <w:rFonts w:ascii="Times New Roman" w:hAnsi="Times New Roman" w:cs="Times New Roman" w:eastAsia="Times New Roman"/>
          <w:b w:val="0"/>
          <w:color w:val="1A1A1A"/>
          <w:sz w:val="22"/>
        </w:rPr>
        <w:t>9.2 Discussion</w:t>
      </w:r>
      <w:r>
        <w:rPr>
          <w:rFonts w:ascii="Times New Roman" w:hAnsi="Times New Roman" w:cs="Times New Roman" w:eastAsia="Times New Roman"/>
          <w:b w:val="0"/>
          <w:color w:val="1A1A1A"/>
          <w:sz w:val="22"/>
        </w:rPr>
        <w:tab/>
        <w:t>22</w:t>
      </w:r>
    </w:p>
    <w:p>
      <w:pPr>
        <w:pStyle w:val="toc1"/>
      </w:pPr>
      <w:r>
        <w:rPr>
          <w:rFonts w:ascii="Times New Roman" w:hAnsi="Times New Roman" w:cs="Times New Roman" w:eastAsia="Times New Roman"/>
          <w:b/>
          <w:color w:val="1A1A1A"/>
          <w:sz w:val="22"/>
        </w:rPr>
        <w:t>10. Conclusion and Recommendations</w:t>
      </w:r>
      <w:r>
        <w:rPr>
          <w:rFonts w:ascii="Times New Roman" w:hAnsi="Times New Roman" w:cs="Times New Roman" w:eastAsia="Times New Roman"/>
          <w:b/>
          <w:color w:val="1A1A1A"/>
          <w:sz w:val="22"/>
        </w:rPr>
        <w:tab/>
        <w:t>22</w:t>
      </w:r>
    </w:p>
    <w:p>
      <w:pPr>
        <w:pStyle w:val="toc2"/>
      </w:pPr>
      <w:r>
        <w:rPr>
          <w:rFonts w:ascii="Times New Roman" w:hAnsi="Times New Roman" w:cs="Times New Roman" w:eastAsia="Times New Roman"/>
          <w:b w:val="0"/>
          <w:color w:val="1A1A1A"/>
          <w:sz w:val="22"/>
        </w:rPr>
        <w:t>10.1 Conclusion</w:t>
      </w:r>
      <w:r>
        <w:rPr>
          <w:rFonts w:ascii="Times New Roman" w:hAnsi="Times New Roman" w:cs="Times New Roman" w:eastAsia="Times New Roman"/>
          <w:b w:val="0"/>
          <w:color w:val="1A1A1A"/>
          <w:sz w:val="22"/>
        </w:rPr>
        <w:tab/>
        <w:t>22</w:t>
      </w:r>
    </w:p>
    <w:p>
      <w:pPr>
        <w:pStyle w:val="toc2"/>
      </w:pPr>
      <w:r>
        <w:rPr>
          <w:rFonts w:ascii="Times New Roman" w:hAnsi="Times New Roman" w:cs="Times New Roman" w:eastAsia="Times New Roman"/>
          <w:b w:val="0"/>
          <w:color w:val="1A1A1A"/>
          <w:sz w:val="22"/>
        </w:rPr>
        <w:t>10.2 Recommendations</w:t>
      </w:r>
      <w:r>
        <w:rPr>
          <w:rFonts w:ascii="Times New Roman" w:hAnsi="Times New Roman" w:cs="Times New Roman" w:eastAsia="Times New Roman"/>
          <w:b w:val="0"/>
          <w:color w:val="1A1A1A"/>
          <w:sz w:val="22"/>
        </w:rPr>
        <w:tab/>
        <w:t>23</w:t>
      </w:r>
    </w:p>
    <w:p>
      <w:pPr>
        <w:pStyle w:val="toc1"/>
      </w:pPr>
      <w:r>
        <w:rPr>
          <w:rFonts w:ascii="Times New Roman" w:hAnsi="Times New Roman" w:cs="Times New Roman" w:eastAsia="Times New Roman"/>
          <w:b/>
          <w:color w:val="1A1A1A"/>
          <w:sz w:val="22"/>
        </w:rPr>
        <w:t>References</w:t>
      </w:r>
      <w:r>
        <w:rPr>
          <w:rFonts w:ascii="Times New Roman" w:hAnsi="Times New Roman" w:cs="Times New Roman" w:eastAsia="Times New Roman"/>
          <w:b/>
          <w:color w:val="1A1A1A"/>
          <w:sz w:val="22"/>
        </w:rPr>
        <w:tab/>
        <w:t>24</w:t>
      </w:r>
    </w:p>
    <w:p>
      <w:pPr>
        <w:pStyle w:val="toc1"/>
      </w:pPr>
      <w:r>
        <w:rPr>
          <w:rFonts w:ascii="Times New Roman" w:hAnsi="Times New Roman" w:cs="Times New Roman" w:eastAsia="Times New Roman"/>
          <w:b/>
          <w:color w:val="1A1A1A"/>
          <w:sz w:val="22"/>
        </w:rPr>
        <w:t>Appendix A: Glossary of Key Terms</w:t>
      </w:r>
      <w:r>
        <w:rPr>
          <w:rFonts w:ascii="Times New Roman" w:hAnsi="Times New Roman" w:cs="Times New Roman" w:eastAsia="Times New Roman"/>
          <w:b/>
          <w:color w:val="1A1A1A"/>
          <w:sz w:val="22"/>
        </w:rPr>
        <w:tab/>
        <w:t>26</w:t>
      </w:r>
      <w:r>
        <w:fldChar w:fldCharType="end"/>
      </w:r>
    </w:p>
    <w:p>
      <w:r>
        <w:br w:type="page"/>
      </w:r>
    </w:p>
    <w:p>
      <w:pPr>
        <w:spacing w:before="0" w:after="280" w:line="240" w:lineRule="auto"/>
        <w:jc w:val="center"/>
        <w:pBdr>
          <w:bottom w:val="single" w:sz="8" w:space="6" w:color="1F3864"/>
        </w:pBdr>
      </w:pPr>
      <w:r>
        <w:rPr>
          <w:rFonts w:ascii="Times New Roman" w:hAnsi="Times New Roman" w:cs="Times New Roman" w:eastAsia="Times New Roman"/>
          <w:b/>
          <w:caps/>
          <w:color w:val="1F3864"/>
          <w:sz w:val="32"/>
        </w:rPr>
        <w:t>List of Figures</w:t>
      </w:r>
    </w:p>
    <w:p>
      <w:pPr>
        <w:pStyle w:val="tableoffigures"/>
      </w:pPr>
      <w:r>
        <w:fldChar w:fldCharType="begin"/>
      </w:r>
      <w:r>
        <w:instrText xml:space="preserve">TOC \h \z \c "Figure"</w:instrText>
      </w:r>
      <w:r>
        <w:fldChar w:fldCharType="separate"/>
      </w:r>
      <w:r>
        <w:rPr>
          <w:rFonts w:ascii="Times New Roman" w:hAnsi="Times New Roman" w:cs="Times New Roman" w:eastAsia="Times New Roman"/>
          <w:b w:val="0"/>
          <w:color w:val="1A1A1A"/>
          <w:sz w:val="22"/>
        </w:rPr>
        <w:t>Figure 1: Framework of the study</w:t>
      </w:r>
      <w:r>
        <w:rPr>
          <w:rFonts w:ascii="Times New Roman" w:hAnsi="Times New Roman" w:cs="Times New Roman" w:eastAsia="Times New Roman"/>
          <w:b w:val="0"/>
          <w:color w:val="1A1A1A"/>
          <w:sz w:val="22"/>
        </w:rPr>
        <w:tab/>
        <w:t>2</w:t>
      </w:r>
    </w:p>
    <w:p>
      <w:pPr>
        <w:pStyle w:val="tableoffigures"/>
      </w:pPr>
      <w:r>
        <w:rPr>
          <w:rFonts w:ascii="Times New Roman" w:hAnsi="Times New Roman" w:cs="Times New Roman" w:eastAsia="Times New Roman"/>
          <w:b w:val="0"/>
          <w:color w:val="1A1A1A"/>
          <w:sz w:val="22"/>
        </w:rPr>
        <w:t>Figure 2: What GDP counts and what it misses</w:t>
      </w:r>
      <w:r>
        <w:rPr>
          <w:rFonts w:ascii="Times New Roman" w:hAnsi="Times New Roman" w:cs="Times New Roman" w:eastAsia="Times New Roman"/>
          <w:b w:val="0"/>
          <w:color w:val="1A1A1A"/>
          <w:sz w:val="22"/>
        </w:rPr>
        <w:tab/>
        <w:t>6</w:t>
      </w:r>
    </w:p>
    <w:p>
      <w:pPr>
        <w:pStyle w:val="tableoffigures"/>
      </w:pPr>
      <w:r>
        <w:rPr>
          <w:rFonts w:ascii="Times New Roman" w:hAnsi="Times New Roman" w:cs="Times New Roman" w:eastAsia="Times New Roman"/>
          <w:b w:val="0"/>
          <w:color w:val="1A1A1A"/>
          <w:sz w:val="22"/>
        </w:rPr>
        <w:t>Figure 3: GDP per capita and life expectancy (the Preston curve)</w:t>
      </w:r>
      <w:r>
        <w:rPr>
          <w:rFonts w:ascii="Times New Roman" w:hAnsi="Times New Roman" w:cs="Times New Roman" w:eastAsia="Times New Roman"/>
          <w:b w:val="0"/>
          <w:color w:val="1A1A1A"/>
          <w:sz w:val="22"/>
        </w:rPr>
        <w:tab/>
        <w:t>7</w:t>
      </w:r>
    </w:p>
    <w:p>
      <w:pPr>
        <w:pStyle w:val="tableoffigures"/>
      </w:pPr>
      <w:r>
        <w:rPr>
          <w:rFonts w:ascii="Times New Roman" w:hAnsi="Times New Roman" w:cs="Times New Roman" w:eastAsia="Times New Roman"/>
          <w:b w:val="0"/>
          <w:color w:val="1A1A1A"/>
          <w:sz w:val="22"/>
        </w:rPr>
        <w:t>Figure 4: Real GDP growth in Bangladesh, FY2011-FY2024 (%)</w:t>
      </w:r>
      <w:r>
        <w:rPr>
          <w:rFonts w:ascii="Times New Roman" w:hAnsi="Times New Roman" w:cs="Times New Roman" w:eastAsia="Times New Roman"/>
          <w:b w:val="0"/>
          <w:color w:val="1A1A1A"/>
          <w:sz w:val="22"/>
        </w:rPr>
        <w:tab/>
        <w:t>7</w:t>
      </w:r>
    </w:p>
    <w:p>
      <w:pPr>
        <w:pStyle w:val="tableoffigures"/>
      </w:pPr>
      <w:r>
        <w:rPr>
          <w:rFonts w:ascii="Times New Roman" w:hAnsi="Times New Roman" w:cs="Times New Roman" w:eastAsia="Times New Roman"/>
          <w:b w:val="0"/>
          <w:color w:val="1A1A1A"/>
          <w:sz w:val="22"/>
        </w:rPr>
        <w:t>Figure 5: Poverty headcount rates in Bangladesh, 2000-2022</w:t>
      </w:r>
      <w:r>
        <w:rPr>
          <w:rFonts w:ascii="Times New Roman" w:hAnsi="Times New Roman" w:cs="Times New Roman" w:eastAsia="Times New Roman"/>
          <w:b w:val="0"/>
          <w:color w:val="1A1A1A"/>
          <w:sz w:val="22"/>
        </w:rPr>
        <w:tab/>
        <w:t>8</w:t>
      </w:r>
    </w:p>
    <w:p>
      <w:pPr>
        <w:pStyle w:val="tableoffigures"/>
      </w:pPr>
      <w:r>
        <w:rPr>
          <w:rFonts w:ascii="Times New Roman" w:hAnsi="Times New Roman" w:cs="Times New Roman" w:eastAsia="Times New Roman"/>
          <w:b w:val="0"/>
          <w:color w:val="1A1A1A"/>
          <w:sz w:val="22"/>
        </w:rPr>
        <w:t>Figure 6: Income inequality across selected countries (Gini index)</w:t>
      </w:r>
      <w:r>
        <w:rPr>
          <w:rFonts w:ascii="Times New Roman" w:hAnsi="Times New Roman" w:cs="Times New Roman" w:eastAsia="Times New Roman"/>
          <w:b w:val="0"/>
          <w:color w:val="1A1A1A"/>
          <w:sz w:val="22"/>
        </w:rPr>
        <w:tab/>
        <w:t>9</w:t>
      </w:r>
    </w:p>
    <w:p>
      <w:pPr>
        <w:pStyle w:val="tableoffigures"/>
      </w:pPr>
      <w:r>
        <w:rPr>
          <w:rFonts w:ascii="Times New Roman" w:hAnsi="Times New Roman" w:cs="Times New Roman" w:eastAsia="Times New Roman"/>
          <w:b w:val="0"/>
          <w:color w:val="1A1A1A"/>
          <w:sz w:val="22"/>
        </w:rPr>
        <w:t>Figure 7: Global distribution of income and wealth, 2021</w:t>
      </w:r>
      <w:r>
        <w:rPr>
          <w:rFonts w:ascii="Times New Roman" w:hAnsi="Times New Roman" w:cs="Times New Roman" w:eastAsia="Times New Roman"/>
          <w:b w:val="0"/>
          <w:color w:val="1A1A1A"/>
          <w:sz w:val="22"/>
        </w:rPr>
        <w:tab/>
        <w:t>9</w:t>
      </w:r>
    </w:p>
    <w:p>
      <w:pPr>
        <w:pStyle w:val="tableoffigures"/>
      </w:pPr>
      <w:r>
        <w:rPr>
          <w:rFonts w:ascii="Times New Roman" w:hAnsi="Times New Roman" w:cs="Times New Roman" w:eastAsia="Times New Roman"/>
          <w:b w:val="0"/>
          <w:color w:val="1A1A1A"/>
          <w:sz w:val="22"/>
        </w:rPr>
        <w:t>Figure 8: Average income by quintile in Country A and Country B</w:t>
      </w:r>
      <w:r>
        <w:rPr>
          <w:rFonts w:ascii="Times New Roman" w:hAnsi="Times New Roman" w:cs="Times New Roman" w:eastAsia="Times New Roman"/>
          <w:b w:val="0"/>
          <w:color w:val="1A1A1A"/>
          <w:sz w:val="22"/>
        </w:rPr>
        <w:tab/>
        <w:t>10</w:t>
      </w:r>
    </w:p>
    <w:p>
      <w:pPr>
        <w:pStyle w:val="tableoffigures"/>
      </w:pPr>
      <w:r>
        <w:rPr>
          <w:rFonts w:ascii="Times New Roman" w:hAnsi="Times New Roman" w:cs="Times New Roman" w:eastAsia="Times New Roman"/>
          <w:b w:val="0"/>
          <w:color w:val="1A1A1A"/>
          <w:sz w:val="22"/>
        </w:rPr>
        <w:t>Figure 9: World real GDP and global CO₂ emissions, 1990-2022 (index, 1990 = 100)</w:t>
      </w:r>
      <w:r>
        <w:rPr>
          <w:rFonts w:ascii="Times New Roman" w:hAnsi="Times New Roman" w:cs="Times New Roman" w:eastAsia="Times New Roman"/>
          <w:b w:val="0"/>
          <w:color w:val="1A1A1A"/>
          <w:sz w:val="22"/>
        </w:rPr>
        <w:tab/>
        <w:t>11</w:t>
      </w:r>
    </w:p>
    <w:p>
      <w:pPr>
        <w:pStyle w:val="tableoffigures"/>
      </w:pPr>
      <w:r>
        <w:rPr>
          <w:rFonts w:ascii="Times New Roman" w:hAnsi="Times New Roman" w:cs="Times New Roman" w:eastAsia="Times New Roman"/>
          <w:b w:val="0"/>
          <w:color w:val="1A1A1A"/>
          <w:sz w:val="22"/>
        </w:rPr>
        <w:t>Figure 10: GDP, wealth and well-being after a flood (hypothetical)</w:t>
      </w:r>
      <w:r>
        <w:rPr>
          <w:rFonts w:ascii="Times New Roman" w:hAnsi="Times New Roman" w:cs="Times New Roman" w:eastAsia="Times New Roman"/>
          <w:b w:val="0"/>
          <w:color w:val="1A1A1A"/>
          <w:sz w:val="22"/>
        </w:rPr>
        <w:tab/>
        <w:t>13</w:t>
      </w:r>
    </w:p>
    <w:p>
      <w:pPr>
        <w:pStyle w:val="tableoffigures"/>
      </w:pPr>
      <w:r>
        <w:rPr>
          <w:rFonts w:ascii="Times New Roman" w:hAnsi="Times New Roman" w:cs="Times New Roman" w:eastAsia="Times New Roman"/>
          <w:b w:val="0"/>
          <w:color w:val="1A1A1A"/>
          <w:sz w:val="22"/>
        </w:rPr>
        <w:t>Figure 11: Health spending and life expectancy in selected countries, 2021</w:t>
      </w:r>
      <w:r>
        <w:rPr>
          <w:rFonts w:ascii="Times New Roman" w:hAnsi="Times New Roman" w:cs="Times New Roman" w:eastAsia="Times New Roman"/>
          <w:b w:val="0"/>
          <w:color w:val="1A1A1A"/>
          <w:sz w:val="22"/>
        </w:rPr>
        <w:tab/>
        <w:t>13</w:t>
      </w:r>
    </w:p>
    <w:p>
      <w:pPr>
        <w:pStyle w:val="tableoffigures"/>
      </w:pPr>
      <w:r>
        <w:rPr>
          <w:rFonts w:ascii="Times New Roman" w:hAnsi="Times New Roman" w:cs="Times New Roman" w:eastAsia="Times New Roman"/>
          <w:b w:val="0"/>
          <w:color w:val="1A1A1A"/>
          <w:sz w:val="22"/>
        </w:rPr>
        <w:t>Figure 12: United States: GDP per capita and reported happiness, 1972-2018</w:t>
      </w:r>
      <w:r>
        <w:rPr>
          <w:rFonts w:ascii="Times New Roman" w:hAnsi="Times New Roman" w:cs="Times New Roman" w:eastAsia="Times New Roman"/>
          <w:b w:val="0"/>
          <w:color w:val="1A1A1A"/>
          <w:sz w:val="22"/>
        </w:rPr>
        <w:tab/>
        <w:t>14</w:t>
      </w:r>
    </w:p>
    <w:p>
      <w:pPr>
        <w:pStyle w:val="tableoffigures"/>
      </w:pPr>
      <w:r>
        <w:rPr>
          <w:rFonts w:ascii="Times New Roman" w:hAnsi="Times New Roman" w:cs="Times New Roman" w:eastAsia="Times New Roman"/>
          <w:b w:val="0"/>
          <w:color w:val="1A1A1A"/>
          <w:sz w:val="22"/>
        </w:rPr>
        <w:t>Figure 13: GDP per capita and life evaluation across countries</w:t>
      </w:r>
      <w:r>
        <w:rPr>
          <w:rFonts w:ascii="Times New Roman" w:hAnsi="Times New Roman" w:cs="Times New Roman" w:eastAsia="Times New Roman"/>
          <w:b w:val="0"/>
          <w:color w:val="1A1A1A"/>
          <w:sz w:val="22"/>
        </w:rPr>
        <w:tab/>
        <w:t>14</w:t>
      </w:r>
    </w:p>
    <w:p>
      <w:pPr>
        <w:pStyle w:val="tableoffigures"/>
      </w:pPr>
      <w:r>
        <w:rPr>
          <w:rFonts w:ascii="Times New Roman" w:hAnsi="Times New Roman" w:cs="Times New Roman" w:eastAsia="Times New Roman"/>
          <w:b w:val="0"/>
          <w:color w:val="1A1A1A"/>
          <w:sz w:val="22"/>
        </w:rPr>
        <w:t>Figure 14: GDP per capita and Human Development Index, 2022</w:t>
      </w:r>
      <w:r>
        <w:rPr>
          <w:rFonts w:ascii="Times New Roman" w:hAnsi="Times New Roman" w:cs="Times New Roman" w:eastAsia="Times New Roman"/>
          <w:b w:val="0"/>
          <w:color w:val="1A1A1A"/>
          <w:sz w:val="22"/>
        </w:rPr>
        <w:tab/>
        <w:t>16</w:t>
      </w:r>
    </w:p>
    <w:p>
      <w:pPr>
        <w:pStyle w:val="tableoffigures"/>
      </w:pPr>
      <w:r>
        <w:rPr>
          <w:rFonts w:ascii="Times New Roman" w:hAnsi="Times New Roman" w:cs="Times New Roman" w:eastAsia="Times New Roman"/>
          <w:b w:val="0"/>
          <w:color w:val="1A1A1A"/>
          <w:sz w:val="22"/>
        </w:rPr>
        <w:t>Figure 15: GDP per capita compared with the Genuine Progress Indicator (stylised)</w:t>
      </w:r>
      <w:r>
        <w:rPr>
          <w:rFonts w:ascii="Times New Roman" w:hAnsi="Times New Roman" w:cs="Times New Roman" w:eastAsia="Times New Roman"/>
          <w:b w:val="0"/>
          <w:color w:val="1A1A1A"/>
          <w:sz w:val="22"/>
        </w:rPr>
        <w:tab/>
        <w:t>17</w:t>
      </w:r>
    </w:p>
    <w:p>
      <w:pPr>
        <w:pStyle w:val="tableoffigures"/>
      </w:pPr>
      <w:r>
        <w:rPr>
          <w:rFonts w:ascii="Times New Roman" w:hAnsi="Times New Roman" w:cs="Times New Roman" w:eastAsia="Times New Roman"/>
          <w:b w:val="0"/>
          <w:color w:val="1A1A1A"/>
          <w:sz w:val="22"/>
        </w:rPr>
        <w:t>Figure 16: Human Development Index of Bangladesh, 1990-2022</w:t>
      </w:r>
      <w:r>
        <w:rPr>
          <w:rFonts w:ascii="Times New Roman" w:hAnsi="Times New Roman" w:cs="Times New Roman" w:eastAsia="Times New Roman"/>
          <w:b w:val="0"/>
          <w:color w:val="1A1A1A"/>
          <w:sz w:val="22"/>
        </w:rPr>
        <w:tab/>
        <w:t>19</w:t>
      </w:r>
    </w:p>
    <w:p>
      <w:pPr>
        <w:pStyle w:val="tableoffigures"/>
      </w:pPr>
      <w:r>
        <w:rPr>
          <w:rFonts w:ascii="Times New Roman" w:hAnsi="Times New Roman" w:cs="Times New Roman" w:eastAsia="Times New Roman"/>
          <w:b w:val="0"/>
          <w:color w:val="1A1A1A"/>
          <w:sz w:val="22"/>
        </w:rPr>
        <w:t>Figure 17: Well-being dashboard for two hypothetical countries</w:t>
      </w:r>
      <w:r>
        <w:rPr>
          <w:rFonts w:ascii="Times New Roman" w:hAnsi="Times New Roman" w:cs="Times New Roman" w:eastAsia="Times New Roman"/>
          <w:b w:val="0"/>
          <w:color w:val="1A1A1A"/>
          <w:sz w:val="22"/>
        </w:rPr>
        <w:tab/>
        <w:t>21</w:t>
      </w:r>
      <w:r>
        <w:fldChar w:fldCharType="end"/>
      </w:r>
    </w:p>
    <w:p>
      <w:pPr>
        <w:spacing w:before="0" w:after="200" w:line="240" w:lineRule="auto"/>
      </w:pPr>
    </w:p>
    <w:p>
      <w:pPr>
        <w:spacing w:before="0" w:after="280" w:line="240" w:lineRule="auto"/>
        <w:jc w:val="center"/>
        <w:pBdr>
          <w:bottom w:val="single" w:sz="8" w:space="6" w:color="1F3864"/>
        </w:pBdr>
      </w:pPr>
      <w:r>
        <w:rPr>
          <w:rFonts w:ascii="Times New Roman" w:hAnsi="Times New Roman" w:cs="Times New Roman" w:eastAsia="Times New Roman"/>
          <w:b/>
          <w:caps/>
          <w:color w:val="1F3864"/>
          <w:sz w:val="32"/>
        </w:rPr>
        <w:t>List of Tables</w:t>
      </w:r>
    </w:p>
    <w:p>
      <w:pPr>
        <w:pStyle w:val="tableoffigures"/>
      </w:pPr>
      <w:r>
        <w:fldChar w:fldCharType="begin"/>
      </w:r>
      <w:r>
        <w:instrText xml:space="preserve">TOC \h \z \c "Table"</w:instrText>
      </w:r>
      <w:r>
        <w:fldChar w:fldCharType="separate"/>
      </w:r>
      <w:r>
        <w:rPr>
          <w:rFonts w:ascii="Times New Roman" w:hAnsi="Times New Roman" w:cs="Times New Roman" w:eastAsia="Times New Roman"/>
          <w:b w:val="0"/>
          <w:color w:val="1A1A1A"/>
          <w:sz w:val="22"/>
        </w:rPr>
        <w:t>Table 1: Main data sources used in the study</w:t>
      </w:r>
      <w:r>
        <w:rPr>
          <w:rFonts w:ascii="Times New Roman" w:hAnsi="Times New Roman" w:cs="Times New Roman" w:eastAsia="Times New Roman"/>
          <w:b w:val="0"/>
          <w:color w:val="1A1A1A"/>
          <w:sz w:val="22"/>
        </w:rPr>
        <w:tab/>
        <w:t>2</w:t>
      </w:r>
    </w:p>
    <w:p>
      <w:pPr>
        <w:pStyle w:val="tableoffigures"/>
      </w:pPr>
      <w:r>
        <w:rPr>
          <w:rFonts w:ascii="Times New Roman" w:hAnsi="Times New Roman" w:cs="Times New Roman" w:eastAsia="Times New Roman"/>
          <w:b w:val="0"/>
          <w:color w:val="1A1A1A"/>
          <w:sz w:val="22"/>
        </w:rPr>
        <w:t>Table 2: The three approaches to measuring GDP</w:t>
      </w:r>
      <w:r>
        <w:rPr>
          <w:rFonts w:ascii="Times New Roman" w:hAnsi="Times New Roman" w:cs="Times New Roman" w:eastAsia="Times New Roman"/>
          <w:b w:val="0"/>
          <w:color w:val="1A1A1A"/>
          <w:sz w:val="22"/>
        </w:rPr>
        <w:tab/>
        <w:t>3</w:t>
      </w:r>
    </w:p>
    <w:p>
      <w:pPr>
        <w:pStyle w:val="tableoffigures"/>
      </w:pPr>
      <w:r>
        <w:rPr>
          <w:rFonts w:ascii="Times New Roman" w:hAnsi="Times New Roman" w:cs="Times New Roman" w:eastAsia="Times New Roman"/>
          <w:b w:val="0"/>
          <w:color w:val="1A1A1A"/>
          <w:sz w:val="22"/>
        </w:rPr>
        <w:t>Table 3: Hypothetical economy: nominal and real GDP</w:t>
      </w:r>
      <w:r>
        <w:rPr>
          <w:rFonts w:ascii="Times New Roman" w:hAnsi="Times New Roman" w:cs="Times New Roman" w:eastAsia="Times New Roman"/>
          <w:b w:val="0"/>
          <w:color w:val="1A1A1A"/>
          <w:sz w:val="22"/>
        </w:rPr>
        <w:tab/>
        <w:t>4</w:t>
      </w:r>
    </w:p>
    <w:p>
      <w:pPr>
        <w:pStyle w:val="tableoffigures"/>
      </w:pPr>
      <w:r>
        <w:rPr>
          <w:rFonts w:ascii="Times New Roman" w:hAnsi="Times New Roman" w:cs="Times New Roman" w:eastAsia="Times New Roman"/>
          <w:b w:val="0"/>
          <w:color w:val="1A1A1A"/>
          <w:sz w:val="22"/>
        </w:rPr>
        <w:t>Table 4: Dimensions of economic well-being and example indicators</w:t>
      </w:r>
      <w:r>
        <w:rPr>
          <w:rFonts w:ascii="Times New Roman" w:hAnsi="Times New Roman" w:cs="Times New Roman" w:eastAsia="Times New Roman"/>
          <w:b w:val="0"/>
          <w:color w:val="1A1A1A"/>
          <w:sz w:val="22"/>
        </w:rPr>
        <w:tab/>
        <w:t>5</w:t>
      </w:r>
    </w:p>
    <w:p>
      <w:pPr>
        <w:pStyle w:val="tableoffigures"/>
      </w:pPr>
      <w:r>
        <w:rPr>
          <w:rFonts w:ascii="Times New Roman" w:hAnsi="Times New Roman" w:cs="Times New Roman" w:eastAsia="Times New Roman"/>
          <w:b w:val="0"/>
          <w:color w:val="1A1A1A"/>
          <w:sz w:val="22"/>
        </w:rPr>
        <w:t>Table 5: Same GDP, different well-being: Country A and Country B</w:t>
      </w:r>
      <w:r>
        <w:rPr>
          <w:rFonts w:ascii="Times New Roman" w:hAnsi="Times New Roman" w:cs="Times New Roman" w:eastAsia="Times New Roman"/>
          <w:b w:val="0"/>
          <w:color w:val="1A1A1A"/>
          <w:sz w:val="22"/>
        </w:rPr>
        <w:tab/>
        <w:t>10</w:t>
      </w:r>
    </w:p>
    <w:p>
      <w:pPr>
        <w:pStyle w:val="tableoffigures"/>
      </w:pPr>
      <w:r>
        <w:rPr>
          <w:rFonts w:ascii="Times New Roman" w:hAnsi="Times New Roman" w:cs="Times New Roman" w:eastAsia="Times New Roman"/>
          <w:b w:val="0"/>
          <w:color w:val="1A1A1A"/>
          <w:sz w:val="22"/>
        </w:rPr>
        <w:t>Table 6: GDP and well-being after a flood (hypothetical)</w:t>
      </w:r>
      <w:r>
        <w:rPr>
          <w:rFonts w:ascii="Times New Roman" w:hAnsi="Times New Roman" w:cs="Times New Roman" w:eastAsia="Times New Roman"/>
          <w:b w:val="0"/>
          <w:color w:val="1A1A1A"/>
          <w:sz w:val="22"/>
        </w:rPr>
        <w:tab/>
        <w:t>12</w:t>
      </w:r>
    </w:p>
    <w:p>
      <w:pPr>
        <w:pStyle w:val="tableoffigures"/>
      </w:pPr>
      <w:r>
        <w:rPr>
          <w:rFonts w:ascii="Times New Roman" w:hAnsi="Times New Roman" w:cs="Times New Roman" w:eastAsia="Times New Roman"/>
          <w:b w:val="0"/>
          <w:color w:val="1A1A1A"/>
          <w:sz w:val="22"/>
        </w:rPr>
        <w:t>Table 7: Summary of the main limitations of GDP</w:t>
      </w:r>
      <w:r>
        <w:rPr>
          <w:rFonts w:ascii="Times New Roman" w:hAnsi="Times New Roman" w:cs="Times New Roman" w:eastAsia="Times New Roman"/>
          <w:b w:val="0"/>
          <w:color w:val="1A1A1A"/>
          <w:sz w:val="22"/>
        </w:rPr>
        <w:tab/>
        <w:t>15</w:t>
      </w:r>
    </w:p>
    <w:p>
      <w:pPr>
        <w:pStyle w:val="tableoffigures"/>
      </w:pPr>
      <w:r>
        <w:rPr>
          <w:rFonts w:ascii="Times New Roman" w:hAnsi="Times New Roman" w:cs="Times New Roman" w:eastAsia="Times New Roman"/>
          <w:b w:val="0"/>
          <w:color w:val="1A1A1A"/>
          <w:sz w:val="22"/>
        </w:rPr>
        <w:t>Table 8: Calculation of Bangladesh's HDI, 2022</w:t>
      </w:r>
      <w:r>
        <w:rPr>
          <w:rFonts w:ascii="Times New Roman" w:hAnsi="Times New Roman" w:cs="Times New Roman" w:eastAsia="Times New Roman"/>
          <w:b w:val="0"/>
          <w:color w:val="1A1A1A"/>
          <w:sz w:val="22"/>
        </w:rPr>
        <w:tab/>
        <w:t>16</w:t>
      </w:r>
    </w:p>
    <w:p>
      <w:pPr>
        <w:pStyle w:val="tableoffigures"/>
      </w:pPr>
      <w:r>
        <w:rPr>
          <w:rFonts w:ascii="Times New Roman" w:hAnsi="Times New Roman" w:cs="Times New Roman" w:eastAsia="Times New Roman"/>
          <w:b w:val="0"/>
          <w:color w:val="1A1A1A"/>
          <w:sz w:val="22"/>
        </w:rPr>
        <w:t>Table 9: Comparison of GDP with alternative well-being measures</w:t>
      </w:r>
      <w:r>
        <w:rPr>
          <w:rFonts w:ascii="Times New Roman" w:hAnsi="Times New Roman" w:cs="Times New Roman" w:eastAsia="Times New Roman"/>
          <w:b w:val="0"/>
          <w:color w:val="1A1A1A"/>
          <w:sz w:val="22"/>
        </w:rPr>
        <w:tab/>
        <w:t>18</w:t>
      </w:r>
    </w:p>
    <w:p>
      <w:pPr>
        <w:pStyle w:val="tableoffigures"/>
      </w:pPr>
      <w:r>
        <w:rPr>
          <w:rFonts w:ascii="Times New Roman" w:hAnsi="Times New Roman" w:cs="Times New Roman" w:eastAsia="Times New Roman"/>
          <w:b w:val="0"/>
          <w:color w:val="1A1A1A"/>
          <w:sz w:val="22"/>
        </w:rPr>
        <w:t>Table 10: Bangladesh: growth versus broader well-being indicators</w:t>
      </w:r>
      <w:r>
        <w:rPr>
          <w:rFonts w:ascii="Times New Roman" w:hAnsi="Times New Roman" w:cs="Times New Roman" w:eastAsia="Times New Roman"/>
          <w:b w:val="0"/>
          <w:color w:val="1A1A1A"/>
          <w:sz w:val="22"/>
        </w:rPr>
        <w:tab/>
        <w:t>19</w:t>
      </w:r>
    </w:p>
    <w:p>
      <w:pPr>
        <w:pStyle w:val="tableoffigures"/>
      </w:pPr>
      <w:r>
        <w:rPr>
          <w:rFonts w:ascii="Times New Roman" w:hAnsi="Times New Roman" w:cs="Times New Roman" w:eastAsia="Times New Roman"/>
          <w:b w:val="0"/>
          <w:color w:val="1A1A1A"/>
          <w:sz w:val="22"/>
        </w:rPr>
        <w:t>Table 11: Selected countries: GDP per capita compared with well-being indicators</w:t>
      </w:r>
      <w:r>
        <w:rPr>
          <w:rFonts w:ascii="Times New Roman" w:hAnsi="Times New Roman" w:cs="Times New Roman" w:eastAsia="Times New Roman"/>
          <w:b w:val="0"/>
          <w:color w:val="1A1A1A"/>
          <w:sz w:val="22"/>
        </w:rPr>
        <w:tab/>
        <w:t>20</w:t>
      </w:r>
    </w:p>
    <w:p>
      <w:pPr>
        <w:pStyle w:val="tableoffigures"/>
      </w:pPr>
      <w:r>
        <w:rPr>
          <w:rFonts w:ascii="Times New Roman" w:hAnsi="Times New Roman" w:cs="Times New Roman" w:eastAsia="Times New Roman"/>
          <w:b w:val="0"/>
          <w:color w:val="1A1A1A"/>
          <w:sz w:val="22"/>
        </w:rPr>
        <w:t>Table 12: Dashboard scores for two hypothetical countries (0-100)</w:t>
      </w:r>
      <w:r>
        <w:rPr>
          <w:rFonts w:ascii="Times New Roman" w:hAnsi="Times New Roman" w:cs="Times New Roman" w:eastAsia="Times New Roman"/>
          <w:b w:val="0"/>
          <w:color w:val="1A1A1A"/>
          <w:sz w:val="22"/>
        </w:rPr>
        <w:tab/>
        <w:t>21</w:t>
      </w:r>
    </w:p>
    <w:p>
      <w:pPr>
        <w:pStyle w:val="tableoffigures"/>
      </w:pPr>
      <w:r>
        <w:rPr>
          <w:rFonts w:ascii="Times New Roman" w:hAnsi="Times New Roman" w:cs="Times New Roman" w:eastAsia="Times New Roman"/>
          <w:b w:val="0"/>
          <w:color w:val="1A1A1A"/>
          <w:sz w:val="22"/>
        </w:rPr>
        <w:t>Table 13: Glossary of key terms used in the assignment</w:t>
      </w:r>
      <w:r>
        <w:rPr>
          <w:rFonts w:ascii="Times New Roman" w:hAnsi="Times New Roman" w:cs="Times New Roman" w:eastAsia="Times New Roman"/>
          <w:b w:val="0"/>
          <w:color w:val="1A1A1A"/>
          <w:sz w:val="22"/>
        </w:rPr>
        <w:tab/>
        <w:t>26</w:t>
      </w:r>
      <w:r>
        <w:fldChar w:fldCharType="end"/>
      </w:r>
    </w:p>
    <w:p>
      <w:r>
        <w:br w:type="page"/>
      </w:r>
    </w:p>
    <w:p>
      <w:pPr>
        <w:spacing w:before="0" w:after="280" w:line="240" w:lineRule="auto"/>
        <w:jc w:val="center"/>
        <w:pBdr>
          <w:bottom w:val="single" w:sz="8" w:space="6" w:color="1F3864"/>
        </w:pBdr>
      </w:pPr>
      <w:r>
        <w:rPr>
          <w:rFonts w:ascii="Times New Roman" w:hAnsi="Times New Roman" w:cs="Times New Roman" w:eastAsia="Times New Roman"/>
          <w:b/>
          <w:caps/>
          <w:color w:val="1F3864"/>
          <w:sz w:val="32"/>
        </w:rPr>
        <w:t>List of Abbreviations</w:t>
      </w:r>
    </w:p>
    <w:tbl>
      <w:tblPr>
        <w:tblW w:type="dxa" w:w="8505"/>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25" w:type="dxa"/>
          <w:left w:w="80" w:type="dxa"/>
          <w:bottom w:w="25" w:type="dxa"/>
          <w:right w:w="80" w:type="dxa"/>
        </w:tblCellMar>
      </w:tblPr>
      <w:tblGrid>
        <w:gridCol w:w="1701"/>
        <w:gridCol w:w="6804"/>
      </w:tblGrid>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BBS</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Bangladesh Bureau of Statistics</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CO₂</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Carbon dioxide</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GDP</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Gross Domestic Product</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GNH</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Gross National Happiness (Bhutan)</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GNI</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Gross National Income</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GPI</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Genuine Progress Indicator</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HDI</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Human Development Index</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HIES</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Household Income and Expenditure Survey</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ILO</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International Labour Organization</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IHDI</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Inequality-adjusted Human Development Index</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LFS</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Labour Force Survey</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MPI</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Multidimensional Poverty Index</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OECD</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Organisation for Economic Co-operation and Development</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PPP</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Purchasing Power Parity</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SDG</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Sustainable Development Goals</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SEEA</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System of Environmental-Economic Accounting</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SNA</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System of National Accounts</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UNDP</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United Nations Development Programme</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WHR</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World Happiness Report</w:t>
            </w:r>
          </w:p>
        </w:tc>
      </w:tr>
      <w:tr>
        <w:tc>
          <w:tcPr>
            <w:tcW w:type="dxa" w:w="1701"/>
            <w:tcBorders>
              <w:bottom w:val="dotted" w:sz="4" w:space="0" w:color="BFBFBF"/>
            </w:tcBorders>
          </w:tcPr>
          <w:p>
            <w:pPr>
              <w:spacing w:before="20" w:after="20" w:line="276" w:lineRule="auto"/>
            </w:pPr>
            <w:r>
              <w:rPr>
                <w:rFonts w:ascii="Times New Roman" w:hAnsi="Times New Roman" w:cs="Times New Roman" w:eastAsia="Times New Roman"/>
                <w:b/>
                <w:color w:val="1F3864"/>
                <w:sz w:val="23"/>
              </w:rPr>
              <w:t>WIR</w:t>
            </w:r>
          </w:p>
        </w:tc>
        <w:tc>
          <w:tcPr>
            <w:tcW w:type="dxa" w:w="6803"/>
            <w:tcBorders>
              <w:bottom w:val="dotted" w:sz="4" w:space="0" w:color="BFBFBF"/>
            </w:tcBorders>
          </w:tcPr>
          <w:p>
            <w:pPr>
              <w:spacing w:before="20" w:after="20" w:line="276" w:lineRule="auto"/>
            </w:pPr>
            <w:r>
              <w:rPr>
                <w:rFonts w:ascii="Times New Roman" w:hAnsi="Times New Roman" w:cs="Times New Roman" w:eastAsia="Times New Roman"/>
                <w:sz w:val="23"/>
              </w:rPr>
              <w:t>World Inequality Report</w:t>
            </w:r>
          </w:p>
        </w:tc>
      </w:tr>
    </w:tbl>
    <w:p>
      <w:pPr>
        <w:sectPr>
          <w:footerReference w:type="default" r:id="rId11"/>
          <w:headerReference w:type="default" r:id="rId12"/>
          <w:pgSz w:w="11906" w:h="16838"/>
          <w:pgMar w:top="1417" w:right="1417" w:bottom="1247" w:left="1417" w:header="624" w:footer="624" w:gutter="0"/>
          <w:cols w:space="720"/>
          <w:docGrid w:linePitch="360"/>
          <w:pgNumType w:fmt="lowerRoman" w:start="1"/>
        </w:sectPr>
      </w:pPr>
    </w:p>
    <w:p>
      <w:pPr>
        <w:pStyle w:val="Heading1"/>
        <w:pBdr>
          <w:bottom w:val="single" w:sz="8" w:space="4" w:color="1F3864"/>
        </w:pBdr>
      </w:pPr>
      <w:r>
        <w:rPr>
          <w:rFonts w:ascii="Times New Roman" w:hAnsi="Times New Roman" w:cs="Times New Roman" w:eastAsia="Times New Roman"/>
          <w:b/>
          <w:i w:val="0"/>
          <w:color w:val="1F3864"/>
        </w:rPr>
        <w:t>1. Introduction</w:t>
      </w:r>
    </w:p>
    <w:p>
      <w:pPr>
        <w:pStyle w:val="Heading2"/>
      </w:pPr>
      <w:r>
        <w:rPr>
          <w:rFonts w:ascii="Times New Roman" w:hAnsi="Times New Roman" w:cs="Times New Roman" w:eastAsia="Times New Roman"/>
          <w:b/>
          <w:i w:val="0"/>
          <w:color w:val="1F3864"/>
        </w:rPr>
        <w:t>1.1 Background of the Study</w:t>
      </w:r>
    </w:p>
    <w:p>
      <w:pPr>
        <w:spacing w:before="0" w:after="120" w:line="276" w:lineRule="auto"/>
        <w:jc w:val="both"/>
      </w:pPr>
      <w:r>
        <w:rPr>
          <w:rFonts w:ascii="Times New Roman" w:hAnsi="Times New Roman" w:cs="Times New Roman" w:eastAsia="Times New Roman"/>
        </w:rPr>
        <w:t>When a finance minister presents a budget, the first number most people hear is the expected GDP growth rate. A growth rate of 7 per cent is treated as good news and a rate of 3 per cent as a warning. Behind this habit lies an assumption that a bigger economy means a better life for the people who live in it. For much of the twentieth century this assumption was rarely questioned, because rising output usually brought more food, better housing, more schools and longer lives.</w:t>
      </w:r>
    </w:p>
    <w:p>
      <w:pPr>
        <w:spacing w:before="0" w:after="120" w:line="276" w:lineRule="auto"/>
        <w:jc w:val="both"/>
      </w:pPr>
      <w:r>
        <w:rPr>
          <w:rFonts w:ascii="Times New Roman" w:hAnsi="Times New Roman" w:cs="Times New Roman" w:eastAsia="Times New Roman"/>
        </w:rPr>
        <w:t>Over the last few decades, however, economists, statisticians and policymakers have pointed out that GDP can rise while many people feel no better off. Inequality has widened in many countries, climate change and pollution impose costs that GDP does not subtract, and surveys of happiness show that life satisfaction does not always follow income. These concerns led to the influential Stiglitz-Sen-Fitoussi Commission (2009), the OECD Better Life Initiative and the United Nations' “Beyond GDP” work.</w:t>
      </w:r>
    </w:p>
    <w:p>
      <w:pPr>
        <w:spacing w:before="0" w:after="120" w:line="276" w:lineRule="auto"/>
        <w:jc w:val="both"/>
      </w:pPr>
      <w:r>
        <w:rPr>
          <w:rFonts w:ascii="Times New Roman" w:hAnsi="Times New Roman" w:cs="Times New Roman" w:eastAsia="Times New Roman"/>
        </w:rPr>
        <w:t>Bangladesh is a useful example. The country grew at an average of more than 6 per cent a year for over a decade and moved into the lower-middle-income group in 2015. Poverty fell by more than half. At the same time, income inequality rose, most workers remain in informal jobs, and Dhaka regularly ranks among the most polluted cities in the world. These facts raise the question this assignment sets out to answer.</w:t>
      </w:r>
    </w:p>
    <w:p>
      <w:pPr>
        <w:pStyle w:val="Heading2"/>
      </w:pPr>
      <w:r>
        <w:rPr>
          <w:rFonts w:ascii="Times New Roman" w:hAnsi="Times New Roman" w:cs="Times New Roman" w:eastAsia="Times New Roman"/>
          <w:b/>
          <w:i w:val="0"/>
          <w:color w:val="1F3864"/>
        </w:rPr>
        <w:t>1.2 Statement of the Problem</w:t>
      </w:r>
    </w:p>
    <w:p>
      <w:pPr>
        <w:spacing w:before="0" w:after="120" w:line="276" w:lineRule="auto"/>
        <w:jc w:val="both"/>
      </w:pPr>
      <w:r>
        <w:rPr>
          <w:rFonts w:ascii="Times New Roman" w:hAnsi="Times New Roman" w:cs="Times New Roman" w:eastAsia="Times New Roman"/>
        </w:rPr>
        <w:t>GDP measures the market value of all final goods and services produced in a country in a given period. Economic well-being, in contrast, refers to how well people are able to live: their income and consumption, their security, their health, the time they have and the environment around them. The problem is that policy debates often treat the two as the same thing. If GDP is a weak guide to well-being, then policies designed to maximise growth may not maximise welfare, and some may even reduce it.</w:t>
      </w:r>
    </w:p>
    <w:p>
      <w:pPr>
        <w:pStyle w:val="Heading2"/>
      </w:pPr>
      <w:r>
        <w:rPr>
          <w:rFonts w:ascii="Times New Roman" w:hAnsi="Times New Roman" w:cs="Times New Roman" w:eastAsia="Times New Roman"/>
          <w:b/>
          <w:i w:val="0"/>
          <w:color w:val="1F3864"/>
        </w:rPr>
        <w:t>1.3 Objectives of the Study</w:t>
      </w:r>
    </w:p>
    <w:p>
      <w:pPr>
        <w:spacing w:before="0" w:after="120" w:line="276" w:lineRule="auto"/>
        <w:jc w:val="both"/>
      </w:pPr>
      <w:r>
        <w:rPr>
          <w:rFonts w:ascii="Times New Roman" w:hAnsi="Times New Roman" w:cs="Times New Roman" w:eastAsia="Times New Roman"/>
        </w:rPr>
        <w:t>The broad objective is to evaluate whether GDP growth is an adequate measure of economic well-being. The specific objectives are:</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To explain how GDP is measured and what it is designed to capture.</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To define economic well-being and identify its main dimensions.</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To assess the evidence linking GDP growth with well-being outcomes.</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To identify and demonstrate the main limitations of GDP as a welfare measure.</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To compare GDP with alternative measures such as the HDI and GPI.</w:t>
      </w:r>
    </w:p>
    <w:p>
      <w:pPr>
        <w:tabs>
          <w:tab w:pos="510" w:val="left"/>
        </w:tabs>
        <w:spacing w:before="0" w:after="16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To apply the analysis to Bangladesh and suggest practical recommendations.</w:t>
      </w:r>
    </w:p>
    <w:p>
      <w:pPr>
        <w:pStyle w:val="Heading2"/>
      </w:pPr>
      <w:r>
        <w:rPr>
          <w:rFonts w:ascii="Times New Roman" w:hAnsi="Times New Roman" w:cs="Times New Roman" w:eastAsia="Times New Roman"/>
          <w:b/>
          <w:i w:val="0"/>
          <w:color w:val="1F3864"/>
        </w:rPr>
        <w:t>1.4 Research Questions</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1.</w:t>
        <w:tab/>
      </w:r>
      <w:r>
        <w:rPr>
          <w:rFonts w:ascii="Times New Roman" w:hAnsi="Times New Roman" w:cs="Times New Roman" w:eastAsia="Times New Roman"/>
        </w:rPr>
        <w:t>Does an increase in GDP reliably lead to an increase in people's economic well-being?</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2.</w:t>
        <w:tab/>
      </w:r>
      <w:r>
        <w:rPr>
          <w:rFonts w:ascii="Times New Roman" w:hAnsi="Times New Roman" w:cs="Times New Roman" w:eastAsia="Times New Roman"/>
        </w:rPr>
        <w:t>What important aspects of well-being does GDP fail to capture?</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3.</w:t>
        <w:tab/>
      </w:r>
      <w:r>
        <w:rPr>
          <w:rFonts w:ascii="Times New Roman" w:hAnsi="Times New Roman" w:cs="Times New Roman" w:eastAsia="Times New Roman"/>
        </w:rPr>
        <w:t>Which alternative or complementary measures give a fuller picture?</w:t>
      </w:r>
    </w:p>
    <w:p>
      <w:pPr>
        <w:tabs>
          <w:tab w:pos="510" w:val="left"/>
        </w:tabs>
        <w:spacing w:before="0" w:after="160" w:line="276" w:lineRule="auto"/>
        <w:ind w:left="510" w:hanging="340"/>
        <w:jc w:val="both"/>
      </w:pPr>
      <w:r>
        <w:rPr>
          <w:rFonts w:ascii="Times New Roman" w:hAnsi="Times New Roman" w:cs="Times New Roman" w:eastAsia="Times New Roman"/>
          <w:b/>
          <w:color w:val="1F3864"/>
          <w:sz w:val="24"/>
        </w:rPr>
        <w:t>4.</w:t>
        <w:tab/>
      </w:r>
      <w:r>
        <w:rPr>
          <w:rFonts w:ascii="Times New Roman" w:hAnsi="Times New Roman" w:cs="Times New Roman" w:eastAsia="Times New Roman"/>
        </w:rPr>
        <w:t>What does the Bangladesh experience tell us about growth and well-being?</w:t>
      </w:r>
    </w:p>
    <w:p>
      <w:pPr>
        <w:pStyle w:val="Heading2"/>
      </w:pPr>
      <w:r>
        <w:rPr>
          <w:rFonts w:ascii="Times New Roman" w:hAnsi="Times New Roman" w:cs="Times New Roman" w:eastAsia="Times New Roman"/>
          <w:b/>
          <w:i w:val="0"/>
          <w:color w:val="1F3864"/>
        </w:rPr>
        <w:t>1.5 Methodology and Data Sources</w:t>
      </w:r>
    </w:p>
    <w:p>
      <w:pPr>
        <w:spacing w:before="0" w:after="120" w:line="276" w:lineRule="auto"/>
        <w:jc w:val="both"/>
      </w:pPr>
      <w:r>
        <w:rPr>
          <w:rFonts w:ascii="Times New Roman" w:hAnsi="Times New Roman" w:cs="Times New Roman" w:eastAsia="Times New Roman"/>
        </w:rPr>
        <w:t xml:space="preserve">This is a descriptive and analytical study based on </w:t>
      </w:r>
      <w:r>
        <w:rPr>
          <w:rFonts w:ascii="Times New Roman" w:hAnsi="Times New Roman" w:cs="Times New Roman" w:eastAsia="Times New Roman"/>
          <w:b/>
        </w:rPr>
        <w:t>secondary data</w:t>
      </w:r>
      <w:r>
        <w:rPr>
          <w:rFonts w:ascii="Times New Roman" w:hAnsi="Times New Roman" w:cs="Times New Roman" w:eastAsia="Times New Roman"/>
        </w:rPr>
        <w:t xml:space="preserve">. Quantitative data were collected from international and national sources and presented through tables and charts. Simple worked examples (called </w:t>
      </w:r>
      <w:r>
        <w:rPr>
          <w:rFonts w:ascii="Times New Roman" w:hAnsi="Times New Roman" w:cs="Times New Roman" w:eastAsia="Times New Roman"/>
          <w:i/>
        </w:rPr>
        <w:t>demonstrations</w:t>
      </w:r>
      <w:r>
        <w:rPr>
          <w:rFonts w:ascii="Times New Roman" w:hAnsi="Times New Roman" w:cs="Times New Roman" w:eastAsia="Times New Roman"/>
        </w:rPr>
        <w:t>) are used to show how GDP can move differently from well-being. The study follows the steps shown in Figure 1, and Table 1 lists the main data sources.</w:t>
      </w:r>
    </w:p>
    <w:p>
      <w:pPr>
        <w:keepNext/>
        <w:spacing w:before="120" w:after="0" w:line="240" w:lineRule="auto"/>
        <w:jc w:val="center"/>
      </w:pPr>
      <w:r>
        <w:drawing>
          <wp:inline xmlns:a="http://schemas.openxmlformats.org/drawingml/2006/main" xmlns:pic="http://schemas.openxmlformats.org/drawingml/2006/picture">
            <wp:extent cx="4777920" cy="1456683"/>
            <wp:docPr id="3" name="Picture 3"/>
            <wp:cNvGraphicFramePr>
              <a:graphicFrameLocks noChangeAspect="1"/>
            </wp:cNvGraphicFramePr>
            <a:graphic>
              <a:graphicData uri="http://schemas.openxmlformats.org/drawingml/2006/picture">
                <pic:pic>
                  <pic:nvPicPr>
                    <pic:cNvPr id="0" name="f00_framework.png"/>
                    <pic:cNvPicPr/>
                  </pic:nvPicPr>
                  <pic:blipFill>
                    <a:blip r:embed="rId15"/>
                    <a:stretch>
                      <a:fillRect/>
                    </a:stretch>
                  </pic:blipFill>
                  <pic:spPr>
                    <a:xfrm>
                      <a:off x="0" y="0"/>
                      <a:ext cx="4777920" cy="1456683"/>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Framework of the study</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Prepared by the author.</w:t>
      </w: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Main data sources used in the study</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3288"/>
        <w:gridCol w:w="4082"/>
        <w:gridCol w:w="1701"/>
      </w:tblGrid>
      <w:tr>
        <w:trPr>
          <w:tblHeader w:val="true"/>
        </w:trPr>
        <w:tc>
          <w:tcPr>
            <w:tcW w:type="dxa" w:w="328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Source</w:t>
            </w:r>
          </w:p>
        </w:tc>
        <w:tc>
          <w:tcPr>
            <w:tcW w:type="dxa" w:w="4082"/>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Data used</w:t>
            </w:r>
          </w:p>
        </w:tc>
        <w:tc>
          <w:tcPr>
            <w:tcW w:type="dxa" w:w="1701"/>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Period</w:t>
            </w:r>
          </w:p>
        </w:tc>
      </w:tr>
      <w:tr>
        <w:trPr>
          <w:cantSplit w:val="true"/>
        </w:trPr>
        <w:tc>
          <w:tcPr>
            <w:tcW w:type="dxa" w:w="3288"/>
            <w:vAlign w:val="center"/>
          </w:tcPr>
          <w:p>
            <w:pPr>
              <w:spacing w:before="20" w:after="20" w:line="264" w:lineRule="auto"/>
              <w:jc w:val="left"/>
            </w:pPr>
            <w:r>
              <w:rPr>
                <w:rFonts w:ascii="Times New Roman" w:hAnsi="Times New Roman" w:cs="Times New Roman" w:eastAsia="Times New Roman"/>
                <w:sz w:val="20"/>
              </w:rPr>
              <w:t>World Bank, World Development Indicators</w:t>
            </w:r>
          </w:p>
        </w:tc>
        <w:tc>
          <w:tcPr>
            <w:tcW w:type="dxa" w:w="4082"/>
            <w:vAlign w:val="center"/>
          </w:tcPr>
          <w:p>
            <w:pPr>
              <w:spacing w:before="20" w:after="20" w:line="264" w:lineRule="auto"/>
              <w:jc w:val="left"/>
            </w:pPr>
            <w:r>
              <w:rPr>
                <w:rFonts w:ascii="Times New Roman" w:hAnsi="Times New Roman" w:cs="Times New Roman" w:eastAsia="Times New Roman"/>
                <w:sz w:val="20"/>
              </w:rPr>
              <w:t>GDP per capita, life expectancy, Gini index, health spending</w:t>
            </w:r>
          </w:p>
        </w:tc>
        <w:tc>
          <w:tcPr>
            <w:tcW w:type="dxa" w:w="1701"/>
            <w:vAlign w:val="center"/>
          </w:tcPr>
          <w:p>
            <w:pPr>
              <w:spacing w:before="20" w:after="20" w:line="264" w:lineRule="auto"/>
              <w:jc w:val="center"/>
            </w:pPr>
            <w:r>
              <w:rPr>
                <w:rFonts w:ascii="Times New Roman" w:hAnsi="Times New Roman" w:cs="Times New Roman" w:eastAsia="Times New Roman"/>
                <w:sz w:val="20"/>
              </w:rPr>
              <w:t>2010-2023</w:t>
            </w:r>
          </w:p>
        </w:tc>
      </w:tr>
      <w:tr>
        <w:trPr>
          <w:cantSplit w:val="true"/>
        </w:trPr>
        <w:tc>
          <w:tcPr>
            <w:tcW w:type="dxa" w:w="3288"/>
            <w:shd w:val="clear" w:color="auto" w:fill="F2F5FA"/>
            <w:vAlign w:val="center"/>
          </w:tcPr>
          <w:p>
            <w:pPr>
              <w:spacing w:before="20" w:after="20" w:line="264" w:lineRule="auto"/>
              <w:jc w:val="left"/>
            </w:pPr>
            <w:r>
              <w:rPr>
                <w:rFonts w:ascii="Times New Roman" w:hAnsi="Times New Roman" w:cs="Times New Roman" w:eastAsia="Times New Roman"/>
                <w:sz w:val="20"/>
              </w:rPr>
              <w:t>UNDP Human Development Report 2023/24</w:t>
            </w:r>
          </w:p>
        </w:tc>
        <w:tc>
          <w:tcPr>
            <w:tcW w:type="dxa" w:w="4082"/>
            <w:shd w:val="clear" w:color="auto" w:fill="F2F5FA"/>
            <w:vAlign w:val="center"/>
          </w:tcPr>
          <w:p>
            <w:pPr>
              <w:spacing w:before="20" w:after="20" w:line="264" w:lineRule="auto"/>
              <w:jc w:val="left"/>
            </w:pPr>
            <w:r>
              <w:rPr>
                <w:rFonts w:ascii="Times New Roman" w:hAnsi="Times New Roman" w:cs="Times New Roman" w:eastAsia="Times New Roman"/>
                <w:sz w:val="20"/>
              </w:rPr>
              <w:t>HDI values and components</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1990-2022</w:t>
            </w:r>
          </w:p>
        </w:tc>
      </w:tr>
      <w:tr>
        <w:trPr>
          <w:cantSplit w:val="true"/>
        </w:trPr>
        <w:tc>
          <w:tcPr>
            <w:tcW w:type="dxa" w:w="3288"/>
            <w:vAlign w:val="center"/>
          </w:tcPr>
          <w:p>
            <w:pPr>
              <w:spacing w:before="20" w:after="20" w:line="264" w:lineRule="auto"/>
              <w:jc w:val="left"/>
            </w:pPr>
            <w:r>
              <w:rPr>
                <w:rFonts w:ascii="Times New Roman" w:hAnsi="Times New Roman" w:cs="Times New Roman" w:eastAsia="Times New Roman"/>
                <w:sz w:val="20"/>
              </w:rPr>
              <w:t>Bangladesh Bureau of Statistics (BBS)</w:t>
            </w:r>
          </w:p>
        </w:tc>
        <w:tc>
          <w:tcPr>
            <w:tcW w:type="dxa" w:w="4082"/>
            <w:vAlign w:val="center"/>
          </w:tcPr>
          <w:p>
            <w:pPr>
              <w:spacing w:before="20" w:after="20" w:line="264" w:lineRule="auto"/>
              <w:jc w:val="left"/>
            </w:pPr>
            <w:r>
              <w:rPr>
                <w:rFonts w:ascii="Times New Roman" w:hAnsi="Times New Roman" w:cs="Times New Roman" w:eastAsia="Times New Roman"/>
                <w:sz w:val="20"/>
              </w:rPr>
              <w:t>GDP growth, HIES poverty rates, Labour Force Survey</w:t>
            </w:r>
          </w:p>
        </w:tc>
        <w:tc>
          <w:tcPr>
            <w:tcW w:type="dxa" w:w="1701"/>
            <w:vAlign w:val="center"/>
          </w:tcPr>
          <w:p>
            <w:pPr>
              <w:spacing w:before="20" w:after="20" w:line="264" w:lineRule="auto"/>
              <w:jc w:val="center"/>
            </w:pPr>
            <w:r>
              <w:rPr>
                <w:rFonts w:ascii="Times New Roman" w:hAnsi="Times New Roman" w:cs="Times New Roman" w:eastAsia="Times New Roman"/>
                <w:sz w:val="20"/>
              </w:rPr>
              <w:t>2000-2024</w:t>
            </w:r>
          </w:p>
        </w:tc>
      </w:tr>
      <w:tr>
        <w:trPr>
          <w:cantSplit w:val="true"/>
        </w:trPr>
        <w:tc>
          <w:tcPr>
            <w:tcW w:type="dxa" w:w="3288"/>
            <w:shd w:val="clear" w:color="auto" w:fill="F2F5FA"/>
            <w:vAlign w:val="center"/>
          </w:tcPr>
          <w:p>
            <w:pPr>
              <w:spacing w:before="20" w:after="20" w:line="264" w:lineRule="auto"/>
              <w:jc w:val="left"/>
            </w:pPr>
            <w:r>
              <w:rPr>
                <w:rFonts w:ascii="Times New Roman" w:hAnsi="Times New Roman" w:cs="Times New Roman" w:eastAsia="Times New Roman"/>
                <w:sz w:val="20"/>
              </w:rPr>
              <w:t>World Inequality Report 2022</w:t>
            </w:r>
          </w:p>
        </w:tc>
        <w:tc>
          <w:tcPr>
            <w:tcW w:type="dxa" w:w="4082"/>
            <w:shd w:val="clear" w:color="auto" w:fill="F2F5FA"/>
            <w:vAlign w:val="center"/>
          </w:tcPr>
          <w:p>
            <w:pPr>
              <w:spacing w:before="20" w:after="20" w:line="264" w:lineRule="auto"/>
              <w:jc w:val="left"/>
            </w:pPr>
            <w:r>
              <w:rPr>
                <w:rFonts w:ascii="Times New Roman" w:hAnsi="Times New Roman" w:cs="Times New Roman" w:eastAsia="Times New Roman"/>
                <w:sz w:val="20"/>
              </w:rPr>
              <w:t>Global income and wealth shares</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2021</w:t>
            </w:r>
          </w:p>
        </w:tc>
      </w:tr>
      <w:tr>
        <w:trPr>
          <w:cantSplit w:val="true"/>
        </w:trPr>
        <w:tc>
          <w:tcPr>
            <w:tcW w:type="dxa" w:w="3288"/>
            <w:vAlign w:val="center"/>
          </w:tcPr>
          <w:p>
            <w:pPr>
              <w:spacing w:before="20" w:after="20" w:line="264" w:lineRule="auto"/>
              <w:jc w:val="left"/>
            </w:pPr>
            <w:r>
              <w:rPr>
                <w:rFonts w:ascii="Times New Roman" w:hAnsi="Times New Roman" w:cs="Times New Roman" w:eastAsia="Times New Roman"/>
                <w:sz w:val="20"/>
              </w:rPr>
              <w:t>World Happiness Report 2024</w:t>
            </w:r>
          </w:p>
        </w:tc>
        <w:tc>
          <w:tcPr>
            <w:tcW w:type="dxa" w:w="4082"/>
            <w:vAlign w:val="center"/>
          </w:tcPr>
          <w:p>
            <w:pPr>
              <w:spacing w:before="20" w:after="20" w:line="264" w:lineRule="auto"/>
              <w:jc w:val="center"/>
            </w:pPr>
            <w:r>
              <w:rPr>
                <w:rFonts w:ascii="Times New Roman" w:hAnsi="Times New Roman" w:cs="Times New Roman" w:eastAsia="Times New Roman"/>
                <w:sz w:val="20"/>
              </w:rPr>
              <w:t>Life evaluation scores</w:t>
            </w:r>
          </w:p>
        </w:tc>
        <w:tc>
          <w:tcPr>
            <w:tcW w:type="dxa" w:w="1701"/>
            <w:vAlign w:val="center"/>
          </w:tcPr>
          <w:p>
            <w:pPr>
              <w:spacing w:before="20" w:after="20" w:line="264" w:lineRule="auto"/>
              <w:jc w:val="center"/>
            </w:pPr>
            <w:r>
              <w:rPr>
                <w:rFonts w:ascii="Times New Roman" w:hAnsi="Times New Roman" w:cs="Times New Roman" w:eastAsia="Times New Roman"/>
                <w:sz w:val="20"/>
              </w:rPr>
              <w:t>2021-2023</w:t>
            </w:r>
          </w:p>
        </w:tc>
      </w:tr>
      <w:tr>
        <w:trPr>
          <w:cantSplit w:val="true"/>
        </w:trPr>
        <w:tc>
          <w:tcPr>
            <w:tcW w:type="dxa" w:w="3288"/>
            <w:shd w:val="clear" w:color="auto" w:fill="F2F5FA"/>
            <w:vAlign w:val="center"/>
          </w:tcPr>
          <w:p>
            <w:pPr>
              <w:spacing w:before="20" w:after="20" w:line="264" w:lineRule="auto"/>
              <w:jc w:val="left"/>
            </w:pPr>
            <w:r>
              <w:rPr>
                <w:rFonts w:ascii="Times New Roman" w:hAnsi="Times New Roman" w:cs="Times New Roman" w:eastAsia="Times New Roman"/>
                <w:sz w:val="20"/>
              </w:rPr>
              <w:t>Global Carbon Project; World Bank</w:t>
            </w:r>
          </w:p>
        </w:tc>
        <w:tc>
          <w:tcPr>
            <w:tcW w:type="dxa" w:w="4082"/>
            <w:shd w:val="clear" w:color="auto" w:fill="F2F5FA"/>
            <w:vAlign w:val="center"/>
          </w:tcPr>
          <w:p>
            <w:pPr>
              <w:spacing w:before="20" w:after="20" w:line="264" w:lineRule="auto"/>
              <w:jc w:val="left"/>
            </w:pPr>
            <w:r>
              <w:rPr>
                <w:rFonts w:ascii="Times New Roman" w:hAnsi="Times New Roman" w:cs="Times New Roman" w:eastAsia="Times New Roman"/>
                <w:sz w:val="20"/>
              </w:rPr>
              <w:t>CO₂ emissions and world real GDP</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1990-2022</w:t>
            </w:r>
          </w:p>
        </w:tc>
      </w:tr>
      <w:tr>
        <w:trPr>
          <w:cantSplit w:val="true"/>
        </w:trPr>
        <w:tc>
          <w:tcPr>
            <w:tcW w:type="dxa" w:w="3288"/>
            <w:vAlign w:val="center"/>
          </w:tcPr>
          <w:p>
            <w:pPr>
              <w:spacing w:before="20" w:after="20" w:line="264" w:lineRule="auto"/>
              <w:jc w:val="left"/>
            </w:pPr>
            <w:r>
              <w:rPr>
                <w:rFonts w:ascii="Times New Roman" w:hAnsi="Times New Roman" w:cs="Times New Roman" w:eastAsia="Times New Roman"/>
                <w:sz w:val="20"/>
              </w:rPr>
              <w:t>Academic literature</w:t>
            </w:r>
          </w:p>
        </w:tc>
        <w:tc>
          <w:tcPr>
            <w:tcW w:type="dxa" w:w="4082"/>
            <w:vAlign w:val="center"/>
          </w:tcPr>
          <w:p>
            <w:pPr>
              <w:spacing w:before="20" w:after="20" w:line="264" w:lineRule="auto"/>
              <w:jc w:val="left"/>
            </w:pPr>
            <w:r>
              <w:rPr>
                <w:rFonts w:ascii="Times New Roman" w:hAnsi="Times New Roman" w:cs="Times New Roman" w:eastAsia="Times New Roman"/>
                <w:sz w:val="20"/>
              </w:rPr>
              <w:t>GPI, Easterlin paradox, Stiglitz-Sen-Fitoussi report</w:t>
            </w:r>
          </w:p>
        </w:tc>
        <w:tc>
          <w:tcPr>
            <w:tcW w:type="dxa" w:w="1701"/>
            <w:vAlign w:val="center"/>
          </w:tcPr>
          <w:p>
            <w:pPr>
              <w:spacing w:before="20" w:after="20" w:line="264" w:lineRule="auto"/>
              <w:jc w:val="center"/>
            </w:pPr>
            <w:r>
              <w:rPr>
                <w:rFonts w:ascii="Times New Roman" w:hAnsi="Times New Roman" w:cs="Times New Roman" w:eastAsia="Times New Roman"/>
                <w:sz w:val="20"/>
              </w:rPr>
              <w:t>1934-2024</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Compiled by the author.</w:t>
      </w:r>
    </w:p>
    <w:p>
      <w:pPr>
        <w:pStyle w:val="Heading2"/>
      </w:pPr>
      <w:r>
        <w:rPr>
          <w:rFonts w:ascii="Times New Roman" w:hAnsi="Times New Roman" w:cs="Times New Roman" w:eastAsia="Times New Roman"/>
          <w:b/>
          <w:i w:val="0"/>
          <w:color w:val="1F3864"/>
        </w:rPr>
        <w:t>1.6 Scope and Limitations</w:t>
      </w:r>
    </w:p>
    <w:p>
      <w:pPr>
        <w:spacing w:before="0" w:after="120" w:line="276" w:lineRule="auto"/>
        <w:jc w:val="both"/>
      </w:pPr>
      <w:r>
        <w:rPr>
          <w:rFonts w:ascii="Times New Roman" w:hAnsi="Times New Roman" w:cs="Times New Roman" w:eastAsia="Times New Roman"/>
        </w:rPr>
        <w:t xml:space="preserve">The study focuses on the conceptual adequacy of GDP growth as a welfare measure, using global comparisons and Bangladesh as a case study. It does not build an econometric model. Figures are rounded and some cross-country values refer to the latest available year, so small differences from the original databases are possible. Charts marked as </w:t>
      </w:r>
      <w:r>
        <w:rPr>
          <w:rFonts w:ascii="Times New Roman" w:hAnsi="Times New Roman" w:cs="Times New Roman" w:eastAsia="Times New Roman"/>
          <w:i/>
        </w:rPr>
        <w:t>illustrative</w:t>
      </w:r>
      <w:r>
        <w:rPr>
          <w:rFonts w:ascii="Times New Roman" w:hAnsi="Times New Roman" w:cs="Times New Roman" w:eastAsia="Times New Roman"/>
        </w:rPr>
        <w:t xml:space="preserve"> or </w:t>
      </w:r>
      <w:r>
        <w:rPr>
          <w:rFonts w:ascii="Times New Roman" w:hAnsi="Times New Roman" w:cs="Times New Roman" w:eastAsia="Times New Roman"/>
          <w:i/>
        </w:rPr>
        <w:t>stylised</w:t>
      </w:r>
      <w:r>
        <w:rPr>
          <w:rFonts w:ascii="Times New Roman" w:hAnsi="Times New Roman" w:cs="Times New Roman" w:eastAsia="Times New Roman"/>
        </w:rPr>
        <w:t xml:space="preserve"> are designed to explain a concept rather than report exact statistics.</w:t>
      </w:r>
    </w:p>
    <w:p>
      <w:pPr>
        <w:pStyle w:val="Heading1"/>
        <w:pBdr>
          <w:bottom w:val="single" w:sz="8" w:space="4" w:color="1F3864"/>
        </w:pBdr>
      </w:pPr>
      <w:r>
        <w:rPr>
          <w:rFonts w:ascii="Times New Roman" w:hAnsi="Times New Roman" w:cs="Times New Roman" w:eastAsia="Times New Roman"/>
          <w:b/>
          <w:i w:val="0"/>
          <w:color w:val="1F3864"/>
        </w:rPr>
        <w:t>2. Understanding Gross Domestic Product</w:t>
      </w:r>
    </w:p>
    <w:p>
      <w:pPr>
        <w:pStyle w:val="Heading2"/>
      </w:pPr>
      <w:r>
        <w:rPr>
          <w:rFonts w:ascii="Times New Roman" w:hAnsi="Times New Roman" w:cs="Times New Roman" w:eastAsia="Times New Roman"/>
          <w:b/>
          <w:i w:val="0"/>
          <w:color w:val="1F3864"/>
        </w:rPr>
        <w:t>2.1 Definition of GDP</w:t>
      </w:r>
    </w:p>
    <w:p>
      <w:pPr>
        <w:spacing w:before="0" w:after="120" w:line="276" w:lineRule="auto"/>
        <w:jc w:val="both"/>
      </w:pPr>
      <w:r>
        <w:rPr>
          <w:rFonts w:ascii="Times New Roman" w:hAnsi="Times New Roman" w:cs="Times New Roman" w:eastAsia="Times New Roman"/>
        </w:rPr>
        <w:t xml:space="preserve">Gross Domestic Product is </w:t>
      </w:r>
      <w:r>
        <w:rPr>
          <w:rFonts w:ascii="Times New Roman" w:hAnsi="Times New Roman" w:cs="Times New Roman" w:eastAsia="Times New Roman"/>
          <w:b/>
        </w:rPr>
        <w:t>the total market value of all final goods and services produced within a country's borders during a specific period</w:t>
      </w:r>
      <w:r>
        <w:rPr>
          <w:rFonts w:ascii="Times New Roman" w:hAnsi="Times New Roman" w:cs="Times New Roman" w:eastAsia="Times New Roman"/>
        </w:rPr>
        <w:t xml:space="preserve">, usually a quarter or a year (Mankiw, 2021). Each part of the definition matters. </w:t>
      </w:r>
      <w:r>
        <w:rPr>
          <w:rFonts w:ascii="Times New Roman" w:hAnsi="Times New Roman" w:cs="Times New Roman" w:eastAsia="Times New Roman"/>
          <w:i/>
        </w:rPr>
        <w:t>Market value</w:t>
      </w:r>
      <w:r>
        <w:rPr>
          <w:rFonts w:ascii="Times New Roman" w:hAnsi="Times New Roman" w:cs="Times New Roman" w:eastAsia="Times New Roman"/>
        </w:rPr>
        <w:t xml:space="preserve"> means goods are weighted by their prices. </w:t>
      </w:r>
      <w:r>
        <w:rPr>
          <w:rFonts w:ascii="Times New Roman" w:hAnsi="Times New Roman" w:cs="Times New Roman" w:eastAsia="Times New Roman"/>
          <w:i/>
        </w:rPr>
        <w:t>Final</w:t>
      </w:r>
      <w:r>
        <w:rPr>
          <w:rFonts w:ascii="Times New Roman" w:hAnsi="Times New Roman" w:cs="Times New Roman" w:eastAsia="Times New Roman"/>
        </w:rPr>
        <w:t xml:space="preserve"> goods exclude intermediate inputs to avoid double counting. </w:t>
      </w:r>
      <w:r>
        <w:rPr>
          <w:rFonts w:ascii="Times New Roman" w:hAnsi="Times New Roman" w:cs="Times New Roman" w:eastAsia="Times New Roman"/>
          <w:i/>
        </w:rPr>
        <w:t>Within a country</w:t>
      </w:r>
      <w:r>
        <w:rPr>
          <w:rFonts w:ascii="Times New Roman" w:hAnsi="Times New Roman" w:cs="Times New Roman" w:eastAsia="Times New Roman"/>
        </w:rPr>
        <w:t xml:space="preserve"> means production by foreign firms located in Bangladesh counts in Bangladesh's GDP, while income earned by Bangladeshi workers abroad does not (it is part of Gross National Income instead).</w:t>
      </w:r>
    </w:p>
    <w:p>
      <w:pPr>
        <w:pStyle w:val="Heading2"/>
      </w:pPr>
      <w:r>
        <w:rPr>
          <w:rFonts w:ascii="Times New Roman" w:hAnsi="Times New Roman" w:cs="Times New Roman" w:eastAsia="Times New Roman"/>
          <w:b/>
          <w:i w:val="0"/>
          <w:color w:val="1F3864"/>
        </w:rPr>
        <w:t>2.2 Three Approaches to Measuring GDP</w:t>
      </w:r>
    </w:p>
    <w:p>
      <w:pPr>
        <w:spacing w:before="0" w:after="120" w:line="276" w:lineRule="auto"/>
        <w:jc w:val="both"/>
      </w:pPr>
      <w:r>
        <w:rPr>
          <w:rFonts w:ascii="Times New Roman" w:hAnsi="Times New Roman" w:cs="Times New Roman" w:eastAsia="Times New Roman"/>
        </w:rPr>
        <w:t>Because every taka spent by a buyer is a taka of income for a seller, GDP can be measured in three ways that should, in principle, give the same answer (Table 2). The most familiar is the expenditure identity:</w:t>
      </w:r>
    </w:p>
    <w:p>
      <w:pPr>
        <w:spacing w:before="40" w:after="160" w:line="288" w:lineRule="auto"/>
        <w:jc w:val="center"/>
      </w:pPr>
      <w:r>
        <w:rPr>
          <w:rFonts w:ascii="Times New Roman" w:hAnsi="Times New Roman" w:cs="Times New Roman" w:eastAsia="Times New Roman"/>
          <w:i/>
          <w:color w:val="1A1A1A"/>
          <w:sz w:val="24"/>
        </w:rPr>
        <w:t>GDP = C + I + G + (X − M)</w:t>
      </w:r>
    </w:p>
    <w:p>
      <w:pPr>
        <w:spacing w:before="0" w:after="120" w:line="276" w:lineRule="auto"/>
        <w:jc w:val="both"/>
      </w:pPr>
      <w:r>
        <w:rPr>
          <w:rFonts w:ascii="Times New Roman" w:hAnsi="Times New Roman" w:cs="Times New Roman" w:eastAsia="Times New Roman"/>
        </w:rPr>
        <w:t>where C is household consumption, I is investment, G is government purchases, X is exports and M is imports. Each of these items is a flow of spending in the market. Nothing in the formula asks whether the spending made anyone happier, healthier or more secure.</w:t>
      </w: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2</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The three approaches to measuring GDP</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2268"/>
        <w:gridCol w:w="2948"/>
        <w:gridCol w:w="3855"/>
      </w:tblGrid>
      <w:tr>
        <w:trPr>
          <w:tblHeader w:val="true"/>
        </w:trPr>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Approach</w:t>
            </w:r>
          </w:p>
        </w:tc>
        <w:tc>
          <w:tcPr>
            <w:tcW w:type="dxa" w:w="294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What is added up</w:t>
            </w:r>
          </w:p>
        </w:tc>
        <w:tc>
          <w:tcPr>
            <w:tcW w:type="dxa" w:w="3855"/>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Formula / example</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Expenditure approach</w:t>
            </w:r>
          </w:p>
        </w:tc>
        <w:tc>
          <w:tcPr>
            <w:tcW w:type="dxa" w:w="2948"/>
            <w:vAlign w:val="center"/>
          </w:tcPr>
          <w:p>
            <w:pPr>
              <w:spacing w:before="20" w:after="20" w:line="264" w:lineRule="auto"/>
              <w:jc w:val="left"/>
            </w:pPr>
            <w:r>
              <w:rPr>
                <w:rFonts w:ascii="Times New Roman" w:hAnsi="Times New Roman" w:cs="Times New Roman" w:eastAsia="Times New Roman"/>
                <w:sz w:val="20"/>
              </w:rPr>
              <w:t>Spending on final goods and services</w:t>
            </w:r>
          </w:p>
        </w:tc>
        <w:tc>
          <w:tcPr>
            <w:tcW w:type="dxa" w:w="3855"/>
            <w:vAlign w:val="center"/>
          </w:tcPr>
          <w:p>
            <w:pPr>
              <w:spacing w:before="20" w:after="20" w:line="264" w:lineRule="auto"/>
              <w:jc w:val="left"/>
            </w:pPr>
            <w:r>
              <w:rPr>
                <w:rFonts w:ascii="Times New Roman" w:hAnsi="Times New Roman" w:cs="Times New Roman" w:eastAsia="Times New Roman"/>
                <w:sz w:val="20"/>
              </w:rPr>
              <w:t>GDP = C + I + G + (X − M)</w:t>
            </w:r>
          </w:p>
        </w:tc>
      </w:tr>
      <w:tr>
        <w:trPr>
          <w:cantSplit w:val="true"/>
        </w:trPr>
        <w:tc>
          <w:tcPr>
            <w:tcW w:type="dxa" w:w="2268"/>
            <w:shd w:val="clear" w:color="auto" w:fill="F2F5FA"/>
            <w:vAlign w:val="center"/>
          </w:tcPr>
          <w:p>
            <w:pPr>
              <w:spacing w:before="20" w:after="20" w:line="264" w:lineRule="auto"/>
              <w:jc w:val="left"/>
            </w:pPr>
            <w:r>
              <w:rPr>
                <w:rFonts w:ascii="Times New Roman" w:hAnsi="Times New Roman" w:cs="Times New Roman" w:eastAsia="Times New Roman"/>
                <w:sz w:val="20"/>
              </w:rPr>
              <w:t>Income approach</w:t>
            </w:r>
          </w:p>
        </w:tc>
        <w:tc>
          <w:tcPr>
            <w:tcW w:type="dxa" w:w="2948"/>
            <w:shd w:val="clear" w:color="auto" w:fill="F2F5FA"/>
            <w:vAlign w:val="center"/>
          </w:tcPr>
          <w:p>
            <w:pPr>
              <w:spacing w:before="20" w:after="20" w:line="264" w:lineRule="auto"/>
              <w:jc w:val="left"/>
            </w:pPr>
            <w:r>
              <w:rPr>
                <w:rFonts w:ascii="Times New Roman" w:hAnsi="Times New Roman" w:cs="Times New Roman" w:eastAsia="Times New Roman"/>
                <w:sz w:val="20"/>
              </w:rPr>
              <w:t>Incomes earned in production</w:t>
            </w:r>
          </w:p>
        </w:tc>
        <w:tc>
          <w:tcPr>
            <w:tcW w:type="dxa" w:w="3855"/>
            <w:shd w:val="clear" w:color="auto" w:fill="F2F5FA"/>
            <w:vAlign w:val="center"/>
          </w:tcPr>
          <w:p>
            <w:pPr>
              <w:spacing w:before="20" w:after="20" w:line="264" w:lineRule="auto"/>
              <w:jc w:val="left"/>
            </w:pPr>
            <w:r>
              <w:rPr>
                <w:rFonts w:ascii="Times New Roman" w:hAnsi="Times New Roman" w:cs="Times New Roman" w:eastAsia="Times New Roman"/>
                <w:sz w:val="20"/>
              </w:rPr>
              <w:t>Wages + rent + interest + profit + (taxes − subsidies) + depreciation</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Production (value-added) approach</w:t>
            </w:r>
          </w:p>
        </w:tc>
        <w:tc>
          <w:tcPr>
            <w:tcW w:type="dxa" w:w="2948"/>
            <w:vAlign w:val="center"/>
          </w:tcPr>
          <w:p>
            <w:pPr>
              <w:spacing w:before="20" w:after="20" w:line="264" w:lineRule="auto"/>
              <w:jc w:val="left"/>
            </w:pPr>
            <w:r>
              <w:rPr>
                <w:rFonts w:ascii="Times New Roman" w:hAnsi="Times New Roman" w:cs="Times New Roman" w:eastAsia="Times New Roman"/>
                <w:sz w:val="20"/>
              </w:rPr>
              <w:t>Value added at each stage of production</w:t>
            </w:r>
          </w:p>
        </w:tc>
        <w:tc>
          <w:tcPr>
            <w:tcW w:type="dxa" w:w="3855"/>
            <w:vAlign w:val="center"/>
          </w:tcPr>
          <w:p>
            <w:pPr>
              <w:spacing w:before="20" w:after="20" w:line="264" w:lineRule="auto"/>
              <w:jc w:val="left"/>
            </w:pPr>
            <w:r>
              <w:rPr>
                <w:rFonts w:ascii="Times New Roman" w:hAnsi="Times New Roman" w:cs="Times New Roman" w:eastAsia="Times New Roman"/>
                <w:sz w:val="20"/>
              </w:rPr>
              <w:t>GDP = Value of output − Value of intermediate inputs</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Adapted from Mankiw (2021) and the System of National Accounts 2008.</w:t>
      </w:r>
    </w:p>
    <w:p>
      <w:pPr>
        <w:pStyle w:val="Heading2"/>
      </w:pPr>
      <w:r>
        <w:rPr>
          <w:rFonts w:ascii="Times New Roman" w:hAnsi="Times New Roman" w:cs="Times New Roman" w:eastAsia="Times New Roman"/>
          <w:b/>
          <w:i w:val="0"/>
          <w:color w:val="1F3864"/>
        </w:rPr>
        <w:t>2.3 Nominal GDP, Real GDP and GDP per Capita</w:t>
      </w:r>
    </w:p>
    <w:p>
      <w:pPr>
        <w:spacing w:before="0" w:after="120" w:line="276" w:lineRule="auto"/>
        <w:jc w:val="both"/>
      </w:pPr>
      <w:r>
        <w:rPr>
          <w:rFonts w:ascii="Times New Roman" w:hAnsi="Times New Roman" w:cs="Times New Roman" w:eastAsia="Times New Roman"/>
        </w:rPr>
        <w:t xml:space="preserve">Nominal GDP values output at current prices, so it rises with inflation. </w:t>
      </w:r>
      <w:r>
        <w:rPr>
          <w:rFonts w:ascii="Times New Roman" w:hAnsi="Times New Roman" w:cs="Times New Roman" w:eastAsia="Times New Roman"/>
          <w:b/>
        </w:rPr>
        <w:t>Real GDP</w:t>
      </w:r>
      <w:r>
        <w:rPr>
          <w:rFonts w:ascii="Times New Roman" w:hAnsi="Times New Roman" w:cs="Times New Roman" w:eastAsia="Times New Roman"/>
        </w:rPr>
        <w:t xml:space="preserve"> values output at constant base-year prices and therefore measures changes in quantity. The </w:t>
      </w:r>
      <w:r>
        <w:rPr>
          <w:rFonts w:ascii="Times New Roman" w:hAnsi="Times New Roman" w:cs="Times New Roman" w:eastAsia="Times New Roman"/>
          <w:b/>
        </w:rPr>
        <w:t>GDP growth rate</w:t>
      </w:r>
      <w:r>
        <w:rPr>
          <w:rFonts w:ascii="Times New Roman" w:hAnsi="Times New Roman" w:cs="Times New Roman" w:eastAsia="Times New Roman"/>
        </w:rPr>
        <w:t xml:space="preserve"> is the percentage change in real GDP. </w:t>
      </w:r>
      <w:r>
        <w:rPr>
          <w:rFonts w:ascii="Times New Roman" w:hAnsi="Times New Roman" w:cs="Times New Roman" w:eastAsia="Times New Roman"/>
          <w:b/>
        </w:rPr>
        <w:t>GDP per capita</w:t>
      </w:r>
      <w:r>
        <w:rPr>
          <w:rFonts w:ascii="Times New Roman" w:hAnsi="Times New Roman" w:cs="Times New Roman" w:eastAsia="Times New Roman"/>
        </w:rPr>
        <w:t xml:space="preserve"> divides GDP by population and is the version most often used as a rough indicator of average living standards.</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120" w:type="dxa"/>
          <w:left w:w="200" w:type="dxa"/>
          <w:bottom w:w="120" w:type="dxa"/>
          <w:right w:w="200" w:type="dxa"/>
        </w:tblCellMar>
      </w:tblPr>
      <w:tblGrid>
        <w:gridCol w:w="9072"/>
      </w:tblGrid>
      <w:tr>
        <w:trPr>
          <w:cantSplit w:val="true"/>
        </w:trPr>
        <w:tc>
          <w:tcPr>
            <w:tcW w:type="dxa" w:w="9071"/>
            <w:shd w:val="clear" w:color="auto" w:fill="E8EDF6"/>
            <w:tcBorders>
              <w:left w:val="single" w:sz="24" w:space="0" w:color="1F3864"/>
            </w:tcBorders>
          </w:tcPr>
          <w:p>
            <w:pPr>
              <w:keepNext/>
              <w:spacing w:before="0" w:after="80" w:line="276" w:lineRule="auto"/>
            </w:pPr>
            <w:r>
              <w:rPr>
                <w:rFonts w:ascii="Times New Roman" w:hAnsi="Times New Roman" w:cs="Times New Roman" w:eastAsia="Times New Roman"/>
                <w:b/>
                <w:color w:val="1F3864"/>
                <w:sz w:val="23"/>
              </w:rPr>
              <w:t>Demonstration 1: Separating price rises from real growth</w:t>
            </w:r>
          </w:p>
          <w:p>
            <w:pPr>
              <w:spacing w:before="0" w:after="60" w:line="288" w:lineRule="auto"/>
              <w:jc w:val="both"/>
            </w:pPr>
            <w:r>
              <w:rPr>
                <w:rFonts w:ascii="Times New Roman" w:hAnsi="Times New Roman" w:cs="Times New Roman" w:eastAsia="Times New Roman"/>
                <w:sz w:val="22"/>
              </w:rPr>
              <w:t>Consider a simple economy that produces only rice. Table 3 shows its data for two years.</w:t>
            </w:r>
          </w:p>
          <w:p>
            <w:pPr>
              <w:spacing w:before="0" w:after="60" w:line="288" w:lineRule="auto"/>
              <w:jc w:val="both"/>
            </w:pPr>
            <w:r>
              <w:rPr>
                <w:rFonts w:ascii="Times New Roman" w:hAnsi="Times New Roman" w:cs="Times New Roman" w:eastAsia="Times New Roman"/>
                <w:sz w:val="22"/>
              </w:rPr>
              <w:t xml:space="preserve">Nominal GDP growth = (4,664 − 4,000) / 4,000 × 100 = </w:t>
            </w:r>
            <w:r>
              <w:rPr>
                <w:rFonts w:ascii="Times New Roman" w:hAnsi="Times New Roman" w:cs="Times New Roman" w:eastAsia="Times New Roman"/>
                <w:b/>
                <w:sz w:val="22"/>
              </w:rPr>
              <w:t>16.6%</w:t>
            </w:r>
          </w:p>
          <w:p>
            <w:pPr>
              <w:spacing w:before="0" w:after="60" w:line="288" w:lineRule="auto"/>
              <w:jc w:val="both"/>
            </w:pPr>
            <w:r>
              <w:rPr>
                <w:rFonts w:ascii="Times New Roman" w:hAnsi="Times New Roman" w:cs="Times New Roman" w:eastAsia="Times New Roman"/>
                <w:sz w:val="22"/>
              </w:rPr>
              <w:t xml:space="preserve">Real GDP growth (Year 1 prices) = (4,240 − 4,000) / 4,000 × 100 = </w:t>
            </w:r>
            <w:r>
              <w:rPr>
                <w:rFonts w:ascii="Times New Roman" w:hAnsi="Times New Roman" w:cs="Times New Roman" w:eastAsia="Times New Roman"/>
                <w:b/>
                <w:sz w:val="22"/>
              </w:rPr>
              <w:t>6.0%</w:t>
            </w:r>
          </w:p>
          <w:p>
            <w:pPr>
              <w:spacing w:before="0" w:after="60" w:line="288" w:lineRule="auto"/>
              <w:jc w:val="both"/>
            </w:pPr>
            <w:r>
              <w:rPr>
                <w:rFonts w:ascii="Times New Roman" w:hAnsi="Times New Roman" w:cs="Times New Roman" w:eastAsia="Times New Roman"/>
                <w:sz w:val="22"/>
              </w:rPr>
              <w:t xml:space="preserve">Real GDP per capita growth = (24,651 − 23,529) / 23,529 × 100 = </w:t>
            </w:r>
            <w:r>
              <w:rPr>
                <w:rFonts w:ascii="Times New Roman" w:hAnsi="Times New Roman" w:cs="Times New Roman" w:eastAsia="Times New Roman"/>
                <w:b/>
                <w:sz w:val="22"/>
              </w:rPr>
              <w:t>4.8%</w:t>
            </w:r>
          </w:p>
          <w:p>
            <w:pPr>
              <w:spacing w:before="0" w:after="60" w:line="288" w:lineRule="auto"/>
              <w:jc w:val="both"/>
            </w:pPr>
            <w:r>
              <w:rPr>
                <w:rFonts w:ascii="Times New Roman" w:hAnsi="Times New Roman" w:cs="Times New Roman" w:eastAsia="Times New Roman"/>
                <w:b/>
                <w:sz w:val="22"/>
              </w:rPr>
              <w:t>Lesson:</w:t>
            </w:r>
            <w:r>
              <w:rPr>
                <w:rFonts w:ascii="Times New Roman" w:hAnsi="Times New Roman" w:cs="Times New Roman" w:eastAsia="Times New Roman"/>
                <w:sz w:val="22"/>
              </w:rPr>
              <w:t xml:space="preserve"> the headline nominal figure (16.6%) mostly reflects inflation. Even real growth (6%) overstates the gain per person (4.8%) because population also grew. And none of these numbers tells us whether the extra rice reached poor families.</w:t>
            </w:r>
          </w:p>
        </w:tc>
      </w:tr>
    </w:tbl>
    <w:p>
      <w:pPr>
        <w:spacing w:before="0" w:after="120" w:line="240" w:lineRule="auto"/>
      </w:pP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3</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Hypothetical economy: nominal and real GDP</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4536"/>
        <w:gridCol w:w="2268"/>
        <w:gridCol w:w="2268"/>
      </w:tblGrid>
      <w:tr>
        <w:trPr>
          <w:tblHeader w:val="true"/>
        </w:trPr>
        <w:tc>
          <w:tcPr>
            <w:tcW w:type="dxa" w:w="4535"/>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Item</w:t>
            </w:r>
          </w:p>
        </w:tc>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Year 1 (base)</w:t>
            </w:r>
          </w:p>
        </w:tc>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Year 2</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Quantity of rice (million tonnes)</w:t>
            </w:r>
          </w:p>
        </w:tc>
        <w:tc>
          <w:tcPr>
            <w:tcW w:type="dxa" w:w="2268"/>
            <w:vAlign w:val="center"/>
          </w:tcPr>
          <w:p>
            <w:pPr>
              <w:spacing w:before="20" w:after="20" w:line="264" w:lineRule="auto"/>
              <w:jc w:val="center"/>
            </w:pPr>
            <w:r>
              <w:rPr>
                <w:rFonts w:ascii="Times New Roman" w:hAnsi="Times New Roman" w:cs="Times New Roman" w:eastAsia="Times New Roman"/>
                <w:sz w:val="20"/>
              </w:rPr>
              <w:t>100</w:t>
            </w:r>
          </w:p>
        </w:tc>
        <w:tc>
          <w:tcPr>
            <w:tcW w:type="dxa" w:w="2268"/>
            <w:vAlign w:val="center"/>
          </w:tcPr>
          <w:p>
            <w:pPr>
              <w:spacing w:before="20" w:after="20" w:line="264" w:lineRule="auto"/>
              <w:jc w:val="center"/>
            </w:pPr>
            <w:r>
              <w:rPr>
                <w:rFonts w:ascii="Times New Roman" w:hAnsi="Times New Roman" w:cs="Times New Roman" w:eastAsia="Times New Roman"/>
                <w:sz w:val="20"/>
              </w:rPr>
              <w:t>106</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Price of rice (Tk per tonne)</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40,000</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44,000</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Nominal GDP (Tk billion)</w:t>
            </w:r>
          </w:p>
        </w:tc>
        <w:tc>
          <w:tcPr>
            <w:tcW w:type="dxa" w:w="2268"/>
            <w:vAlign w:val="center"/>
          </w:tcPr>
          <w:p>
            <w:pPr>
              <w:spacing w:before="20" w:after="20" w:line="264" w:lineRule="auto"/>
              <w:jc w:val="center"/>
            </w:pPr>
            <w:r>
              <w:rPr>
                <w:rFonts w:ascii="Times New Roman" w:hAnsi="Times New Roman" w:cs="Times New Roman" w:eastAsia="Times New Roman"/>
                <w:sz w:val="20"/>
              </w:rPr>
              <w:t>4,000</w:t>
            </w:r>
          </w:p>
        </w:tc>
        <w:tc>
          <w:tcPr>
            <w:tcW w:type="dxa" w:w="2268"/>
            <w:vAlign w:val="center"/>
          </w:tcPr>
          <w:p>
            <w:pPr>
              <w:spacing w:before="20" w:after="20" w:line="264" w:lineRule="auto"/>
              <w:jc w:val="center"/>
            </w:pPr>
            <w:r>
              <w:rPr>
                <w:rFonts w:ascii="Times New Roman" w:hAnsi="Times New Roman" w:cs="Times New Roman" w:eastAsia="Times New Roman"/>
                <w:sz w:val="20"/>
              </w:rPr>
              <w:t>4,664</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Real GDP at Year 1 prices (Tk billion)</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4,000</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4,240</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Population (million)</w:t>
            </w:r>
          </w:p>
        </w:tc>
        <w:tc>
          <w:tcPr>
            <w:tcW w:type="dxa" w:w="2268"/>
            <w:vAlign w:val="center"/>
          </w:tcPr>
          <w:p>
            <w:pPr>
              <w:spacing w:before="20" w:after="20" w:line="264" w:lineRule="auto"/>
              <w:jc w:val="center"/>
            </w:pPr>
            <w:r>
              <w:rPr>
                <w:rFonts w:ascii="Times New Roman" w:hAnsi="Times New Roman" w:cs="Times New Roman" w:eastAsia="Times New Roman"/>
                <w:sz w:val="20"/>
              </w:rPr>
              <w:t>170</w:t>
            </w:r>
          </w:p>
        </w:tc>
        <w:tc>
          <w:tcPr>
            <w:tcW w:type="dxa" w:w="2268"/>
            <w:vAlign w:val="center"/>
          </w:tcPr>
          <w:p>
            <w:pPr>
              <w:spacing w:before="20" w:after="20" w:line="264" w:lineRule="auto"/>
              <w:jc w:val="center"/>
            </w:pPr>
            <w:r>
              <w:rPr>
                <w:rFonts w:ascii="Times New Roman" w:hAnsi="Times New Roman" w:cs="Times New Roman" w:eastAsia="Times New Roman"/>
                <w:sz w:val="20"/>
              </w:rPr>
              <w:t>172</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Real GDP per capita (Tk)</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23,529</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24,651</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Author's hypothetical example.</w:t>
      </w:r>
    </w:p>
    <w:p>
      <w:pPr>
        <w:pStyle w:val="Heading2"/>
      </w:pPr>
      <w:r>
        <w:rPr>
          <w:rFonts w:ascii="Times New Roman" w:hAnsi="Times New Roman" w:cs="Times New Roman" w:eastAsia="Times New Roman"/>
          <w:b/>
          <w:i w:val="0"/>
          <w:color w:val="1F3864"/>
        </w:rPr>
        <w:t>2.4 How GDP Became the Headline Number</w:t>
      </w:r>
    </w:p>
    <w:p>
      <w:pPr>
        <w:spacing w:before="0" w:after="120" w:line="276" w:lineRule="auto"/>
        <w:jc w:val="both"/>
      </w:pPr>
      <w:r>
        <w:rPr>
          <w:rFonts w:ascii="Times New Roman" w:hAnsi="Times New Roman" w:cs="Times New Roman" w:eastAsia="Times New Roman"/>
        </w:rPr>
        <w:t>Modern national accounts were developed in the 1930s by Simon Kuznets for the United States government, which needed to understand the collapse of output during the Great Depression. During the Second World War, GDP proved useful for planning production, and after the Bretton Woods conference in 1944 it became the standard yardstick for international comparison. The United Nations' System of National Accounts (SNA), first issued in 1953 and last revised in 2008, now provides common rules for all countries.</w:t>
      </w:r>
    </w:p>
    <w:p>
      <w:pPr>
        <w:spacing w:before="0" w:after="120" w:line="276" w:lineRule="auto"/>
        <w:jc w:val="both"/>
      </w:pPr>
      <w:r>
        <w:rPr>
          <w:rFonts w:ascii="Times New Roman" w:hAnsi="Times New Roman" w:cs="Times New Roman" w:eastAsia="Times New Roman"/>
        </w:rPr>
        <w:t>Interestingly, the creator of the measure warned against using it as a welfare index. In his 1934 report to the US Congress, Kuznets wrote:</w:t>
      </w:r>
    </w:p>
    <w:p>
      <w:pPr>
        <w:spacing w:before="40" w:after="40" w:line="300" w:lineRule="auto"/>
        <w:ind w:left="680" w:right="680"/>
        <w:jc w:val="both"/>
      </w:pPr>
      <w:r>
        <w:rPr>
          <w:rFonts w:ascii="Times New Roman" w:hAnsi="Times New Roman" w:cs="Times New Roman" w:eastAsia="Times New Roman"/>
          <w:i/>
          <w:color w:val="1A1A1A"/>
          <w:sz w:val="23"/>
        </w:rPr>
        <w:t>“The welfare of a nation can scarcely be inferred from a measurement of national income.”</w:t>
      </w:r>
    </w:p>
    <w:p>
      <w:pPr>
        <w:spacing w:before="0" w:after="160" w:line="264" w:lineRule="auto"/>
        <w:ind w:right="680"/>
        <w:jc w:val="right"/>
      </w:pPr>
      <w:r>
        <w:rPr>
          <w:rFonts w:ascii="Times New Roman" w:hAnsi="Times New Roman" w:cs="Times New Roman" w:eastAsia="Times New Roman"/>
          <w:color w:val="595959"/>
          <w:sz w:val="21"/>
        </w:rPr>
        <w:t>— Simon Kuznets (1934)</w:t>
      </w:r>
    </w:p>
    <w:p>
      <w:pPr>
        <w:spacing w:before="0" w:after="120" w:line="276" w:lineRule="auto"/>
        <w:jc w:val="both"/>
      </w:pPr>
      <w:r>
        <w:rPr>
          <w:rFonts w:ascii="Times New Roman" w:hAnsi="Times New Roman" w:cs="Times New Roman" w:eastAsia="Times New Roman"/>
        </w:rPr>
        <w:t>Robert F. Kennedy made a similar point in 1968 when he said that the gross national product “measures everything in short, except that which makes life worthwhile.” These warnings form the starting point for the critique developed in this assignment.</w:t>
      </w:r>
    </w:p>
    <w:p>
      <w:pPr>
        <w:pStyle w:val="Heading1"/>
        <w:pBdr>
          <w:bottom w:val="single" w:sz="8" w:space="4" w:color="1F3864"/>
        </w:pBdr>
      </w:pPr>
      <w:r>
        <w:rPr>
          <w:rFonts w:ascii="Times New Roman" w:hAnsi="Times New Roman" w:cs="Times New Roman" w:eastAsia="Times New Roman"/>
          <w:b/>
          <w:i w:val="0"/>
          <w:color w:val="1F3864"/>
        </w:rPr>
        <w:t>3. The Concept of Economic Well-Being</w:t>
      </w:r>
    </w:p>
    <w:p>
      <w:pPr>
        <w:pStyle w:val="Heading2"/>
      </w:pPr>
      <w:r>
        <w:rPr>
          <w:rFonts w:ascii="Times New Roman" w:hAnsi="Times New Roman" w:cs="Times New Roman" w:eastAsia="Times New Roman"/>
          <w:b/>
          <w:i w:val="0"/>
          <w:color w:val="1F3864"/>
        </w:rPr>
        <w:t>3.1 Defining Economic Well-Being</w:t>
      </w:r>
    </w:p>
    <w:p>
      <w:pPr>
        <w:spacing w:before="0" w:after="120" w:line="276" w:lineRule="auto"/>
        <w:jc w:val="both"/>
      </w:pPr>
      <w:r>
        <w:rPr>
          <w:rFonts w:ascii="Times New Roman" w:hAnsi="Times New Roman" w:cs="Times New Roman" w:eastAsia="Times New Roman"/>
        </w:rPr>
        <w:t xml:space="preserve">Economic well-being refers to people's command over the resources they need to live a good life, both now and in the future. The Canadian economists Osberg and Sharpe (2002) describe it through four components: consumption flows, accumulation of wealth for future generations, equality of income, and economic security against risks such as unemployment, illness and old age. Amartya Sen's capability approach goes further and argues that what finally matters is what people are able to </w:t>
      </w:r>
      <w:r>
        <w:rPr>
          <w:rFonts w:ascii="Times New Roman" w:hAnsi="Times New Roman" w:cs="Times New Roman" w:eastAsia="Times New Roman"/>
          <w:i/>
        </w:rPr>
        <w:t>do and be</w:t>
      </w:r>
      <w:r>
        <w:rPr>
          <w:rFonts w:ascii="Times New Roman" w:hAnsi="Times New Roman" w:cs="Times New Roman" w:eastAsia="Times New Roman"/>
        </w:rPr>
        <w:t>, such as being well nourished, educated and able to take part in community life (Sen, 1999).</w:t>
      </w:r>
    </w:p>
    <w:p>
      <w:pPr>
        <w:spacing w:before="0" w:after="120" w:line="276" w:lineRule="auto"/>
        <w:jc w:val="both"/>
      </w:pPr>
      <w:r>
        <w:rPr>
          <w:rFonts w:ascii="Times New Roman" w:hAnsi="Times New Roman" w:cs="Times New Roman" w:eastAsia="Times New Roman"/>
        </w:rPr>
        <w:t xml:space="preserve">Two features separate well-being from GDP. First, well-being is about </w:t>
      </w:r>
      <w:r>
        <w:rPr>
          <w:rFonts w:ascii="Times New Roman" w:hAnsi="Times New Roman" w:cs="Times New Roman" w:eastAsia="Times New Roman"/>
          <w:b/>
        </w:rPr>
        <w:t>people</w:t>
      </w:r>
      <w:r>
        <w:rPr>
          <w:rFonts w:ascii="Times New Roman" w:hAnsi="Times New Roman" w:cs="Times New Roman" w:eastAsia="Times New Roman"/>
        </w:rPr>
        <w:t xml:space="preserve">, not production: it asks how households fare, not how much is made. Second, well-being has a </w:t>
      </w:r>
      <w:r>
        <w:rPr>
          <w:rFonts w:ascii="Times New Roman" w:hAnsi="Times New Roman" w:cs="Times New Roman" w:eastAsia="Times New Roman"/>
          <w:b/>
        </w:rPr>
        <w:t>time dimension</w:t>
      </w:r>
      <w:r>
        <w:rPr>
          <w:rFonts w:ascii="Times New Roman" w:hAnsi="Times New Roman" w:cs="Times New Roman" w:eastAsia="Times New Roman"/>
        </w:rPr>
        <w:t>: a country that grows today by running down its forests or groundwater may reduce the well-being of tomorrow's citizens.</w:t>
      </w:r>
    </w:p>
    <w:p>
      <w:pPr>
        <w:pStyle w:val="Heading2"/>
      </w:pPr>
      <w:r>
        <w:rPr>
          <w:rFonts w:ascii="Times New Roman" w:hAnsi="Times New Roman" w:cs="Times New Roman" w:eastAsia="Times New Roman"/>
          <w:b/>
          <w:i w:val="0"/>
          <w:color w:val="1F3864"/>
        </w:rPr>
        <w:t>3.2 Dimensions of Well-Being</w:t>
      </w:r>
    </w:p>
    <w:p>
      <w:pPr>
        <w:spacing w:before="0" w:after="120" w:line="276" w:lineRule="auto"/>
        <w:jc w:val="both"/>
      </w:pPr>
      <w:r>
        <w:rPr>
          <w:rFonts w:ascii="Times New Roman" w:hAnsi="Times New Roman" w:cs="Times New Roman" w:eastAsia="Times New Roman"/>
        </w:rPr>
        <w:t>Most modern frameworks treat well-being as multi-dimensional. Table 4 brings together the dimensions used by the Stiglitz-Sen-Fitoussi Commission and the OECD Better Life Index, with an example indicator for each.</w:t>
      </w: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4</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Dimensions of economic well-being and example indicators</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2268"/>
        <w:gridCol w:w="3628"/>
        <w:gridCol w:w="3175"/>
      </w:tblGrid>
      <w:tr>
        <w:trPr>
          <w:tblHeader w:val="true"/>
        </w:trPr>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Dimension</w:t>
            </w:r>
          </w:p>
        </w:tc>
        <w:tc>
          <w:tcPr>
            <w:tcW w:type="dxa" w:w="362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What it means</w:t>
            </w:r>
          </w:p>
        </w:tc>
        <w:tc>
          <w:tcPr>
            <w:tcW w:type="dxa" w:w="3175"/>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Example indicator</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Material living standards</w:t>
            </w:r>
          </w:p>
        </w:tc>
        <w:tc>
          <w:tcPr>
            <w:tcW w:type="dxa" w:w="3628"/>
            <w:vAlign w:val="center"/>
          </w:tcPr>
          <w:p>
            <w:pPr>
              <w:spacing w:before="20" w:after="20" w:line="264" w:lineRule="auto"/>
              <w:jc w:val="left"/>
            </w:pPr>
            <w:r>
              <w:rPr>
                <w:rFonts w:ascii="Times New Roman" w:hAnsi="Times New Roman" w:cs="Times New Roman" w:eastAsia="Times New Roman"/>
                <w:sz w:val="20"/>
              </w:rPr>
              <w:t>Income, consumption and wealth of households</w:t>
            </w:r>
          </w:p>
        </w:tc>
        <w:tc>
          <w:tcPr>
            <w:tcW w:type="dxa" w:w="3175"/>
            <w:vAlign w:val="center"/>
          </w:tcPr>
          <w:p>
            <w:pPr>
              <w:spacing w:before="20" w:after="20" w:line="264" w:lineRule="auto"/>
              <w:jc w:val="left"/>
            </w:pPr>
            <w:r>
              <w:rPr>
                <w:rFonts w:ascii="Times New Roman" w:hAnsi="Times New Roman" w:cs="Times New Roman" w:eastAsia="Times New Roman"/>
                <w:sz w:val="20"/>
              </w:rPr>
              <w:t>Median household disposable income</w:t>
            </w:r>
          </w:p>
        </w:tc>
      </w:tr>
      <w:tr>
        <w:trPr>
          <w:cantSplit w:val="true"/>
        </w:trPr>
        <w:tc>
          <w:tcPr>
            <w:tcW w:type="dxa" w:w="2268"/>
            <w:shd w:val="clear" w:color="auto" w:fill="F2F5FA"/>
            <w:vAlign w:val="center"/>
          </w:tcPr>
          <w:p>
            <w:pPr>
              <w:spacing w:before="20" w:after="20" w:line="264" w:lineRule="auto"/>
              <w:jc w:val="left"/>
            </w:pPr>
            <w:r>
              <w:rPr>
                <w:rFonts w:ascii="Times New Roman" w:hAnsi="Times New Roman" w:cs="Times New Roman" w:eastAsia="Times New Roman"/>
                <w:sz w:val="20"/>
              </w:rPr>
              <w:t>Distribution</w:t>
            </w:r>
          </w:p>
        </w:tc>
        <w:tc>
          <w:tcPr>
            <w:tcW w:type="dxa" w:w="3628"/>
            <w:shd w:val="clear" w:color="auto" w:fill="F2F5FA"/>
            <w:vAlign w:val="center"/>
          </w:tcPr>
          <w:p>
            <w:pPr>
              <w:spacing w:before="20" w:after="20" w:line="264" w:lineRule="auto"/>
              <w:jc w:val="left"/>
            </w:pPr>
            <w:r>
              <w:rPr>
                <w:rFonts w:ascii="Times New Roman" w:hAnsi="Times New Roman" w:cs="Times New Roman" w:eastAsia="Times New Roman"/>
                <w:sz w:val="20"/>
              </w:rPr>
              <w:t>How income and wealth are shared</w:t>
            </w:r>
          </w:p>
        </w:tc>
        <w:tc>
          <w:tcPr>
            <w:tcW w:type="dxa" w:w="3175"/>
            <w:shd w:val="clear" w:color="auto" w:fill="F2F5FA"/>
            <w:vAlign w:val="center"/>
          </w:tcPr>
          <w:p>
            <w:pPr>
              <w:spacing w:before="20" w:after="20" w:line="264" w:lineRule="auto"/>
              <w:jc w:val="left"/>
            </w:pPr>
            <w:r>
              <w:rPr>
                <w:rFonts w:ascii="Times New Roman" w:hAnsi="Times New Roman" w:cs="Times New Roman" w:eastAsia="Times New Roman"/>
                <w:sz w:val="20"/>
              </w:rPr>
              <w:t>Gini index, top 10% income share</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Health</w:t>
            </w:r>
          </w:p>
        </w:tc>
        <w:tc>
          <w:tcPr>
            <w:tcW w:type="dxa" w:w="3628"/>
            <w:vAlign w:val="center"/>
          </w:tcPr>
          <w:p>
            <w:pPr>
              <w:spacing w:before="20" w:after="20" w:line="264" w:lineRule="auto"/>
              <w:jc w:val="left"/>
            </w:pPr>
            <w:r>
              <w:rPr>
                <w:rFonts w:ascii="Times New Roman" w:hAnsi="Times New Roman" w:cs="Times New Roman" w:eastAsia="Times New Roman"/>
                <w:sz w:val="20"/>
              </w:rPr>
              <w:t>Length and quality of life</w:t>
            </w:r>
          </w:p>
        </w:tc>
        <w:tc>
          <w:tcPr>
            <w:tcW w:type="dxa" w:w="3175"/>
            <w:vAlign w:val="center"/>
          </w:tcPr>
          <w:p>
            <w:pPr>
              <w:spacing w:before="20" w:after="20" w:line="264" w:lineRule="auto"/>
              <w:jc w:val="left"/>
            </w:pPr>
            <w:r>
              <w:rPr>
                <w:rFonts w:ascii="Times New Roman" w:hAnsi="Times New Roman" w:cs="Times New Roman" w:eastAsia="Times New Roman"/>
                <w:sz w:val="20"/>
              </w:rPr>
              <w:t>Life expectancy, child mortality</w:t>
            </w:r>
          </w:p>
        </w:tc>
      </w:tr>
      <w:tr>
        <w:trPr>
          <w:cantSplit w:val="true"/>
        </w:trPr>
        <w:tc>
          <w:tcPr>
            <w:tcW w:type="dxa" w:w="2268"/>
            <w:shd w:val="clear" w:color="auto" w:fill="F2F5FA"/>
            <w:vAlign w:val="center"/>
          </w:tcPr>
          <w:p>
            <w:pPr>
              <w:spacing w:before="20" w:after="20" w:line="264" w:lineRule="auto"/>
              <w:jc w:val="left"/>
            </w:pPr>
            <w:r>
              <w:rPr>
                <w:rFonts w:ascii="Times New Roman" w:hAnsi="Times New Roman" w:cs="Times New Roman" w:eastAsia="Times New Roman"/>
                <w:sz w:val="20"/>
              </w:rPr>
              <w:t>Education and skills</w:t>
            </w:r>
          </w:p>
        </w:tc>
        <w:tc>
          <w:tcPr>
            <w:tcW w:type="dxa" w:w="3628"/>
            <w:shd w:val="clear" w:color="auto" w:fill="F2F5FA"/>
            <w:vAlign w:val="center"/>
          </w:tcPr>
          <w:p>
            <w:pPr>
              <w:spacing w:before="20" w:after="20" w:line="264" w:lineRule="auto"/>
              <w:jc w:val="left"/>
            </w:pPr>
            <w:r>
              <w:rPr>
                <w:rFonts w:ascii="Times New Roman" w:hAnsi="Times New Roman" w:cs="Times New Roman" w:eastAsia="Times New Roman"/>
                <w:sz w:val="20"/>
              </w:rPr>
              <w:t>Knowledge and capabilities</w:t>
            </w:r>
          </w:p>
        </w:tc>
        <w:tc>
          <w:tcPr>
            <w:tcW w:type="dxa" w:w="3175"/>
            <w:shd w:val="clear" w:color="auto" w:fill="F2F5FA"/>
            <w:vAlign w:val="center"/>
          </w:tcPr>
          <w:p>
            <w:pPr>
              <w:spacing w:before="20" w:after="20" w:line="264" w:lineRule="auto"/>
              <w:jc w:val="left"/>
            </w:pPr>
            <w:r>
              <w:rPr>
                <w:rFonts w:ascii="Times New Roman" w:hAnsi="Times New Roman" w:cs="Times New Roman" w:eastAsia="Times New Roman"/>
                <w:sz w:val="20"/>
              </w:rPr>
              <w:t>Mean years of schooling</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Work and leisure</w:t>
            </w:r>
          </w:p>
        </w:tc>
        <w:tc>
          <w:tcPr>
            <w:tcW w:type="dxa" w:w="3628"/>
            <w:vAlign w:val="center"/>
          </w:tcPr>
          <w:p>
            <w:pPr>
              <w:spacing w:before="20" w:after="20" w:line="264" w:lineRule="auto"/>
              <w:jc w:val="left"/>
            </w:pPr>
            <w:r>
              <w:rPr>
                <w:rFonts w:ascii="Times New Roman" w:hAnsi="Times New Roman" w:cs="Times New Roman" w:eastAsia="Times New Roman"/>
                <w:sz w:val="20"/>
              </w:rPr>
              <w:t>Job quality, working hours, free time</w:t>
            </w:r>
          </w:p>
        </w:tc>
        <w:tc>
          <w:tcPr>
            <w:tcW w:type="dxa" w:w="3175"/>
            <w:vAlign w:val="center"/>
          </w:tcPr>
          <w:p>
            <w:pPr>
              <w:spacing w:before="20" w:after="20" w:line="264" w:lineRule="auto"/>
              <w:jc w:val="left"/>
            </w:pPr>
            <w:r>
              <w:rPr>
                <w:rFonts w:ascii="Times New Roman" w:hAnsi="Times New Roman" w:cs="Times New Roman" w:eastAsia="Times New Roman"/>
                <w:sz w:val="20"/>
              </w:rPr>
              <w:t>Share working over 48 hours a week</w:t>
            </w:r>
          </w:p>
        </w:tc>
      </w:tr>
      <w:tr>
        <w:trPr>
          <w:cantSplit w:val="true"/>
        </w:trPr>
        <w:tc>
          <w:tcPr>
            <w:tcW w:type="dxa" w:w="2268"/>
            <w:shd w:val="clear" w:color="auto" w:fill="F2F5FA"/>
            <w:vAlign w:val="center"/>
          </w:tcPr>
          <w:p>
            <w:pPr>
              <w:spacing w:before="20" w:after="20" w:line="264" w:lineRule="auto"/>
              <w:jc w:val="left"/>
            </w:pPr>
            <w:r>
              <w:rPr>
                <w:rFonts w:ascii="Times New Roman" w:hAnsi="Times New Roman" w:cs="Times New Roman" w:eastAsia="Times New Roman"/>
                <w:sz w:val="20"/>
              </w:rPr>
              <w:t>Security</w:t>
            </w:r>
          </w:p>
        </w:tc>
        <w:tc>
          <w:tcPr>
            <w:tcW w:type="dxa" w:w="3628"/>
            <w:shd w:val="clear" w:color="auto" w:fill="F2F5FA"/>
            <w:vAlign w:val="center"/>
          </w:tcPr>
          <w:p>
            <w:pPr>
              <w:spacing w:before="20" w:after="20" w:line="264" w:lineRule="auto"/>
              <w:jc w:val="left"/>
            </w:pPr>
            <w:r>
              <w:rPr>
                <w:rFonts w:ascii="Times New Roman" w:hAnsi="Times New Roman" w:cs="Times New Roman" w:eastAsia="Times New Roman"/>
                <w:sz w:val="20"/>
              </w:rPr>
              <w:t>Economic and physical safety</w:t>
            </w:r>
          </w:p>
        </w:tc>
        <w:tc>
          <w:tcPr>
            <w:tcW w:type="dxa" w:w="3175"/>
            <w:shd w:val="clear" w:color="auto" w:fill="F2F5FA"/>
            <w:vAlign w:val="center"/>
          </w:tcPr>
          <w:p>
            <w:pPr>
              <w:spacing w:before="20" w:after="20" w:line="264" w:lineRule="auto"/>
              <w:jc w:val="left"/>
            </w:pPr>
            <w:r>
              <w:rPr>
                <w:rFonts w:ascii="Times New Roman" w:hAnsi="Times New Roman" w:cs="Times New Roman" w:eastAsia="Times New Roman"/>
                <w:sz w:val="20"/>
              </w:rPr>
              <w:t>Unemployment rate, crime rate</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Environment</w:t>
            </w:r>
          </w:p>
        </w:tc>
        <w:tc>
          <w:tcPr>
            <w:tcW w:type="dxa" w:w="3628"/>
            <w:vAlign w:val="center"/>
          </w:tcPr>
          <w:p>
            <w:pPr>
              <w:spacing w:before="20" w:after="20" w:line="264" w:lineRule="auto"/>
              <w:jc w:val="left"/>
            </w:pPr>
            <w:r>
              <w:rPr>
                <w:rFonts w:ascii="Times New Roman" w:hAnsi="Times New Roman" w:cs="Times New Roman" w:eastAsia="Times New Roman"/>
                <w:sz w:val="20"/>
              </w:rPr>
              <w:t>Quality and stock of natural resources</w:t>
            </w:r>
          </w:p>
        </w:tc>
        <w:tc>
          <w:tcPr>
            <w:tcW w:type="dxa" w:w="3175"/>
            <w:vAlign w:val="center"/>
          </w:tcPr>
          <w:p>
            <w:pPr>
              <w:spacing w:before="20" w:after="20" w:line="264" w:lineRule="auto"/>
              <w:jc w:val="left"/>
            </w:pPr>
            <w:r>
              <w:rPr>
                <w:rFonts w:ascii="Times New Roman" w:hAnsi="Times New Roman" w:cs="Times New Roman" w:eastAsia="Times New Roman"/>
                <w:sz w:val="20"/>
              </w:rPr>
              <w:t>Air quality (PM2.5), forest cover</w:t>
            </w:r>
          </w:p>
        </w:tc>
      </w:tr>
      <w:tr>
        <w:trPr>
          <w:cantSplit w:val="true"/>
        </w:trPr>
        <w:tc>
          <w:tcPr>
            <w:tcW w:type="dxa" w:w="2268"/>
            <w:shd w:val="clear" w:color="auto" w:fill="F2F5FA"/>
            <w:vAlign w:val="center"/>
          </w:tcPr>
          <w:p>
            <w:pPr>
              <w:spacing w:before="20" w:after="20" w:line="264" w:lineRule="auto"/>
              <w:jc w:val="left"/>
            </w:pPr>
            <w:r>
              <w:rPr>
                <w:rFonts w:ascii="Times New Roman" w:hAnsi="Times New Roman" w:cs="Times New Roman" w:eastAsia="Times New Roman"/>
                <w:sz w:val="20"/>
              </w:rPr>
              <w:t>Subjective well-being</w:t>
            </w:r>
          </w:p>
        </w:tc>
        <w:tc>
          <w:tcPr>
            <w:tcW w:type="dxa" w:w="3628"/>
            <w:shd w:val="clear" w:color="auto" w:fill="F2F5FA"/>
            <w:vAlign w:val="center"/>
          </w:tcPr>
          <w:p>
            <w:pPr>
              <w:spacing w:before="20" w:after="20" w:line="264" w:lineRule="auto"/>
              <w:jc w:val="left"/>
            </w:pPr>
            <w:r>
              <w:rPr>
                <w:rFonts w:ascii="Times New Roman" w:hAnsi="Times New Roman" w:cs="Times New Roman" w:eastAsia="Times New Roman"/>
                <w:sz w:val="20"/>
              </w:rPr>
              <w:t>How people evaluate their own lives</w:t>
            </w:r>
          </w:p>
        </w:tc>
        <w:tc>
          <w:tcPr>
            <w:tcW w:type="dxa" w:w="3175"/>
            <w:shd w:val="clear" w:color="auto" w:fill="F2F5FA"/>
            <w:vAlign w:val="center"/>
          </w:tcPr>
          <w:p>
            <w:pPr>
              <w:spacing w:before="20" w:after="20" w:line="264" w:lineRule="auto"/>
              <w:jc w:val="left"/>
            </w:pPr>
            <w:r>
              <w:rPr>
                <w:rFonts w:ascii="Times New Roman" w:hAnsi="Times New Roman" w:cs="Times New Roman" w:eastAsia="Times New Roman"/>
                <w:sz w:val="20"/>
              </w:rPr>
              <w:t>Life satisfaction score (0-10)</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Based on Stiglitz, Sen and Fitoussi (2009) and the OECD Better Life Index.</w:t>
      </w:r>
    </w:p>
    <w:p>
      <w:pPr>
        <w:pStyle w:val="Heading2"/>
      </w:pPr>
      <w:r>
        <w:rPr>
          <w:rFonts w:ascii="Times New Roman" w:hAnsi="Times New Roman" w:cs="Times New Roman" w:eastAsia="Times New Roman"/>
          <w:b/>
          <w:i w:val="0"/>
          <w:color w:val="1F3864"/>
        </w:rPr>
        <w:t>3.3 The Stiglitz-Sen-Fitoussi Commission</w:t>
      </w:r>
    </w:p>
    <w:p>
      <w:pPr>
        <w:spacing w:before="0" w:after="120" w:line="276" w:lineRule="auto"/>
        <w:jc w:val="both"/>
      </w:pPr>
      <w:r>
        <w:rPr>
          <w:rFonts w:ascii="Times New Roman" w:hAnsi="Times New Roman" w:cs="Times New Roman" w:eastAsia="Times New Roman"/>
        </w:rPr>
        <w:t>In 2008 the French government asked Joseph Stiglitz, Amartya Sen and Jean-Paul Fitoussi to examine the limits of GDP. Their report (2009) made twelve recommendations. The most important for this assignment are:</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 xml:space="preserve">Look at </w:t>
      </w:r>
      <w:r>
        <w:rPr>
          <w:rFonts w:ascii="Times New Roman" w:hAnsi="Times New Roman" w:cs="Times New Roman" w:eastAsia="Times New Roman"/>
          <w:b/>
        </w:rPr>
        <w:t>income and consumption</w:t>
      </w:r>
      <w:r>
        <w:rPr>
          <w:rFonts w:ascii="Times New Roman" w:hAnsi="Times New Roman" w:cs="Times New Roman" w:eastAsia="Times New Roman"/>
        </w:rPr>
        <w:t xml:space="preserve"> rather than production.</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 xml:space="preserve">Consider income and consumption together with </w:t>
      </w:r>
      <w:r>
        <w:rPr>
          <w:rFonts w:ascii="Times New Roman" w:hAnsi="Times New Roman" w:cs="Times New Roman" w:eastAsia="Times New Roman"/>
          <w:b/>
        </w:rPr>
        <w:t>wealth</w:t>
      </w:r>
      <w:r>
        <w:rPr>
          <w:rFonts w:ascii="Times New Roman" w:hAnsi="Times New Roman" w:cs="Times New Roman" w:eastAsia="Times New Roman"/>
        </w:rPr>
        <w:t>.</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 xml:space="preserve">Emphasise the </w:t>
      </w:r>
      <w:r>
        <w:rPr>
          <w:rFonts w:ascii="Times New Roman" w:hAnsi="Times New Roman" w:cs="Times New Roman" w:eastAsia="Times New Roman"/>
          <w:b/>
        </w:rPr>
        <w:t>household perspective</w:t>
      </w:r>
      <w:r>
        <w:rPr>
          <w:rFonts w:ascii="Times New Roman" w:hAnsi="Times New Roman" w:cs="Times New Roman" w:eastAsia="Times New Roman"/>
        </w:rPr>
        <w:t xml:space="preserve"> and give more prominence to the </w:t>
      </w:r>
      <w:r>
        <w:rPr>
          <w:rFonts w:ascii="Times New Roman" w:hAnsi="Times New Roman" w:cs="Times New Roman" w:eastAsia="Times New Roman"/>
          <w:b/>
        </w:rPr>
        <w:t>distribution</w:t>
      </w:r>
      <w:r>
        <w:rPr>
          <w:rFonts w:ascii="Times New Roman" w:hAnsi="Times New Roman" w:cs="Times New Roman" w:eastAsia="Times New Roman"/>
        </w:rPr>
        <w:t xml:space="preserve"> of income.</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 xml:space="preserve">Broaden income measures to </w:t>
      </w:r>
      <w:r>
        <w:rPr>
          <w:rFonts w:ascii="Times New Roman" w:hAnsi="Times New Roman" w:cs="Times New Roman" w:eastAsia="Times New Roman"/>
          <w:b/>
        </w:rPr>
        <w:t>non-market activities</w:t>
      </w:r>
      <w:r>
        <w:rPr>
          <w:rFonts w:ascii="Times New Roman" w:hAnsi="Times New Roman" w:cs="Times New Roman" w:eastAsia="Times New Roman"/>
        </w:rPr>
        <w:t xml:space="preserve"> such as household work.</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 xml:space="preserve">Measure </w:t>
      </w:r>
      <w:r>
        <w:rPr>
          <w:rFonts w:ascii="Times New Roman" w:hAnsi="Times New Roman" w:cs="Times New Roman" w:eastAsia="Times New Roman"/>
          <w:b/>
        </w:rPr>
        <w:t>quality of life</w:t>
      </w:r>
      <w:r>
        <w:rPr>
          <w:rFonts w:ascii="Times New Roman" w:hAnsi="Times New Roman" w:cs="Times New Roman" w:eastAsia="Times New Roman"/>
        </w:rPr>
        <w:t xml:space="preserve"> (health, education, security, social connections) and </w:t>
      </w:r>
      <w:r>
        <w:rPr>
          <w:rFonts w:ascii="Times New Roman" w:hAnsi="Times New Roman" w:cs="Times New Roman" w:eastAsia="Times New Roman"/>
          <w:b/>
        </w:rPr>
        <w:t>subjective well-being</w:t>
      </w:r>
      <w:r>
        <w:rPr>
          <w:rFonts w:ascii="Times New Roman" w:hAnsi="Times New Roman" w:cs="Times New Roman" w:eastAsia="Times New Roman"/>
        </w:rPr>
        <w:t>.</w:t>
      </w:r>
    </w:p>
    <w:p>
      <w:pPr>
        <w:tabs>
          <w:tab w:pos="510" w:val="left"/>
        </w:tabs>
        <w:spacing w:before="0" w:after="16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rPr>
        <w:t xml:space="preserve">Assess </w:t>
      </w:r>
      <w:r>
        <w:rPr>
          <w:rFonts w:ascii="Times New Roman" w:hAnsi="Times New Roman" w:cs="Times New Roman" w:eastAsia="Times New Roman"/>
          <w:b/>
        </w:rPr>
        <w:t>sustainability</w:t>
      </w:r>
      <w:r>
        <w:rPr>
          <w:rFonts w:ascii="Times New Roman" w:hAnsi="Times New Roman" w:cs="Times New Roman" w:eastAsia="Times New Roman"/>
        </w:rPr>
        <w:t xml:space="preserve"> separately, through stocks of natural, physical and human capital.</w:t>
      </w:r>
    </w:p>
    <w:p>
      <w:pPr>
        <w:pStyle w:val="Heading2"/>
      </w:pPr>
      <w:r>
        <w:rPr>
          <w:rFonts w:ascii="Times New Roman" w:hAnsi="Times New Roman" w:cs="Times New Roman" w:eastAsia="Times New Roman"/>
          <w:b/>
          <w:i w:val="0"/>
          <w:color w:val="1F3864"/>
        </w:rPr>
        <w:t>3.4 GDP and Well-Being: A Conceptual Comparison</w:t>
      </w:r>
    </w:p>
    <w:p>
      <w:pPr>
        <w:spacing w:before="0" w:after="120" w:line="276" w:lineRule="auto"/>
        <w:jc w:val="both"/>
      </w:pPr>
      <w:r>
        <w:rPr>
          <w:rFonts w:ascii="Times New Roman" w:hAnsi="Times New Roman" w:cs="Times New Roman" w:eastAsia="Times New Roman"/>
        </w:rPr>
        <w:t>Figure 2 summarises the gap. The left panel shows items that GDP counts, including some that reflect harm rather than benefit. The right panel shows items that matter for well-being but are missing or mis-valued in GDP. The rest of this assignment examines both panels with evidence.</w:t>
      </w:r>
    </w:p>
    <w:p>
      <w:pPr>
        <w:keepNext/>
        <w:spacing w:before="120" w:after="0" w:line="240" w:lineRule="auto"/>
        <w:jc w:val="center"/>
      </w:pPr>
      <w:r>
        <w:drawing>
          <wp:inline xmlns:a="http://schemas.openxmlformats.org/drawingml/2006/main" xmlns:pic="http://schemas.openxmlformats.org/drawingml/2006/picture">
            <wp:extent cx="4536000" cy="2573136"/>
            <wp:docPr id="4" name="Picture 4"/>
            <wp:cNvGraphicFramePr>
              <a:graphicFrameLocks noChangeAspect="1"/>
            </wp:cNvGraphicFramePr>
            <a:graphic>
              <a:graphicData uri="http://schemas.openxmlformats.org/drawingml/2006/picture">
                <pic:pic>
                  <pic:nvPicPr>
                    <pic:cNvPr id="0" name="f01_concept.png"/>
                    <pic:cNvPicPr/>
                  </pic:nvPicPr>
                  <pic:blipFill>
                    <a:blip r:embed="rId16"/>
                    <a:stretch>
                      <a:fillRect/>
                    </a:stretch>
                  </pic:blipFill>
                  <pic:spPr>
                    <a:xfrm>
                      <a:off x="0" y="0"/>
                      <a:ext cx="4536000" cy="2573136"/>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2</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What GDP counts and what it misses</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Prepared by the author, based on Stiglitz et al. (2009).</w:t>
      </w:r>
    </w:p>
    <w:p>
      <w:pPr>
        <w:pStyle w:val="Heading1"/>
        <w:pBdr>
          <w:bottom w:val="single" w:sz="8" w:space="4" w:color="1F3864"/>
        </w:pBdr>
      </w:pPr>
      <w:r>
        <w:rPr>
          <w:rFonts w:ascii="Times New Roman" w:hAnsi="Times New Roman" w:cs="Times New Roman" w:eastAsia="Times New Roman"/>
          <w:b/>
          <w:i w:val="0"/>
          <w:color w:val="1F3864"/>
        </w:rPr>
        <w:t>4. The Case for GDP: Why Growth Still Matters</w:t>
      </w:r>
    </w:p>
    <w:p>
      <w:pPr>
        <w:spacing w:before="0" w:after="120" w:line="276" w:lineRule="auto"/>
        <w:jc w:val="both"/>
      </w:pPr>
      <w:r>
        <w:rPr>
          <w:rFonts w:ascii="Times New Roman" w:hAnsi="Times New Roman" w:cs="Times New Roman" w:eastAsia="Times New Roman"/>
        </w:rPr>
        <w:t>A fair evaluation must begin with what GDP does well. Critics of GDP do not argue that growth is useless; rather, they argue that it is incomplete. The evidence shows that, especially for poorer countries, GDP growth is strongly connected with improvements in people's lives.</w:t>
      </w:r>
    </w:p>
    <w:p>
      <w:pPr>
        <w:pStyle w:val="Heading2"/>
      </w:pPr>
      <w:r>
        <w:rPr>
          <w:rFonts w:ascii="Times New Roman" w:hAnsi="Times New Roman" w:cs="Times New Roman" w:eastAsia="Times New Roman"/>
          <w:b/>
          <w:i w:val="0"/>
          <w:color w:val="1F3864"/>
        </w:rPr>
        <w:t>4.1 Growth and Living Standards</w:t>
      </w:r>
    </w:p>
    <w:p>
      <w:pPr>
        <w:spacing w:before="0" w:after="120" w:line="276" w:lineRule="auto"/>
        <w:jc w:val="both"/>
      </w:pPr>
      <w:r>
        <w:rPr>
          <w:rFonts w:ascii="Times New Roman" w:hAnsi="Times New Roman" w:cs="Times New Roman" w:eastAsia="Times New Roman"/>
        </w:rPr>
        <w:t xml:space="preserve">Figure 3 plots life expectancy against GDP per capita for a range of countries. This relationship, known as the </w:t>
      </w:r>
      <w:r>
        <w:rPr>
          <w:rFonts w:ascii="Times New Roman" w:hAnsi="Times New Roman" w:cs="Times New Roman" w:eastAsia="Times New Roman"/>
          <w:b/>
        </w:rPr>
        <w:t>Preston curve</w:t>
      </w:r>
      <w:r>
        <w:rPr>
          <w:rFonts w:ascii="Times New Roman" w:hAnsi="Times New Roman" w:cs="Times New Roman" w:eastAsia="Times New Roman"/>
        </w:rPr>
        <w:t xml:space="preserve"> (Preston, 1975), is steep at low incomes and flattens at higher incomes. Moving from US$1,000 to US$10,000 per person is associated with about ten extra years of life, but moving from US$50,000 to US$100,000 adds very little. Higher income pays for food, clean water, vaccines and hospitals, so in poor countries growth and health tend to move together.</w:t>
      </w:r>
    </w:p>
    <w:p>
      <w:pPr>
        <w:keepNext/>
        <w:spacing w:before="120" w:after="0" w:line="240" w:lineRule="auto"/>
        <w:jc w:val="center"/>
      </w:pPr>
      <w:r>
        <w:drawing>
          <wp:inline xmlns:a="http://schemas.openxmlformats.org/drawingml/2006/main" xmlns:pic="http://schemas.openxmlformats.org/drawingml/2006/picture">
            <wp:extent cx="4475520" cy="2736295"/>
            <wp:docPr id="5" name="Picture 5"/>
            <wp:cNvGraphicFramePr>
              <a:graphicFrameLocks noChangeAspect="1"/>
            </wp:cNvGraphicFramePr>
            <a:graphic>
              <a:graphicData uri="http://schemas.openxmlformats.org/drawingml/2006/picture">
                <pic:pic>
                  <pic:nvPicPr>
                    <pic:cNvPr id="0" name="f03_preston.png"/>
                    <pic:cNvPicPr/>
                  </pic:nvPicPr>
                  <pic:blipFill>
                    <a:blip r:embed="rId17"/>
                    <a:stretch>
                      <a:fillRect/>
                    </a:stretch>
                  </pic:blipFill>
                  <pic:spPr>
                    <a:xfrm>
                      <a:off x="0" y="0"/>
                      <a:ext cx="4475520" cy="2736295"/>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3</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GDP per capita and life expectancy (the Preston curve)</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World Bank (2024), World Development Indicators; values for 2022, rounded.</w:t>
      </w:r>
    </w:p>
    <w:p>
      <w:pPr>
        <w:spacing w:before="0" w:after="120" w:line="276" w:lineRule="auto"/>
        <w:jc w:val="both"/>
      </w:pPr>
      <w:r>
        <w:rPr>
          <w:rFonts w:ascii="Times New Roman" w:hAnsi="Times New Roman" w:cs="Times New Roman" w:eastAsia="Times New Roman"/>
        </w:rPr>
        <w:t xml:space="preserve">The chart also shows that income is not the whole story. Bangladesh and Sri Lanka have higher life expectancy than their income would predict, while South Africa, Equatorial Guinea and Nigeria fall well below the trend line. The United States, one of the richest countries, has lower life expectancy than Costa Rica or China. Points far from the line show that </w:t>
      </w:r>
      <w:r>
        <w:rPr>
          <w:rFonts w:ascii="Times New Roman" w:hAnsi="Times New Roman" w:cs="Times New Roman" w:eastAsia="Times New Roman"/>
          <w:i/>
        </w:rPr>
        <w:t>how</w:t>
      </w:r>
      <w:r>
        <w:rPr>
          <w:rFonts w:ascii="Times New Roman" w:hAnsi="Times New Roman" w:cs="Times New Roman" w:eastAsia="Times New Roman"/>
        </w:rPr>
        <w:t xml:space="preserve"> income is used matters as much as </w:t>
      </w:r>
      <w:r>
        <w:rPr>
          <w:rFonts w:ascii="Times New Roman" w:hAnsi="Times New Roman" w:cs="Times New Roman" w:eastAsia="Times New Roman"/>
          <w:i/>
        </w:rPr>
        <w:t>how much</w:t>
      </w:r>
      <w:r>
        <w:rPr>
          <w:rFonts w:ascii="Times New Roman" w:hAnsi="Times New Roman" w:cs="Times New Roman" w:eastAsia="Times New Roman"/>
        </w:rPr>
        <w:t xml:space="preserve"> is produced.</w:t>
      </w:r>
    </w:p>
    <w:p>
      <w:pPr>
        <w:pStyle w:val="Heading2"/>
      </w:pPr>
      <w:r>
        <w:rPr>
          <w:rFonts w:ascii="Times New Roman" w:hAnsi="Times New Roman" w:cs="Times New Roman" w:eastAsia="Times New Roman"/>
          <w:b/>
          <w:i w:val="0"/>
          <w:color w:val="1F3864"/>
        </w:rPr>
        <w:t>4.2 Growth and Poverty Reduction: Evidence from Bangladesh</w:t>
      </w:r>
    </w:p>
    <w:p>
      <w:pPr>
        <w:spacing w:before="0" w:after="120" w:line="276" w:lineRule="auto"/>
        <w:jc w:val="both"/>
      </w:pPr>
      <w:r>
        <w:rPr>
          <w:rFonts w:ascii="Times New Roman" w:hAnsi="Times New Roman" w:cs="Times New Roman" w:eastAsia="Times New Roman"/>
        </w:rPr>
        <w:t>Bangladesh offers strong evidence that sustained growth can reduce poverty. Figure 4 shows real GDP growth from FY2011 to FY2024. Apart from the COVID-19 shock in FY2020, growth stayed between 6 and 8 per cent for most of the period, before slowing in FY2023 and FY2024.</w:t>
      </w:r>
    </w:p>
    <w:p>
      <w:pPr>
        <w:keepNext/>
        <w:spacing w:before="120" w:after="0" w:line="240" w:lineRule="auto"/>
        <w:jc w:val="center"/>
      </w:pPr>
      <w:r>
        <w:drawing>
          <wp:inline xmlns:a="http://schemas.openxmlformats.org/drawingml/2006/main" xmlns:pic="http://schemas.openxmlformats.org/drawingml/2006/picture">
            <wp:extent cx="4475520" cy="2353074"/>
            <wp:docPr id="6" name="Picture 6"/>
            <wp:cNvGraphicFramePr>
              <a:graphicFrameLocks noChangeAspect="1"/>
            </wp:cNvGraphicFramePr>
            <a:graphic>
              <a:graphicData uri="http://schemas.openxmlformats.org/drawingml/2006/picture">
                <pic:pic>
                  <pic:nvPicPr>
                    <pic:cNvPr id="0" name="f02_bd_growth.png"/>
                    <pic:cNvPicPr/>
                  </pic:nvPicPr>
                  <pic:blipFill>
                    <a:blip r:embed="rId18"/>
                    <a:stretch>
                      <a:fillRect/>
                    </a:stretch>
                  </pic:blipFill>
                  <pic:spPr>
                    <a:xfrm>
                      <a:off x="0" y="0"/>
                      <a:ext cx="4475520" cy="2353074"/>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4</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Real GDP growth in Bangladesh, FY2011-FY2024 (%)</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Bangladesh Bureau of Statistics; FY2024 is provisional. Light bars mark growth below 5%.</w:t>
      </w:r>
    </w:p>
    <w:p>
      <w:pPr>
        <w:spacing w:before="0" w:after="120" w:line="276" w:lineRule="auto"/>
        <w:jc w:val="both"/>
      </w:pPr>
      <w:r>
        <w:rPr>
          <w:rFonts w:ascii="Times New Roman" w:hAnsi="Times New Roman" w:cs="Times New Roman" w:eastAsia="Times New Roman"/>
        </w:rPr>
        <w:t>Over roughly the same period, poverty fell sharply. According to the Household Income and Expenditure Survey (HIES), the share of people below the upper poverty line dropped from 48.9 per cent in 2000 to 18.7 per cent in 2022, and extreme poverty fell from 34.3 per cent to 5.6 per cent (Figure 5). Growth in garment exports, remittances and agricultural productivity created jobs and raised incomes for millions of households.</w:t>
      </w:r>
    </w:p>
    <w:p>
      <w:pPr>
        <w:keepNext/>
        <w:spacing w:before="120" w:after="0" w:line="240" w:lineRule="auto"/>
        <w:jc w:val="center"/>
      </w:pPr>
      <w:r>
        <w:drawing>
          <wp:inline xmlns:a="http://schemas.openxmlformats.org/drawingml/2006/main" xmlns:pic="http://schemas.openxmlformats.org/drawingml/2006/picture">
            <wp:extent cx="4475520" cy="2306564"/>
            <wp:docPr id="7" name="Picture 7"/>
            <wp:cNvGraphicFramePr>
              <a:graphicFrameLocks noChangeAspect="1"/>
            </wp:cNvGraphicFramePr>
            <a:graphic>
              <a:graphicData uri="http://schemas.openxmlformats.org/drawingml/2006/picture">
                <pic:pic>
                  <pic:nvPicPr>
                    <pic:cNvPr id="0" name="f04_bd_poverty.png"/>
                    <pic:cNvPicPr/>
                  </pic:nvPicPr>
                  <pic:blipFill>
                    <a:blip r:embed="rId19"/>
                    <a:stretch>
                      <a:fillRect/>
                    </a:stretch>
                  </pic:blipFill>
                  <pic:spPr>
                    <a:xfrm>
                      <a:off x="0" y="0"/>
                      <a:ext cx="4475520" cy="2306564"/>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5</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Poverty headcount rates in Bangladesh, 2000-2022</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BBS, Household Income and Expenditure Survey (2000-2022).</w:t>
      </w:r>
    </w:p>
    <w:p>
      <w:pPr>
        <w:pStyle w:val="Heading2"/>
      </w:pPr>
      <w:r>
        <w:rPr>
          <w:rFonts w:ascii="Times New Roman" w:hAnsi="Times New Roman" w:cs="Times New Roman" w:eastAsia="Times New Roman"/>
          <w:b/>
          <w:i w:val="0"/>
          <w:color w:val="1F3864"/>
        </w:rPr>
        <w:t>4.3 Practical Advantages of GDP</w:t>
      </w:r>
    </w:p>
    <w:p>
      <w:pPr>
        <w:spacing w:before="0" w:after="120" w:line="276" w:lineRule="auto"/>
        <w:jc w:val="both"/>
      </w:pPr>
      <w:r>
        <w:rPr>
          <w:rFonts w:ascii="Times New Roman" w:hAnsi="Times New Roman" w:cs="Times New Roman" w:eastAsia="Times New Roman"/>
        </w:rPr>
        <w:t>Beyond its link with poverty and health, GDP has several practical strengths that explain why it remains the headline indicator:</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Standardised:</w:t>
      </w:r>
      <w:r>
        <w:rPr>
          <w:rFonts w:ascii="Times New Roman" w:hAnsi="Times New Roman" w:cs="Times New Roman" w:eastAsia="Times New Roman"/>
        </w:rPr>
        <w:t xml:space="preserve"> all countries follow the same SNA rules, so figures can be compared.</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Timely and frequent:</w:t>
      </w:r>
      <w:r>
        <w:rPr>
          <w:rFonts w:ascii="Times New Roman" w:hAnsi="Times New Roman" w:cs="Times New Roman" w:eastAsia="Times New Roman"/>
        </w:rPr>
        <w:t xml:space="preserve"> many countries publish quarterly estimates, which helps short-term policy.</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Objective:</w:t>
      </w:r>
      <w:r>
        <w:rPr>
          <w:rFonts w:ascii="Times New Roman" w:hAnsi="Times New Roman" w:cs="Times New Roman" w:eastAsia="Times New Roman"/>
        </w:rPr>
        <w:t xml:space="preserve"> it is based on market prices rather than opinions or arbitrary weights.</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Linked to jobs:</w:t>
      </w:r>
      <w:r>
        <w:rPr>
          <w:rFonts w:ascii="Times New Roman" w:hAnsi="Times New Roman" w:cs="Times New Roman" w:eastAsia="Times New Roman"/>
        </w:rPr>
        <w:t xml:space="preserve"> changes in output are closely connected to employment (Okun's law).</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Linked to public finance:</w:t>
      </w:r>
      <w:r>
        <w:rPr>
          <w:rFonts w:ascii="Times New Roman" w:hAnsi="Times New Roman" w:cs="Times New Roman" w:eastAsia="Times New Roman"/>
        </w:rPr>
        <w:t xml:space="preserve"> tax revenue, debt sustainability and budget planning depend on GDP.</w:t>
      </w:r>
    </w:p>
    <w:p>
      <w:pPr>
        <w:tabs>
          <w:tab w:pos="510" w:val="left"/>
        </w:tabs>
        <w:spacing w:before="0" w:after="16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Single number:</w:t>
      </w:r>
      <w:r>
        <w:rPr>
          <w:rFonts w:ascii="Times New Roman" w:hAnsi="Times New Roman" w:cs="Times New Roman" w:eastAsia="Times New Roman"/>
        </w:rPr>
        <w:t xml:space="preserve"> it is easy to communicate to the public and to track over time.</w:t>
      </w:r>
    </w:p>
    <w:p>
      <w:pPr>
        <w:spacing w:before="0" w:after="120" w:line="276" w:lineRule="auto"/>
        <w:jc w:val="both"/>
      </w:pPr>
      <w:r>
        <w:rPr>
          <w:rFonts w:ascii="Times New Roman" w:hAnsi="Times New Roman" w:cs="Times New Roman" w:eastAsia="Times New Roman"/>
        </w:rPr>
        <w:t xml:space="preserve">These advantages make GDP an excellent measure of </w:t>
      </w:r>
      <w:r>
        <w:rPr>
          <w:rFonts w:ascii="Times New Roman" w:hAnsi="Times New Roman" w:cs="Times New Roman" w:eastAsia="Times New Roman"/>
          <w:b/>
        </w:rPr>
        <w:t>economic activity</w:t>
      </w:r>
      <w:r>
        <w:rPr>
          <w:rFonts w:ascii="Times New Roman" w:hAnsi="Times New Roman" w:cs="Times New Roman" w:eastAsia="Times New Roman"/>
        </w:rPr>
        <w:t xml:space="preserve">. The question is whether they make it a good measure of </w:t>
      </w:r>
      <w:r>
        <w:rPr>
          <w:rFonts w:ascii="Times New Roman" w:hAnsi="Times New Roman" w:cs="Times New Roman" w:eastAsia="Times New Roman"/>
          <w:b/>
        </w:rPr>
        <w:t>economic well-being</w:t>
      </w:r>
      <w:r>
        <w:rPr>
          <w:rFonts w:ascii="Times New Roman" w:hAnsi="Times New Roman" w:cs="Times New Roman" w:eastAsia="Times New Roman"/>
        </w:rPr>
        <w:t>, which is the subject of the next chapter.</w:t>
      </w:r>
    </w:p>
    <w:p>
      <w:pPr>
        <w:pStyle w:val="Heading1"/>
        <w:pBdr>
          <w:bottom w:val="single" w:sz="8" w:space="4" w:color="1F3864"/>
        </w:pBdr>
      </w:pPr>
      <w:r>
        <w:rPr>
          <w:rFonts w:ascii="Times New Roman" w:hAnsi="Times New Roman" w:cs="Times New Roman" w:eastAsia="Times New Roman"/>
          <w:b/>
          <w:i w:val="0"/>
          <w:color w:val="1F3864"/>
        </w:rPr>
        <w:t>5. Limitations of GDP as a Measure of Well-Being</w:t>
      </w:r>
    </w:p>
    <w:p>
      <w:pPr>
        <w:pStyle w:val="Heading2"/>
      </w:pPr>
      <w:r>
        <w:rPr>
          <w:rFonts w:ascii="Times New Roman" w:hAnsi="Times New Roman" w:cs="Times New Roman" w:eastAsia="Times New Roman"/>
          <w:b/>
          <w:i w:val="0"/>
          <w:color w:val="1F3864"/>
        </w:rPr>
        <w:t>5.1 GDP Ignores the Distribution of Income</w:t>
      </w:r>
    </w:p>
    <w:p>
      <w:pPr>
        <w:spacing w:before="0" w:after="120" w:line="276" w:lineRule="auto"/>
        <w:jc w:val="both"/>
      </w:pPr>
      <w:r>
        <w:rPr>
          <w:rFonts w:ascii="Times New Roman" w:hAnsi="Times New Roman" w:cs="Times New Roman" w:eastAsia="Times New Roman"/>
        </w:rPr>
        <w:t>GDP and GDP per capita are totals and averages. If all the gains from growth go to a small group, average income rises even though most people are no better off. Figure 6 compares the Gini index, the standard measure of inequality, across countries. Brazil and South Africa have similar or higher GDP per capita than many Asian countries, but far higher inequality, which helps explain their weaker health and social outcomes.</w:t>
      </w:r>
    </w:p>
    <w:p>
      <w:pPr>
        <w:keepNext/>
        <w:spacing w:before="120" w:after="0" w:line="240" w:lineRule="auto"/>
        <w:jc w:val="center"/>
      </w:pPr>
      <w:r>
        <w:drawing>
          <wp:inline xmlns:a="http://schemas.openxmlformats.org/drawingml/2006/main" xmlns:pic="http://schemas.openxmlformats.org/drawingml/2006/picture">
            <wp:extent cx="4233600" cy="2355863"/>
            <wp:docPr id="8" name="Picture 8"/>
            <wp:cNvGraphicFramePr>
              <a:graphicFrameLocks noChangeAspect="1"/>
            </wp:cNvGraphicFramePr>
            <a:graphic>
              <a:graphicData uri="http://schemas.openxmlformats.org/drawingml/2006/picture">
                <pic:pic>
                  <pic:nvPicPr>
                    <pic:cNvPr id="0" name="f05_gini.png"/>
                    <pic:cNvPicPr/>
                  </pic:nvPicPr>
                  <pic:blipFill>
                    <a:blip r:embed="rId20"/>
                    <a:stretch>
                      <a:fillRect/>
                    </a:stretch>
                  </pic:blipFill>
                  <pic:spPr>
                    <a:xfrm>
                      <a:off x="0" y="0"/>
                      <a:ext cx="4233600" cy="2355863"/>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6</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Income inequality across selected countries (Gini index)</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World Bank (2024), Poverty and Inequality Platform; latest available year. Mid-tone bars mark Gini of 40 or more.</w:t>
      </w:r>
    </w:p>
    <w:p>
      <w:pPr>
        <w:spacing w:before="0" w:after="120" w:line="276" w:lineRule="auto"/>
        <w:jc w:val="both"/>
      </w:pPr>
      <w:r>
        <w:rPr>
          <w:rFonts w:ascii="Times New Roman" w:hAnsi="Times New Roman" w:cs="Times New Roman" w:eastAsia="Times New Roman"/>
        </w:rPr>
        <w:t>At the global level, inequality is even more striking. According to the World Inequality Report 2022, the richest 10 per cent of the world's population receive 52 per cent of global income and own 76 per cent of global wealth, while the poorest half receive only 8.5 per cent of income and own just 2 per cent of wealth (Figure 7). A rise in world GDP tells us nothing about which of these groups gains.</w:t>
      </w:r>
    </w:p>
    <w:p>
      <w:pPr>
        <w:keepNext/>
        <w:spacing w:before="120" w:after="0" w:line="240" w:lineRule="auto"/>
        <w:jc w:val="center"/>
      </w:pPr>
      <w:r>
        <w:drawing>
          <wp:inline xmlns:a="http://schemas.openxmlformats.org/drawingml/2006/main" xmlns:pic="http://schemas.openxmlformats.org/drawingml/2006/picture">
            <wp:extent cx="4384800" cy="2386417"/>
            <wp:docPr id="9" name="Picture 9"/>
            <wp:cNvGraphicFramePr>
              <a:graphicFrameLocks noChangeAspect="1"/>
            </wp:cNvGraphicFramePr>
            <a:graphic>
              <a:graphicData uri="http://schemas.openxmlformats.org/drawingml/2006/picture">
                <pic:pic>
                  <pic:nvPicPr>
                    <pic:cNvPr id="0" name="f06_wir.png"/>
                    <pic:cNvPicPr/>
                  </pic:nvPicPr>
                  <pic:blipFill>
                    <a:blip r:embed="rId21"/>
                    <a:stretch>
                      <a:fillRect/>
                    </a:stretch>
                  </pic:blipFill>
                  <pic:spPr>
                    <a:xfrm>
                      <a:off x="0" y="0"/>
                      <a:ext cx="4384800" cy="2386417"/>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7</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Global distribution of income and wealth, 2021</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Chancel, Piketty, Saez and Zucman (2022), World Inequality Report 2022.</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120" w:type="dxa"/>
          <w:left w:w="200" w:type="dxa"/>
          <w:bottom w:w="120" w:type="dxa"/>
          <w:right w:w="200" w:type="dxa"/>
        </w:tblCellMar>
      </w:tblPr>
      <w:tblGrid>
        <w:gridCol w:w="9072"/>
      </w:tblGrid>
      <w:tr>
        <w:trPr>
          <w:cantSplit w:val="true"/>
        </w:trPr>
        <w:tc>
          <w:tcPr>
            <w:tcW w:type="dxa" w:w="9071"/>
            <w:shd w:val="clear" w:color="auto" w:fill="E8EDF6"/>
            <w:tcBorders>
              <w:left w:val="single" w:sz="24" w:space="0" w:color="1F3864"/>
            </w:tcBorders>
          </w:tcPr>
          <w:p>
            <w:pPr>
              <w:keepNext/>
              <w:spacing w:before="0" w:after="80" w:line="276" w:lineRule="auto"/>
            </w:pPr>
            <w:r>
              <w:rPr>
                <w:rFonts w:ascii="Times New Roman" w:hAnsi="Times New Roman" w:cs="Times New Roman" w:eastAsia="Times New Roman"/>
                <w:b/>
                <w:color w:val="1F3864"/>
                <w:sz w:val="23"/>
              </w:rPr>
              <w:t>Demonstration 2: Two countries with the same GDP</w:t>
            </w:r>
          </w:p>
          <w:p>
            <w:pPr>
              <w:spacing w:before="0" w:after="60" w:line="288" w:lineRule="auto"/>
              <w:jc w:val="both"/>
            </w:pPr>
            <w:r>
              <w:rPr>
                <w:rFonts w:ascii="Times New Roman" w:hAnsi="Times New Roman" w:cs="Times New Roman" w:eastAsia="Times New Roman"/>
                <w:sz w:val="22"/>
              </w:rPr>
              <w:t>Country A and Country B both have GDP per capita of US$5,000 and both grow at 6 per cent a year. A statistician looking only at GDP would say they are equally well off. Table 5 and Figure 8 show what the averages hide.</w:t>
            </w:r>
          </w:p>
          <w:p>
            <w:pPr>
              <w:spacing w:before="0" w:after="60" w:line="288" w:lineRule="auto"/>
              <w:jc w:val="both"/>
            </w:pPr>
            <w:r>
              <w:rPr>
                <w:rFonts w:ascii="Times New Roman" w:hAnsi="Times New Roman" w:cs="Times New Roman" w:eastAsia="Times New Roman"/>
                <w:sz w:val="22"/>
              </w:rPr>
              <w:t>Average income of a quintile = (income share ÷ 20%) × mean income</w:t>
            </w:r>
          </w:p>
          <w:p>
            <w:pPr>
              <w:spacing w:before="20" w:after="20" w:line="276" w:lineRule="auto"/>
              <w:jc w:val="center"/>
            </w:pPr>
            <w:r>
              <w:rPr>
                <w:rFonts w:ascii="Times New Roman" w:hAnsi="Times New Roman" w:cs="Times New Roman" w:eastAsia="Times New Roman"/>
                <w:i/>
                <w:color w:val="1A1A1A"/>
                <w:sz w:val="22"/>
              </w:rPr>
              <w:t>Poorest 20% in Country A: (6% ÷ 20%) × 5,000 = US$1,500</w:t>
            </w:r>
          </w:p>
          <w:p>
            <w:pPr>
              <w:spacing w:before="20" w:after="20" w:line="276" w:lineRule="auto"/>
              <w:jc w:val="center"/>
            </w:pPr>
            <w:r>
              <w:rPr>
                <w:rFonts w:ascii="Times New Roman" w:hAnsi="Times New Roman" w:cs="Times New Roman" w:eastAsia="Times New Roman"/>
                <w:i/>
                <w:color w:val="1A1A1A"/>
                <w:sz w:val="22"/>
              </w:rPr>
              <w:t>Poorest 20% in Country B: (9% ÷ 20%) × 5,000 = US$2,250</w:t>
            </w:r>
          </w:p>
          <w:p>
            <w:pPr>
              <w:spacing w:before="0" w:after="60" w:line="288" w:lineRule="auto"/>
              <w:jc w:val="both"/>
            </w:pPr>
            <w:r>
              <w:rPr>
                <w:rFonts w:ascii="Times New Roman" w:hAnsi="Times New Roman" w:cs="Times New Roman" w:eastAsia="Times New Roman"/>
                <w:b/>
                <w:sz w:val="22"/>
              </w:rPr>
              <w:t>Lesson:</w:t>
            </w:r>
            <w:r>
              <w:rPr>
                <w:rFonts w:ascii="Times New Roman" w:hAnsi="Times New Roman" w:cs="Times New Roman" w:eastAsia="Times New Roman"/>
                <w:sz w:val="22"/>
              </w:rPr>
              <w:t xml:space="preserve"> the poorest fifth in Country B earns 50 per cent more than in Country A, even though GDP is identical. Because an extra dollar adds more to the welfare of a poor family than a rich one (diminishing marginal utility), Country B has higher economic well-being.</w:t>
            </w:r>
          </w:p>
        </w:tc>
      </w:tr>
    </w:tbl>
    <w:p>
      <w:pPr>
        <w:spacing w:before="0" w:after="120" w:line="240" w:lineRule="auto"/>
      </w:pP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5</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Same GDP, different well-being: Country A and Country B</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4536"/>
        <w:gridCol w:w="2268"/>
        <w:gridCol w:w="2268"/>
      </w:tblGrid>
      <w:tr>
        <w:trPr>
          <w:tblHeader w:val="true"/>
        </w:trPr>
        <w:tc>
          <w:tcPr>
            <w:tcW w:type="dxa" w:w="4535"/>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Indicator</w:t>
            </w:r>
          </w:p>
        </w:tc>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Country A</w:t>
            </w:r>
          </w:p>
        </w:tc>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Country B</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GDP per capita (US$)</w:t>
            </w:r>
          </w:p>
        </w:tc>
        <w:tc>
          <w:tcPr>
            <w:tcW w:type="dxa" w:w="2268"/>
            <w:vAlign w:val="center"/>
          </w:tcPr>
          <w:p>
            <w:pPr>
              <w:spacing w:before="20" w:after="20" w:line="264" w:lineRule="auto"/>
              <w:jc w:val="center"/>
            </w:pPr>
            <w:r>
              <w:rPr>
                <w:rFonts w:ascii="Times New Roman" w:hAnsi="Times New Roman" w:cs="Times New Roman" w:eastAsia="Times New Roman"/>
                <w:sz w:val="20"/>
              </w:rPr>
              <w:t>5,000</w:t>
            </w:r>
          </w:p>
        </w:tc>
        <w:tc>
          <w:tcPr>
            <w:tcW w:type="dxa" w:w="2268"/>
            <w:vAlign w:val="center"/>
          </w:tcPr>
          <w:p>
            <w:pPr>
              <w:spacing w:before="20" w:after="20" w:line="264" w:lineRule="auto"/>
              <w:jc w:val="center"/>
            </w:pPr>
            <w:r>
              <w:rPr>
                <w:rFonts w:ascii="Times New Roman" w:hAnsi="Times New Roman" w:cs="Times New Roman" w:eastAsia="Times New Roman"/>
                <w:sz w:val="20"/>
              </w:rPr>
              <w:t>5,000</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Annual GDP growth</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6%</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6%</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Income share of poorest 20%</w:t>
            </w:r>
          </w:p>
        </w:tc>
        <w:tc>
          <w:tcPr>
            <w:tcW w:type="dxa" w:w="2268"/>
            <w:vAlign w:val="center"/>
          </w:tcPr>
          <w:p>
            <w:pPr>
              <w:spacing w:before="20" w:after="20" w:line="264" w:lineRule="auto"/>
              <w:jc w:val="center"/>
            </w:pPr>
            <w:r>
              <w:rPr>
                <w:rFonts w:ascii="Times New Roman" w:hAnsi="Times New Roman" w:cs="Times New Roman" w:eastAsia="Times New Roman"/>
                <w:sz w:val="20"/>
              </w:rPr>
              <w:t>6%</w:t>
            </w:r>
          </w:p>
        </w:tc>
        <w:tc>
          <w:tcPr>
            <w:tcW w:type="dxa" w:w="2268"/>
            <w:vAlign w:val="center"/>
          </w:tcPr>
          <w:p>
            <w:pPr>
              <w:spacing w:before="20" w:after="20" w:line="264" w:lineRule="auto"/>
              <w:jc w:val="center"/>
            </w:pPr>
            <w:r>
              <w:rPr>
                <w:rFonts w:ascii="Times New Roman" w:hAnsi="Times New Roman" w:cs="Times New Roman" w:eastAsia="Times New Roman"/>
                <w:sz w:val="20"/>
              </w:rPr>
              <w:t>9%</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Income share of richest 20%</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47%</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36%</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Average income of poorest 20% (US$)</w:t>
            </w:r>
          </w:p>
        </w:tc>
        <w:tc>
          <w:tcPr>
            <w:tcW w:type="dxa" w:w="2268"/>
            <w:vAlign w:val="center"/>
          </w:tcPr>
          <w:p>
            <w:pPr>
              <w:spacing w:before="20" w:after="20" w:line="264" w:lineRule="auto"/>
              <w:jc w:val="center"/>
            </w:pPr>
            <w:r>
              <w:rPr>
                <w:rFonts w:ascii="Times New Roman" w:hAnsi="Times New Roman" w:cs="Times New Roman" w:eastAsia="Times New Roman"/>
                <w:sz w:val="20"/>
              </w:rPr>
              <w:t>1,500</w:t>
            </w:r>
          </w:p>
        </w:tc>
        <w:tc>
          <w:tcPr>
            <w:tcW w:type="dxa" w:w="2268"/>
            <w:vAlign w:val="center"/>
          </w:tcPr>
          <w:p>
            <w:pPr>
              <w:spacing w:before="20" w:after="20" w:line="264" w:lineRule="auto"/>
              <w:jc w:val="center"/>
            </w:pPr>
            <w:r>
              <w:rPr>
                <w:rFonts w:ascii="Times New Roman" w:hAnsi="Times New Roman" w:cs="Times New Roman" w:eastAsia="Times New Roman"/>
                <w:sz w:val="20"/>
              </w:rPr>
              <w:t>2,250</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Ratio richest 20% : poorest 20%</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7.8 times</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4.0 times</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Approximate Gini index</w:t>
            </w:r>
          </w:p>
        </w:tc>
        <w:tc>
          <w:tcPr>
            <w:tcW w:type="dxa" w:w="2268"/>
            <w:vAlign w:val="center"/>
          </w:tcPr>
          <w:p>
            <w:pPr>
              <w:spacing w:before="20" w:after="20" w:line="264" w:lineRule="auto"/>
              <w:jc w:val="center"/>
            </w:pPr>
            <w:r>
              <w:rPr>
                <w:rFonts w:ascii="Times New Roman" w:hAnsi="Times New Roman" w:cs="Times New Roman" w:eastAsia="Times New Roman"/>
                <w:sz w:val="20"/>
              </w:rPr>
              <w:t>0.38</w:t>
            </w:r>
          </w:p>
        </w:tc>
        <w:tc>
          <w:tcPr>
            <w:tcW w:type="dxa" w:w="2268"/>
            <w:vAlign w:val="center"/>
          </w:tcPr>
          <w:p>
            <w:pPr>
              <w:spacing w:before="20" w:after="20" w:line="264" w:lineRule="auto"/>
              <w:jc w:val="center"/>
            </w:pPr>
            <w:r>
              <w:rPr>
                <w:rFonts w:ascii="Times New Roman" w:hAnsi="Times New Roman" w:cs="Times New Roman" w:eastAsia="Times New Roman"/>
                <w:sz w:val="20"/>
              </w:rPr>
              <w:t>0.25</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Author's hypothetical example.</w:t>
      </w:r>
    </w:p>
    <w:p>
      <w:pPr>
        <w:keepNext/>
        <w:spacing w:before="120" w:after="0" w:line="240" w:lineRule="auto"/>
        <w:jc w:val="center"/>
      </w:pPr>
      <w:r>
        <w:drawing>
          <wp:inline xmlns:a="http://schemas.openxmlformats.org/drawingml/2006/main" xmlns:pic="http://schemas.openxmlformats.org/drawingml/2006/picture">
            <wp:extent cx="4384800" cy="2304831"/>
            <wp:docPr id="10" name="Picture 10"/>
            <wp:cNvGraphicFramePr>
              <a:graphicFrameLocks noChangeAspect="1"/>
            </wp:cNvGraphicFramePr>
            <a:graphic>
              <a:graphicData uri="http://schemas.openxmlformats.org/drawingml/2006/picture">
                <pic:pic>
                  <pic:nvPicPr>
                    <pic:cNvPr id="0" name="f07_demo_distribution.png"/>
                    <pic:cNvPicPr/>
                  </pic:nvPicPr>
                  <pic:blipFill>
                    <a:blip r:embed="rId22"/>
                    <a:stretch>
                      <a:fillRect/>
                    </a:stretch>
                  </pic:blipFill>
                  <pic:spPr>
                    <a:xfrm>
                      <a:off x="0" y="0"/>
                      <a:ext cx="4384800" cy="2304831"/>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8</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Average income by quintile in Country A and Country B</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Author's hypothetical example (Demonstration 2).</w:t>
      </w:r>
    </w:p>
    <w:p>
      <w:pPr>
        <w:pStyle w:val="Heading2"/>
      </w:pPr>
      <w:r>
        <w:rPr>
          <w:rFonts w:ascii="Times New Roman" w:hAnsi="Times New Roman" w:cs="Times New Roman" w:eastAsia="Times New Roman"/>
          <w:b/>
          <w:i w:val="0"/>
          <w:color w:val="1F3864"/>
        </w:rPr>
        <w:t>5.2 Non-Market and Unpaid Work</w:t>
      </w:r>
    </w:p>
    <w:p>
      <w:pPr>
        <w:spacing w:before="0" w:after="120" w:line="276" w:lineRule="auto"/>
        <w:jc w:val="both"/>
      </w:pPr>
      <w:r>
        <w:rPr>
          <w:rFonts w:ascii="Times New Roman" w:hAnsi="Times New Roman" w:cs="Times New Roman" w:eastAsia="Times New Roman"/>
        </w:rPr>
        <w:t>GDP counts only work that is bought and sold. When a family hires a cook, the cook's wage is part of GDP; when a mother cooks the same meal at home, nothing is recorded. The International Labour Organization estimates that people spend about 16.4 billion hours every day on unpaid care work, which would be worth around 9 per cent of global GDP if paid at the minimum wage (ILO, 2018). Most of this work is done by women.</w:t>
      </w:r>
    </w:p>
    <w:p>
      <w:pPr>
        <w:spacing w:before="0" w:after="120" w:line="276" w:lineRule="auto"/>
        <w:jc w:val="both"/>
      </w:pPr>
      <w:r>
        <w:rPr>
          <w:rFonts w:ascii="Times New Roman" w:hAnsi="Times New Roman" w:cs="Times New Roman" w:eastAsia="Times New Roman"/>
        </w:rPr>
        <w:t>In Bangladesh, a study by the Centre for Policy Dialogue estimated that the value of women's unpaid household work was equivalent to roughly three-quarters of GDP or more, depending on the valuation method used (CPD, 2015). Leaving this work out does two things: it undervalues women's contribution, and it can make GDP rise simply because work moves from the home into the market, for example when families buy ready-made food instead of cooking, even if total work and welfare do not change.</w:t>
      </w:r>
    </w:p>
    <w:p>
      <w:pPr>
        <w:pStyle w:val="Heading2"/>
      </w:pPr>
      <w:r>
        <w:rPr>
          <w:rFonts w:ascii="Times New Roman" w:hAnsi="Times New Roman" w:cs="Times New Roman" w:eastAsia="Times New Roman"/>
          <w:b/>
          <w:i w:val="0"/>
          <w:color w:val="1F3864"/>
        </w:rPr>
        <w:t>5.3 The Informal Economy</w:t>
      </w:r>
    </w:p>
    <w:p>
      <w:pPr>
        <w:spacing w:before="0" w:after="120" w:line="276" w:lineRule="auto"/>
        <w:jc w:val="both"/>
      </w:pPr>
      <w:r>
        <w:rPr>
          <w:rFonts w:ascii="Times New Roman" w:hAnsi="Times New Roman" w:cs="Times New Roman" w:eastAsia="Times New Roman"/>
        </w:rPr>
        <w:t xml:space="preserve">In developing countries a large share of production takes place in the informal sector: small farms, street vendors, rickshaw pullers and home-based workers. Statistical offices try to estimate this activity, but it is often under-recorded. According to the Labour Force Survey 2022, about </w:t>
      </w:r>
      <w:r>
        <w:rPr>
          <w:rFonts w:ascii="Times New Roman" w:hAnsi="Times New Roman" w:cs="Times New Roman" w:eastAsia="Times New Roman"/>
          <w:b/>
        </w:rPr>
        <w:t>84.9 per cent</w:t>
      </w:r>
      <w:r>
        <w:rPr>
          <w:rFonts w:ascii="Times New Roman" w:hAnsi="Times New Roman" w:cs="Times New Roman" w:eastAsia="Times New Roman"/>
        </w:rPr>
        <w:t xml:space="preserve"> of employed people in Bangladesh work informally (BBS, 2023b). Informal workers usually have no contract, pension or sick leave. So even where their output is counted, GDP says nothing about their insecurity, which is a core part of economic well-being.</w:t>
      </w:r>
    </w:p>
    <w:p>
      <w:pPr>
        <w:pStyle w:val="Heading2"/>
      </w:pPr>
      <w:r>
        <w:rPr>
          <w:rFonts w:ascii="Times New Roman" w:hAnsi="Times New Roman" w:cs="Times New Roman" w:eastAsia="Times New Roman"/>
          <w:b/>
          <w:i w:val="0"/>
          <w:color w:val="1F3864"/>
        </w:rPr>
        <w:t>5.4 Environmental Degradation and Resource Depletion</w:t>
      </w:r>
    </w:p>
    <w:p>
      <w:pPr>
        <w:spacing w:before="0" w:after="120" w:line="276" w:lineRule="auto"/>
        <w:jc w:val="both"/>
      </w:pPr>
      <w:r>
        <w:rPr>
          <w:rFonts w:ascii="Times New Roman" w:hAnsi="Times New Roman" w:cs="Times New Roman" w:eastAsia="Times New Roman"/>
        </w:rPr>
        <w:t xml:space="preserve">GDP treats the extraction of natural resources as income, without subtracting the loss of the resource itself. A country that cuts down its forests and sells the timber records higher GDP, even though its natural wealth has fallen. Pollution is also ignored, unless it creates spending on clean-up or medical treatment, which actually </w:t>
      </w:r>
      <w:r>
        <w:rPr>
          <w:rFonts w:ascii="Times New Roman" w:hAnsi="Times New Roman" w:cs="Times New Roman" w:eastAsia="Times New Roman"/>
          <w:i/>
        </w:rPr>
        <w:t>adds</w:t>
      </w:r>
      <w:r>
        <w:rPr>
          <w:rFonts w:ascii="Times New Roman" w:hAnsi="Times New Roman" w:cs="Times New Roman" w:eastAsia="Times New Roman"/>
        </w:rPr>
        <w:t xml:space="preserve"> to GDP.</w:t>
      </w:r>
    </w:p>
    <w:p>
      <w:pPr>
        <w:spacing w:before="0" w:after="120" w:line="276" w:lineRule="auto"/>
        <w:jc w:val="both"/>
      </w:pPr>
      <w:r>
        <w:rPr>
          <w:rFonts w:ascii="Times New Roman" w:hAnsi="Times New Roman" w:cs="Times New Roman" w:eastAsia="Times New Roman"/>
        </w:rPr>
        <w:t>Figure 9 shows that world real GDP more than doubled between 1990 and 2022, while global CO₂ emissions from fossil fuels rose by about 64 per cent. Growth has become somewhat less carbon-intensive, but emissions are still rising, and the damage from climate change does not appear in GDP. For Bangladesh, the World Bank (2018) estimated that environmental degradation, mainly air and water pollution in urban areas, cost the country about US$6.5 billion a year, equal to roughly 3.4 per cent of GDP in 2015.</w:t>
      </w:r>
    </w:p>
    <w:p>
      <w:pPr>
        <w:keepNext/>
        <w:spacing w:before="120" w:after="0" w:line="240" w:lineRule="auto"/>
        <w:jc w:val="center"/>
      </w:pPr>
      <w:r>
        <w:drawing>
          <wp:inline xmlns:a="http://schemas.openxmlformats.org/drawingml/2006/main" xmlns:pic="http://schemas.openxmlformats.org/drawingml/2006/picture">
            <wp:extent cx="4384800" cy="2341521"/>
            <wp:docPr id="11" name="Picture 11"/>
            <wp:cNvGraphicFramePr>
              <a:graphicFrameLocks noChangeAspect="1"/>
            </wp:cNvGraphicFramePr>
            <a:graphic>
              <a:graphicData uri="http://schemas.openxmlformats.org/drawingml/2006/picture">
                <pic:pic>
                  <pic:nvPicPr>
                    <pic:cNvPr id="0" name="f08_gdp_co2.png"/>
                    <pic:cNvPicPr/>
                  </pic:nvPicPr>
                  <pic:blipFill>
                    <a:blip r:embed="rId23"/>
                    <a:stretch>
                      <a:fillRect/>
                    </a:stretch>
                  </pic:blipFill>
                  <pic:spPr>
                    <a:xfrm>
                      <a:off x="0" y="0"/>
                      <a:ext cx="4384800" cy="2341521"/>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9</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World real GDP and global CO₂ emissions, 1990-2022 (index, 1990 = 100)</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World Bank (2024) for real GDP; Global Carbon Project (2023) for emissions. Values rounded.</w:t>
      </w:r>
    </w:p>
    <w:p>
      <w:pPr>
        <w:pStyle w:val="Heading2"/>
      </w:pPr>
      <w:r>
        <w:rPr>
          <w:rFonts w:ascii="Times New Roman" w:hAnsi="Times New Roman" w:cs="Times New Roman" w:eastAsia="Times New Roman"/>
          <w:b/>
          <w:i w:val="0"/>
          <w:color w:val="1F3864"/>
        </w:rPr>
        <w:t>5.5 Defensive Expenditure and the Broken-Window Problem</w:t>
      </w:r>
    </w:p>
    <w:p>
      <w:pPr>
        <w:spacing w:before="0" w:after="120" w:line="276" w:lineRule="auto"/>
        <w:jc w:val="both"/>
      </w:pPr>
      <w:r>
        <w:rPr>
          <w:rFonts w:ascii="Times New Roman" w:hAnsi="Times New Roman" w:cs="Times New Roman" w:eastAsia="Times New Roman"/>
        </w:rPr>
        <w:t xml:space="preserve">Some spending does not make people better off; it only protects them from something bad or repairs damage. Examples include security guards, air purifiers, flood repairs and treatment for illnesses caused by pollution. These </w:t>
      </w:r>
      <w:r>
        <w:rPr>
          <w:rFonts w:ascii="Times New Roman" w:hAnsi="Times New Roman" w:cs="Times New Roman" w:eastAsia="Times New Roman"/>
          <w:b/>
        </w:rPr>
        <w:t>defensive</w:t>
      </w:r>
      <w:r>
        <w:rPr>
          <w:rFonts w:ascii="Times New Roman" w:hAnsi="Times New Roman" w:cs="Times New Roman" w:eastAsia="Times New Roman"/>
        </w:rPr>
        <w:t xml:space="preserve"> or </w:t>
      </w:r>
      <w:r>
        <w:rPr>
          <w:rFonts w:ascii="Times New Roman" w:hAnsi="Times New Roman" w:cs="Times New Roman" w:eastAsia="Times New Roman"/>
          <w:i/>
        </w:rPr>
        <w:t>regrettable</w:t>
      </w:r>
      <w:r>
        <w:rPr>
          <w:rFonts w:ascii="Times New Roman" w:hAnsi="Times New Roman" w:cs="Times New Roman" w:eastAsia="Times New Roman"/>
        </w:rPr>
        <w:t xml:space="preserve"> expenditures raise GDP. The French economist Frédéric Bastiat illustrated a related error with the story of the broken window: replacing the glass creates work for the glazier, but society is not richer, because the money would otherwise have been spent on something new.</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120" w:type="dxa"/>
          <w:left w:w="200" w:type="dxa"/>
          <w:bottom w:w="120" w:type="dxa"/>
          <w:right w:w="200" w:type="dxa"/>
        </w:tblCellMar>
      </w:tblPr>
      <w:tblGrid>
        <w:gridCol w:w="9072"/>
      </w:tblGrid>
      <w:tr>
        <w:trPr>
          <w:cantSplit w:val="true"/>
        </w:trPr>
        <w:tc>
          <w:tcPr>
            <w:tcW w:type="dxa" w:w="9071"/>
            <w:shd w:val="clear" w:color="auto" w:fill="E8EDF6"/>
            <w:tcBorders>
              <w:left w:val="single" w:sz="24" w:space="0" w:color="1F3864"/>
            </w:tcBorders>
          </w:tcPr>
          <w:p>
            <w:pPr>
              <w:keepNext/>
              <w:spacing w:before="0" w:after="80" w:line="276" w:lineRule="auto"/>
            </w:pPr>
            <w:r>
              <w:rPr>
                <w:rFonts w:ascii="Times New Roman" w:hAnsi="Times New Roman" w:cs="Times New Roman" w:eastAsia="Times New Roman"/>
                <w:b/>
                <w:color w:val="1F3864"/>
                <w:sz w:val="23"/>
              </w:rPr>
              <w:t>Demonstration 3: A flood that raises GDP</w:t>
            </w:r>
          </w:p>
          <w:p>
            <w:pPr>
              <w:spacing w:before="0" w:after="60" w:line="288" w:lineRule="auto"/>
              <w:jc w:val="both"/>
            </w:pPr>
            <w:r>
              <w:rPr>
                <w:rFonts w:ascii="Times New Roman" w:hAnsi="Times New Roman" w:cs="Times New Roman" w:eastAsia="Times New Roman"/>
                <w:sz w:val="22"/>
              </w:rPr>
              <w:t>Imagine an economy with normal output of US$1,000 billion and national wealth of US$5,000 billion. A severe flood destroys houses, roads and crops worth US$300 billion and disrupts output by US$100 billion. The government and households then spend US$150 billion on reconstruction (Table 6).</w:t>
            </w:r>
          </w:p>
          <w:p>
            <w:pPr>
              <w:spacing w:before="20" w:after="20" w:line="276" w:lineRule="auto"/>
              <w:jc w:val="center"/>
            </w:pPr>
            <w:r>
              <w:rPr>
                <w:rFonts w:ascii="Times New Roman" w:hAnsi="Times New Roman" w:cs="Times New Roman" w:eastAsia="Times New Roman"/>
                <w:i/>
                <w:color w:val="1A1A1A"/>
                <w:sz w:val="22"/>
              </w:rPr>
              <w:t>Measured GDP = 900 + 150 = US$1,050 billion (+5%)</w:t>
            </w:r>
          </w:p>
          <w:p>
            <w:pPr>
              <w:spacing w:before="20" w:after="20" w:line="276" w:lineRule="auto"/>
              <w:jc w:val="center"/>
            </w:pPr>
            <w:r>
              <w:rPr>
                <w:rFonts w:ascii="Times New Roman" w:hAnsi="Times New Roman" w:cs="Times New Roman" w:eastAsia="Times New Roman"/>
                <w:i/>
                <w:color w:val="1A1A1A"/>
                <w:sz w:val="22"/>
              </w:rPr>
              <w:t>National wealth = 5,000 − 300 = US$4,700 billion (−6%)</w:t>
            </w:r>
          </w:p>
          <w:p>
            <w:pPr>
              <w:spacing w:before="0" w:after="60" w:line="288" w:lineRule="auto"/>
              <w:jc w:val="both"/>
            </w:pPr>
            <w:r>
              <w:rPr>
                <w:rFonts w:ascii="Times New Roman" w:hAnsi="Times New Roman" w:cs="Times New Roman" w:eastAsia="Times New Roman"/>
                <w:b/>
                <w:sz w:val="22"/>
              </w:rPr>
              <w:t>Lesson:</w:t>
            </w:r>
            <w:r>
              <w:rPr>
                <w:rFonts w:ascii="Times New Roman" w:hAnsi="Times New Roman" w:cs="Times New Roman" w:eastAsia="Times New Roman"/>
                <w:sz w:val="22"/>
              </w:rPr>
              <w:t xml:space="preserve"> GDP rises by 5 per cent in the year of a disaster, while the stock of wealth falls and households suffer losses, injury and displacement (Figure 10). For a flood-prone country such as Bangladesh, this is a practical warning against reading a post-disaster growth figure as good news.</w:t>
            </w:r>
          </w:p>
        </w:tc>
      </w:tr>
    </w:tbl>
    <w:p>
      <w:pPr>
        <w:spacing w:before="0" w:after="120" w:line="240" w:lineRule="auto"/>
      </w:pP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6</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GDP and well-being after a flood (hypothetical)</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4536"/>
        <w:gridCol w:w="2268"/>
        <w:gridCol w:w="2268"/>
      </w:tblGrid>
      <w:tr>
        <w:trPr>
          <w:tblHeader w:val="true"/>
        </w:trPr>
        <w:tc>
          <w:tcPr>
            <w:tcW w:type="dxa" w:w="4535"/>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Item (US$ billion)</w:t>
            </w:r>
          </w:p>
        </w:tc>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Scenario 1: no flood</w:t>
            </w:r>
          </w:p>
        </w:tc>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Scenario 2: flood</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Normal output</w:t>
            </w:r>
          </w:p>
        </w:tc>
        <w:tc>
          <w:tcPr>
            <w:tcW w:type="dxa" w:w="2268"/>
            <w:vAlign w:val="center"/>
          </w:tcPr>
          <w:p>
            <w:pPr>
              <w:spacing w:before="20" w:after="20" w:line="264" w:lineRule="auto"/>
              <w:jc w:val="center"/>
            </w:pPr>
            <w:r>
              <w:rPr>
                <w:rFonts w:ascii="Times New Roman" w:hAnsi="Times New Roman" w:cs="Times New Roman" w:eastAsia="Times New Roman"/>
                <w:sz w:val="20"/>
              </w:rPr>
              <w:t>1,000</w:t>
            </w:r>
          </w:p>
        </w:tc>
        <w:tc>
          <w:tcPr>
            <w:tcW w:type="dxa" w:w="2268"/>
            <w:vAlign w:val="center"/>
          </w:tcPr>
          <w:p>
            <w:pPr>
              <w:spacing w:before="20" w:after="20" w:line="264" w:lineRule="auto"/>
              <w:jc w:val="center"/>
            </w:pPr>
            <w:r>
              <w:rPr>
                <w:rFonts w:ascii="Times New Roman" w:hAnsi="Times New Roman" w:cs="Times New Roman" w:eastAsia="Times New Roman"/>
                <w:sz w:val="20"/>
              </w:rPr>
              <w:t>900</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Reconstruction spending</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0</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150</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b/>
                <w:sz w:val="20"/>
              </w:rPr>
              <w:t>Measured GDP</w:t>
            </w:r>
          </w:p>
        </w:tc>
        <w:tc>
          <w:tcPr>
            <w:tcW w:type="dxa" w:w="2268"/>
            <w:vAlign w:val="center"/>
          </w:tcPr>
          <w:p>
            <w:pPr>
              <w:spacing w:before="20" w:after="20" w:line="264" w:lineRule="auto"/>
              <w:jc w:val="center"/>
            </w:pPr>
            <w:r>
              <w:rPr>
                <w:rFonts w:ascii="Times New Roman" w:hAnsi="Times New Roman" w:cs="Times New Roman" w:eastAsia="Times New Roman"/>
                <w:b/>
                <w:sz w:val="20"/>
              </w:rPr>
              <w:t>1,000</w:t>
            </w:r>
          </w:p>
        </w:tc>
        <w:tc>
          <w:tcPr>
            <w:tcW w:type="dxa" w:w="2268"/>
            <w:vAlign w:val="center"/>
          </w:tcPr>
          <w:p>
            <w:pPr>
              <w:spacing w:before="20" w:after="20" w:line="264" w:lineRule="auto"/>
              <w:jc w:val="center"/>
            </w:pPr>
            <w:r>
              <w:rPr>
                <w:rFonts w:ascii="Times New Roman" w:hAnsi="Times New Roman" w:cs="Times New Roman" w:eastAsia="Times New Roman"/>
                <w:b/>
                <w:sz w:val="20"/>
              </w:rPr>
              <w:t>1,050</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Houses, roads and crops destroyed</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0</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300</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National wealth at year end</w:t>
            </w:r>
          </w:p>
        </w:tc>
        <w:tc>
          <w:tcPr>
            <w:tcW w:type="dxa" w:w="2268"/>
            <w:vAlign w:val="center"/>
          </w:tcPr>
          <w:p>
            <w:pPr>
              <w:spacing w:before="20" w:after="20" w:line="264" w:lineRule="auto"/>
              <w:jc w:val="center"/>
            </w:pPr>
            <w:r>
              <w:rPr>
                <w:rFonts w:ascii="Times New Roman" w:hAnsi="Times New Roman" w:cs="Times New Roman" w:eastAsia="Times New Roman"/>
                <w:sz w:val="20"/>
              </w:rPr>
              <w:t>5,000</w:t>
            </w:r>
          </w:p>
        </w:tc>
        <w:tc>
          <w:tcPr>
            <w:tcW w:type="dxa" w:w="2268"/>
            <w:vAlign w:val="center"/>
          </w:tcPr>
          <w:p>
            <w:pPr>
              <w:spacing w:before="20" w:after="20" w:line="264" w:lineRule="auto"/>
              <w:jc w:val="center"/>
            </w:pPr>
            <w:r>
              <w:rPr>
                <w:rFonts w:ascii="Times New Roman" w:hAnsi="Times New Roman" w:cs="Times New Roman" w:eastAsia="Times New Roman"/>
                <w:sz w:val="20"/>
              </w:rPr>
              <w:t>4,700</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Household well-being index (100 = normal)</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100</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88</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Author's hypothetical example.</w:t>
      </w:r>
    </w:p>
    <w:p>
      <w:pPr>
        <w:keepNext/>
        <w:spacing w:before="120" w:after="0" w:line="240" w:lineRule="auto"/>
        <w:jc w:val="center"/>
      </w:pPr>
      <w:r>
        <w:drawing>
          <wp:inline xmlns:a="http://schemas.openxmlformats.org/drawingml/2006/main" xmlns:pic="http://schemas.openxmlformats.org/drawingml/2006/picture">
            <wp:extent cx="4233600" cy="2797973"/>
            <wp:docPr id="12" name="Picture 12"/>
            <wp:cNvGraphicFramePr>
              <a:graphicFrameLocks noChangeAspect="1"/>
            </wp:cNvGraphicFramePr>
            <a:graphic>
              <a:graphicData uri="http://schemas.openxmlformats.org/drawingml/2006/picture">
                <pic:pic>
                  <pic:nvPicPr>
                    <pic:cNvPr id="0" name="f16_broken_window.png"/>
                    <pic:cNvPicPr/>
                  </pic:nvPicPr>
                  <pic:blipFill>
                    <a:blip r:embed="rId24"/>
                    <a:stretch>
                      <a:fillRect/>
                    </a:stretch>
                  </pic:blipFill>
                  <pic:spPr>
                    <a:xfrm>
                      <a:off x="0" y="0"/>
                      <a:ext cx="4233600" cy="2797973"/>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10</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GDP, wealth and well-being after a flood (hypothetical)</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Author's hypothetical example (Demonstration 3).</w:t>
      </w:r>
    </w:p>
    <w:p>
      <w:pPr>
        <w:pStyle w:val="Heading2"/>
      </w:pPr>
      <w:r>
        <w:rPr>
          <w:rFonts w:ascii="Times New Roman" w:hAnsi="Times New Roman" w:cs="Times New Roman" w:eastAsia="Times New Roman"/>
          <w:b/>
          <w:i w:val="0"/>
          <w:color w:val="1F3864"/>
        </w:rPr>
        <w:t>5.6 Spending More Does Not Always Mean Living Better</w:t>
      </w:r>
    </w:p>
    <w:p>
      <w:pPr>
        <w:spacing w:before="0" w:after="120" w:line="276" w:lineRule="auto"/>
        <w:jc w:val="both"/>
      </w:pPr>
      <w:r>
        <w:rPr>
          <w:rFonts w:ascii="Times New Roman" w:hAnsi="Times New Roman" w:cs="Times New Roman" w:eastAsia="Times New Roman"/>
        </w:rPr>
        <w:t>Health care shows clearly that more spending, and therefore more GDP, does not automatically produce better outcomes. The United States spends about 17 per cent of its GDP on health, far more than any other country, yet its life expectancy is lower than in Japan, France or Canada, which spend much less (Figure 11). Sri Lanka and Costa Rica achieve life expectancy close to that of rich countries at a fraction of the cost. GDP records the spending, but it cannot tell whether that spending is efficient or whether it reflects worse underlying health.</w:t>
      </w:r>
    </w:p>
    <w:p>
      <w:pPr>
        <w:keepNext/>
        <w:spacing w:before="120" w:after="0" w:line="240" w:lineRule="auto"/>
        <w:jc w:val="center"/>
      </w:pPr>
      <w:r>
        <w:drawing>
          <wp:inline xmlns:a="http://schemas.openxmlformats.org/drawingml/2006/main" xmlns:pic="http://schemas.openxmlformats.org/drawingml/2006/picture">
            <wp:extent cx="4536000" cy="2168899"/>
            <wp:docPr id="13" name="Picture 13"/>
            <wp:cNvGraphicFramePr>
              <a:graphicFrameLocks noChangeAspect="1"/>
            </wp:cNvGraphicFramePr>
            <a:graphic>
              <a:graphicData uri="http://schemas.openxmlformats.org/drawingml/2006/picture">
                <pic:pic>
                  <pic:nvPicPr>
                    <pic:cNvPr id="0" name="f11_health.png"/>
                    <pic:cNvPicPr/>
                  </pic:nvPicPr>
                  <pic:blipFill>
                    <a:blip r:embed="rId25"/>
                    <a:stretch>
                      <a:fillRect/>
                    </a:stretch>
                  </pic:blipFill>
                  <pic:spPr>
                    <a:xfrm>
                      <a:off x="0" y="0"/>
                      <a:ext cx="4536000" cy="2168899"/>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11</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Health spending and life expectancy in selected countries, 2021</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World Bank (2024) and WHO Global Health Expenditure Database; values rounded.</w:t>
      </w:r>
    </w:p>
    <w:p>
      <w:pPr>
        <w:pStyle w:val="Heading2"/>
      </w:pPr>
      <w:r>
        <w:rPr>
          <w:rFonts w:ascii="Times New Roman" w:hAnsi="Times New Roman" w:cs="Times New Roman" w:eastAsia="Times New Roman"/>
          <w:b/>
          <w:i w:val="0"/>
          <w:color w:val="1F3864"/>
        </w:rPr>
        <w:t>5.7 Happiness and the Easterlin Paradox</w:t>
      </w:r>
    </w:p>
    <w:p>
      <w:pPr>
        <w:spacing w:before="0" w:after="120" w:line="276" w:lineRule="auto"/>
        <w:jc w:val="both"/>
      </w:pPr>
      <w:r>
        <w:rPr>
          <w:rFonts w:ascii="Times New Roman" w:hAnsi="Times New Roman" w:cs="Times New Roman" w:eastAsia="Times New Roman"/>
        </w:rPr>
        <w:t xml:space="preserve">If GDP measured well-being, we would expect people in countries with rising GDP to report rising satisfaction with life. Richard Easterlin (1974) found that this did not happen. In the United States, real GDP per capita roughly doubled between 1972 and 2018, but the share of people describing themselves as “very happy” in the General Social Survey stayed at around 30 per cent (Figure 12). This is known as the </w:t>
      </w:r>
      <w:r>
        <w:rPr>
          <w:rFonts w:ascii="Times New Roman" w:hAnsi="Times New Roman" w:cs="Times New Roman" w:eastAsia="Times New Roman"/>
          <w:b/>
        </w:rPr>
        <w:t>Easterlin paradox</w:t>
      </w:r>
      <w:r>
        <w:rPr>
          <w:rFonts w:ascii="Times New Roman" w:hAnsi="Times New Roman" w:cs="Times New Roman" w:eastAsia="Times New Roman"/>
        </w:rPr>
        <w:t>.</w:t>
      </w:r>
    </w:p>
    <w:p>
      <w:pPr>
        <w:keepNext/>
        <w:spacing w:before="120" w:after="0" w:line="240" w:lineRule="auto"/>
        <w:jc w:val="center"/>
      </w:pPr>
      <w:r>
        <w:drawing>
          <wp:inline xmlns:a="http://schemas.openxmlformats.org/drawingml/2006/main" xmlns:pic="http://schemas.openxmlformats.org/drawingml/2006/picture">
            <wp:extent cx="4384800" cy="2341521"/>
            <wp:docPr id="14" name="Picture 14"/>
            <wp:cNvGraphicFramePr>
              <a:graphicFrameLocks noChangeAspect="1"/>
            </wp:cNvGraphicFramePr>
            <a:graphic>
              <a:graphicData uri="http://schemas.openxmlformats.org/drawingml/2006/picture">
                <pic:pic>
                  <pic:nvPicPr>
                    <pic:cNvPr id="0" name="f09_easterlin.png"/>
                    <pic:cNvPicPr/>
                  </pic:nvPicPr>
                  <pic:blipFill>
                    <a:blip r:embed="rId26"/>
                    <a:stretch>
                      <a:fillRect/>
                    </a:stretch>
                  </pic:blipFill>
                  <pic:spPr>
                    <a:xfrm>
                      <a:off x="0" y="0"/>
                      <a:ext cx="4384800" cy="2341521"/>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12</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United States: GDP per capita and reported happiness, 1972-2018</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US Bureau of Economic Analysis and NORC General Social Survey; illustrative, values rounded.</w:t>
      </w:r>
    </w:p>
    <w:p>
      <w:pPr>
        <w:spacing w:before="0" w:after="120" w:line="276" w:lineRule="auto"/>
        <w:jc w:val="both"/>
      </w:pPr>
      <w:r>
        <w:rPr>
          <w:rFonts w:ascii="Times New Roman" w:hAnsi="Times New Roman" w:cs="Times New Roman" w:eastAsia="Times New Roman"/>
        </w:rPr>
        <w:t>Across countries the picture is more nuanced. Figure 13 shows that richer countries do, on average, report higher life evaluations, so income clearly matters (Stevenson and Wolfers, 2008). But there are large differences at similar income levels. Costa Rica reports much higher life satisfaction than Russia or China at a similar GDP per capita, and Vietnam reports more than countries twice as rich. Social support, trust, freedom and good governance explain much of this gap (Helliwell et al., 2024).</w:t>
      </w:r>
    </w:p>
    <w:p>
      <w:pPr>
        <w:keepNext/>
        <w:spacing w:before="120" w:after="0" w:line="240" w:lineRule="auto"/>
        <w:jc w:val="center"/>
      </w:pPr>
      <w:r>
        <w:drawing>
          <wp:inline xmlns:a="http://schemas.openxmlformats.org/drawingml/2006/main" xmlns:pic="http://schemas.openxmlformats.org/drawingml/2006/picture">
            <wp:extent cx="4475520" cy="2720603"/>
            <wp:docPr id="15" name="Picture 15"/>
            <wp:cNvGraphicFramePr>
              <a:graphicFrameLocks noChangeAspect="1"/>
            </wp:cNvGraphicFramePr>
            <a:graphic>
              <a:graphicData uri="http://schemas.openxmlformats.org/drawingml/2006/picture">
                <pic:pic>
                  <pic:nvPicPr>
                    <pic:cNvPr id="0" name="f10_happiness.png"/>
                    <pic:cNvPicPr/>
                  </pic:nvPicPr>
                  <pic:blipFill>
                    <a:blip r:embed="rId27"/>
                    <a:stretch>
                      <a:fillRect/>
                    </a:stretch>
                  </pic:blipFill>
                  <pic:spPr>
                    <a:xfrm>
                      <a:off x="0" y="0"/>
                      <a:ext cx="4475520" cy="2720603"/>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13</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GDP per capita and life evaluation across countries</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Helliwell et al. (2024), World Happiness Report; World Bank (2024) for GDP per capita.</w:t>
      </w:r>
    </w:p>
    <w:p>
      <w:pPr>
        <w:pStyle w:val="Heading2"/>
      </w:pPr>
      <w:r>
        <w:rPr>
          <w:rFonts w:ascii="Times New Roman" w:hAnsi="Times New Roman" w:cs="Times New Roman" w:eastAsia="Times New Roman"/>
          <w:b/>
          <w:i w:val="0"/>
          <w:color w:val="1F3864"/>
        </w:rPr>
        <w:t>5.8 Quality Change, Free Digital Goods and Leisure</w:t>
      </w:r>
    </w:p>
    <w:p>
      <w:pPr>
        <w:spacing w:before="0" w:after="120" w:line="276" w:lineRule="auto"/>
        <w:jc w:val="both"/>
      </w:pPr>
      <w:r>
        <w:rPr>
          <w:rFonts w:ascii="Times New Roman" w:hAnsi="Times New Roman" w:cs="Times New Roman" w:eastAsia="Times New Roman"/>
        </w:rPr>
        <w:t xml:space="preserve">GDP also struggles with changes in quality. A smartphone today is far more powerful than a computer of twenty years ago, yet may cost less. Many digital services, such as search engines, maps and online learning, are free to users and hardly appear in GDP even though they add real value. In the other direction, GDP gives no value to </w:t>
      </w:r>
      <w:r>
        <w:rPr>
          <w:rFonts w:ascii="Times New Roman" w:hAnsi="Times New Roman" w:cs="Times New Roman" w:eastAsia="Times New Roman"/>
          <w:b/>
        </w:rPr>
        <w:t>leisure</w:t>
      </w:r>
      <w:r>
        <w:rPr>
          <w:rFonts w:ascii="Times New Roman" w:hAnsi="Times New Roman" w:cs="Times New Roman" w:eastAsia="Times New Roman"/>
        </w:rPr>
        <w:t>. If people work longer hours, GDP rises, even if the extra work leaves them exhausted and with less time for family. A country where people work 60 hours a week could have the same GDP as one where they work 40 hours with higher productivity, but the second clearly enjoys higher well-being.</w:t>
      </w:r>
    </w:p>
    <w:p>
      <w:pPr>
        <w:spacing w:before="0" w:after="120" w:line="276" w:lineRule="auto"/>
        <w:jc w:val="both"/>
      </w:pPr>
      <w:r>
        <w:rPr>
          <w:rFonts w:ascii="Times New Roman" w:hAnsi="Times New Roman" w:cs="Times New Roman" w:eastAsia="Times New Roman"/>
        </w:rPr>
        <w:t>Table 7 summarises the limitations discussed in this chapter.</w:t>
      </w: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7</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Summary of the main limitations of GDP</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2268"/>
        <w:gridCol w:w="3288"/>
        <w:gridCol w:w="3515"/>
      </w:tblGrid>
      <w:tr>
        <w:trPr>
          <w:tblHeader w:val="true"/>
        </w:trPr>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Limitation</w:t>
            </w:r>
          </w:p>
        </w:tc>
        <w:tc>
          <w:tcPr>
            <w:tcW w:type="dxa" w:w="328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Example</w:t>
            </w:r>
          </w:p>
        </w:tc>
        <w:tc>
          <w:tcPr>
            <w:tcW w:type="dxa" w:w="3515"/>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Effect on GDP as a well-being measure</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Ignores distribution</w:t>
            </w:r>
          </w:p>
        </w:tc>
        <w:tc>
          <w:tcPr>
            <w:tcW w:type="dxa" w:w="3288"/>
            <w:vAlign w:val="center"/>
          </w:tcPr>
          <w:p>
            <w:pPr>
              <w:spacing w:before="20" w:after="20" w:line="264" w:lineRule="auto"/>
              <w:jc w:val="left"/>
            </w:pPr>
            <w:r>
              <w:rPr>
                <w:rFonts w:ascii="Times New Roman" w:hAnsi="Times New Roman" w:cs="Times New Roman" w:eastAsia="Times New Roman"/>
                <w:sz w:val="20"/>
              </w:rPr>
              <w:t>Growth captured by the top 10%</w:t>
            </w:r>
          </w:p>
        </w:tc>
        <w:tc>
          <w:tcPr>
            <w:tcW w:type="dxa" w:w="3515"/>
            <w:vAlign w:val="center"/>
          </w:tcPr>
          <w:p>
            <w:pPr>
              <w:spacing w:before="20" w:after="20" w:line="264" w:lineRule="auto"/>
              <w:jc w:val="left"/>
            </w:pPr>
            <w:r>
              <w:rPr>
                <w:rFonts w:ascii="Times New Roman" w:hAnsi="Times New Roman" w:cs="Times New Roman" w:eastAsia="Times New Roman"/>
                <w:sz w:val="20"/>
              </w:rPr>
              <w:t>Average rises while most people gain little</w:t>
            </w:r>
          </w:p>
        </w:tc>
      </w:tr>
      <w:tr>
        <w:trPr>
          <w:cantSplit w:val="true"/>
        </w:trPr>
        <w:tc>
          <w:tcPr>
            <w:tcW w:type="dxa" w:w="2268"/>
            <w:shd w:val="clear" w:color="auto" w:fill="F2F5FA"/>
            <w:vAlign w:val="center"/>
          </w:tcPr>
          <w:p>
            <w:pPr>
              <w:spacing w:before="20" w:after="20" w:line="264" w:lineRule="auto"/>
              <w:jc w:val="left"/>
            </w:pPr>
            <w:r>
              <w:rPr>
                <w:rFonts w:ascii="Times New Roman" w:hAnsi="Times New Roman" w:cs="Times New Roman" w:eastAsia="Times New Roman"/>
                <w:sz w:val="20"/>
              </w:rPr>
              <w:t>Excludes unpaid work</w:t>
            </w:r>
          </w:p>
        </w:tc>
        <w:tc>
          <w:tcPr>
            <w:tcW w:type="dxa" w:w="3288"/>
            <w:shd w:val="clear" w:color="auto" w:fill="F2F5FA"/>
            <w:vAlign w:val="center"/>
          </w:tcPr>
          <w:p>
            <w:pPr>
              <w:spacing w:before="20" w:after="20" w:line="264" w:lineRule="auto"/>
              <w:jc w:val="left"/>
            </w:pPr>
            <w:r>
              <w:rPr>
                <w:rFonts w:ascii="Times New Roman" w:hAnsi="Times New Roman" w:cs="Times New Roman" w:eastAsia="Times New Roman"/>
                <w:sz w:val="20"/>
              </w:rPr>
              <w:t>Cooking, childcare, caring for elders</w:t>
            </w:r>
          </w:p>
        </w:tc>
        <w:tc>
          <w:tcPr>
            <w:tcW w:type="dxa" w:w="3515"/>
            <w:shd w:val="clear" w:color="auto" w:fill="F2F5FA"/>
            <w:vAlign w:val="center"/>
          </w:tcPr>
          <w:p>
            <w:pPr>
              <w:spacing w:before="20" w:after="20" w:line="264" w:lineRule="auto"/>
              <w:jc w:val="left"/>
            </w:pPr>
            <w:r>
              <w:rPr>
                <w:rFonts w:ascii="Times New Roman" w:hAnsi="Times New Roman" w:cs="Times New Roman" w:eastAsia="Times New Roman"/>
                <w:sz w:val="20"/>
              </w:rPr>
              <w:t>Undervalues women's contribution</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Misses informal output</w:t>
            </w:r>
          </w:p>
        </w:tc>
        <w:tc>
          <w:tcPr>
            <w:tcW w:type="dxa" w:w="3288"/>
            <w:vAlign w:val="center"/>
          </w:tcPr>
          <w:p>
            <w:pPr>
              <w:spacing w:before="20" w:after="20" w:line="264" w:lineRule="auto"/>
              <w:jc w:val="left"/>
            </w:pPr>
            <w:r>
              <w:rPr>
                <w:rFonts w:ascii="Times New Roman" w:hAnsi="Times New Roman" w:cs="Times New Roman" w:eastAsia="Times New Roman"/>
                <w:sz w:val="20"/>
              </w:rPr>
              <w:t>Street vendors, small farms</w:t>
            </w:r>
          </w:p>
        </w:tc>
        <w:tc>
          <w:tcPr>
            <w:tcW w:type="dxa" w:w="3515"/>
            <w:vAlign w:val="center"/>
          </w:tcPr>
          <w:p>
            <w:pPr>
              <w:spacing w:before="20" w:after="20" w:line="264" w:lineRule="auto"/>
              <w:jc w:val="left"/>
            </w:pPr>
            <w:r>
              <w:rPr>
                <w:rFonts w:ascii="Times New Roman" w:hAnsi="Times New Roman" w:cs="Times New Roman" w:eastAsia="Times New Roman"/>
                <w:sz w:val="20"/>
              </w:rPr>
              <w:t>Understates real activity in poor countries</w:t>
            </w:r>
          </w:p>
        </w:tc>
      </w:tr>
      <w:tr>
        <w:trPr>
          <w:cantSplit w:val="true"/>
        </w:trPr>
        <w:tc>
          <w:tcPr>
            <w:tcW w:type="dxa" w:w="2268"/>
            <w:shd w:val="clear" w:color="auto" w:fill="F2F5FA"/>
            <w:vAlign w:val="center"/>
          </w:tcPr>
          <w:p>
            <w:pPr>
              <w:spacing w:before="20" w:after="20" w:line="264" w:lineRule="auto"/>
              <w:jc w:val="left"/>
            </w:pPr>
            <w:r>
              <w:rPr>
                <w:rFonts w:ascii="Times New Roman" w:hAnsi="Times New Roman" w:cs="Times New Roman" w:eastAsia="Times New Roman"/>
                <w:sz w:val="20"/>
              </w:rPr>
              <w:t>Ignores environmental loss</w:t>
            </w:r>
          </w:p>
        </w:tc>
        <w:tc>
          <w:tcPr>
            <w:tcW w:type="dxa" w:w="3288"/>
            <w:shd w:val="clear" w:color="auto" w:fill="F2F5FA"/>
            <w:vAlign w:val="center"/>
          </w:tcPr>
          <w:p>
            <w:pPr>
              <w:spacing w:before="20" w:after="20" w:line="264" w:lineRule="auto"/>
              <w:jc w:val="left"/>
            </w:pPr>
            <w:r>
              <w:rPr>
                <w:rFonts w:ascii="Times New Roman" w:hAnsi="Times New Roman" w:cs="Times New Roman" w:eastAsia="Times New Roman"/>
                <w:sz w:val="20"/>
              </w:rPr>
              <w:t>Air pollution, river damage, deforestation</w:t>
            </w:r>
          </w:p>
        </w:tc>
        <w:tc>
          <w:tcPr>
            <w:tcW w:type="dxa" w:w="3515"/>
            <w:shd w:val="clear" w:color="auto" w:fill="F2F5FA"/>
            <w:vAlign w:val="center"/>
          </w:tcPr>
          <w:p>
            <w:pPr>
              <w:spacing w:before="20" w:after="20" w:line="264" w:lineRule="auto"/>
              <w:jc w:val="left"/>
            </w:pPr>
            <w:r>
              <w:rPr>
                <w:rFonts w:ascii="Times New Roman" w:hAnsi="Times New Roman" w:cs="Times New Roman" w:eastAsia="Times New Roman"/>
                <w:sz w:val="20"/>
              </w:rPr>
              <w:t>Counts depletion as income</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Counts defensive spending</w:t>
            </w:r>
          </w:p>
        </w:tc>
        <w:tc>
          <w:tcPr>
            <w:tcW w:type="dxa" w:w="3288"/>
            <w:vAlign w:val="center"/>
          </w:tcPr>
          <w:p>
            <w:pPr>
              <w:spacing w:before="20" w:after="20" w:line="264" w:lineRule="auto"/>
              <w:jc w:val="left"/>
            </w:pPr>
            <w:r>
              <w:rPr>
                <w:rFonts w:ascii="Times New Roman" w:hAnsi="Times New Roman" w:cs="Times New Roman" w:eastAsia="Times New Roman"/>
                <w:sz w:val="20"/>
              </w:rPr>
              <w:t>Flood repair, security guards, pollution illness</w:t>
            </w:r>
          </w:p>
        </w:tc>
        <w:tc>
          <w:tcPr>
            <w:tcW w:type="dxa" w:w="3515"/>
            <w:vAlign w:val="center"/>
          </w:tcPr>
          <w:p>
            <w:pPr>
              <w:spacing w:before="20" w:after="20" w:line="264" w:lineRule="auto"/>
              <w:jc w:val="left"/>
            </w:pPr>
            <w:r>
              <w:rPr>
                <w:rFonts w:ascii="Times New Roman" w:hAnsi="Times New Roman" w:cs="Times New Roman" w:eastAsia="Times New Roman"/>
                <w:sz w:val="20"/>
              </w:rPr>
              <w:t>GDP rises when life gets worse</w:t>
            </w:r>
          </w:p>
        </w:tc>
      </w:tr>
      <w:tr>
        <w:trPr>
          <w:cantSplit w:val="true"/>
        </w:trPr>
        <w:tc>
          <w:tcPr>
            <w:tcW w:type="dxa" w:w="2268"/>
            <w:shd w:val="clear" w:color="auto" w:fill="F2F5FA"/>
            <w:vAlign w:val="center"/>
          </w:tcPr>
          <w:p>
            <w:pPr>
              <w:spacing w:before="20" w:after="20" w:line="264" w:lineRule="auto"/>
              <w:jc w:val="left"/>
            </w:pPr>
            <w:r>
              <w:rPr>
                <w:rFonts w:ascii="Times New Roman" w:hAnsi="Times New Roman" w:cs="Times New Roman" w:eastAsia="Times New Roman"/>
                <w:sz w:val="20"/>
              </w:rPr>
              <w:t>Ignores leisure</w:t>
            </w:r>
          </w:p>
        </w:tc>
        <w:tc>
          <w:tcPr>
            <w:tcW w:type="dxa" w:w="3288"/>
            <w:shd w:val="clear" w:color="auto" w:fill="F2F5FA"/>
            <w:vAlign w:val="center"/>
          </w:tcPr>
          <w:p>
            <w:pPr>
              <w:spacing w:before="20" w:after="20" w:line="264" w:lineRule="auto"/>
              <w:jc w:val="center"/>
            </w:pPr>
            <w:r>
              <w:rPr>
                <w:rFonts w:ascii="Times New Roman" w:hAnsi="Times New Roman" w:cs="Times New Roman" w:eastAsia="Times New Roman"/>
                <w:sz w:val="20"/>
              </w:rPr>
              <w:t>Longer working hours</w:t>
            </w:r>
          </w:p>
        </w:tc>
        <w:tc>
          <w:tcPr>
            <w:tcW w:type="dxa" w:w="3515"/>
            <w:shd w:val="clear" w:color="auto" w:fill="F2F5FA"/>
            <w:vAlign w:val="center"/>
          </w:tcPr>
          <w:p>
            <w:pPr>
              <w:spacing w:before="20" w:after="20" w:line="264" w:lineRule="auto"/>
              <w:jc w:val="left"/>
            </w:pPr>
            <w:r>
              <w:rPr>
                <w:rFonts w:ascii="Times New Roman" w:hAnsi="Times New Roman" w:cs="Times New Roman" w:eastAsia="Times New Roman"/>
                <w:sz w:val="20"/>
              </w:rPr>
              <w:t>More output, less free time</w:t>
            </w:r>
          </w:p>
        </w:tc>
      </w:tr>
      <w:tr>
        <w:trPr>
          <w:cantSplit w:val="true"/>
        </w:trPr>
        <w:tc>
          <w:tcPr>
            <w:tcW w:type="dxa" w:w="2268"/>
            <w:vAlign w:val="center"/>
          </w:tcPr>
          <w:p>
            <w:pPr>
              <w:spacing w:before="20" w:after="20" w:line="264" w:lineRule="auto"/>
              <w:jc w:val="left"/>
            </w:pPr>
            <w:r>
              <w:rPr>
                <w:rFonts w:ascii="Times New Roman" w:hAnsi="Times New Roman" w:cs="Times New Roman" w:eastAsia="Times New Roman"/>
                <w:sz w:val="20"/>
              </w:rPr>
              <w:t>Weak link to happiness</w:t>
            </w:r>
          </w:p>
        </w:tc>
        <w:tc>
          <w:tcPr>
            <w:tcW w:type="dxa" w:w="3288"/>
            <w:vAlign w:val="center"/>
          </w:tcPr>
          <w:p>
            <w:pPr>
              <w:spacing w:before="20" w:after="20" w:line="264" w:lineRule="auto"/>
              <w:jc w:val="center"/>
            </w:pPr>
            <w:r>
              <w:rPr>
                <w:rFonts w:ascii="Times New Roman" w:hAnsi="Times New Roman" w:cs="Times New Roman" w:eastAsia="Times New Roman"/>
                <w:sz w:val="20"/>
              </w:rPr>
              <w:t>Easterlin paradox</w:t>
            </w:r>
          </w:p>
        </w:tc>
        <w:tc>
          <w:tcPr>
            <w:tcW w:type="dxa" w:w="3515"/>
            <w:vAlign w:val="center"/>
          </w:tcPr>
          <w:p>
            <w:pPr>
              <w:spacing w:before="20" w:after="20" w:line="264" w:lineRule="auto"/>
              <w:jc w:val="left"/>
            </w:pPr>
            <w:r>
              <w:rPr>
                <w:rFonts w:ascii="Times New Roman" w:hAnsi="Times New Roman" w:cs="Times New Roman" w:eastAsia="Times New Roman"/>
                <w:sz w:val="20"/>
              </w:rPr>
              <w:t>Rising income, flat life satisfaction</w:t>
            </w:r>
          </w:p>
        </w:tc>
      </w:tr>
      <w:tr>
        <w:trPr>
          <w:cantSplit w:val="true"/>
        </w:trPr>
        <w:tc>
          <w:tcPr>
            <w:tcW w:type="dxa" w:w="2268"/>
            <w:shd w:val="clear" w:color="auto" w:fill="F2F5FA"/>
            <w:vAlign w:val="center"/>
          </w:tcPr>
          <w:p>
            <w:pPr>
              <w:spacing w:before="20" w:after="20" w:line="264" w:lineRule="auto"/>
              <w:jc w:val="left"/>
            </w:pPr>
            <w:r>
              <w:rPr>
                <w:rFonts w:ascii="Times New Roman" w:hAnsi="Times New Roman" w:cs="Times New Roman" w:eastAsia="Times New Roman"/>
                <w:sz w:val="20"/>
              </w:rPr>
              <w:t>Quality and free goods</w:t>
            </w:r>
          </w:p>
        </w:tc>
        <w:tc>
          <w:tcPr>
            <w:tcW w:type="dxa" w:w="3288"/>
            <w:shd w:val="clear" w:color="auto" w:fill="F2F5FA"/>
            <w:vAlign w:val="center"/>
          </w:tcPr>
          <w:p>
            <w:pPr>
              <w:spacing w:before="20" w:after="20" w:line="264" w:lineRule="auto"/>
              <w:jc w:val="left"/>
            </w:pPr>
            <w:r>
              <w:rPr>
                <w:rFonts w:ascii="Times New Roman" w:hAnsi="Times New Roman" w:cs="Times New Roman" w:eastAsia="Times New Roman"/>
                <w:sz w:val="20"/>
              </w:rPr>
              <w:t>Free apps, better medicines</w:t>
            </w:r>
          </w:p>
        </w:tc>
        <w:tc>
          <w:tcPr>
            <w:tcW w:type="dxa" w:w="3515"/>
            <w:shd w:val="clear" w:color="auto" w:fill="F2F5FA"/>
            <w:vAlign w:val="center"/>
          </w:tcPr>
          <w:p>
            <w:pPr>
              <w:spacing w:before="20" w:after="20" w:line="264" w:lineRule="auto"/>
              <w:jc w:val="left"/>
            </w:pPr>
            <w:r>
              <w:rPr>
                <w:rFonts w:ascii="Times New Roman" w:hAnsi="Times New Roman" w:cs="Times New Roman" w:eastAsia="Times New Roman"/>
                <w:sz w:val="20"/>
              </w:rPr>
              <w:t>Under-records real gains</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Compiled by the author from the discussion in Chapter 5.</w:t>
      </w:r>
    </w:p>
    <w:p>
      <w:pPr>
        <w:pStyle w:val="Heading1"/>
        <w:pBdr>
          <w:bottom w:val="single" w:sz="8" w:space="4" w:color="1F3864"/>
        </w:pBdr>
      </w:pPr>
      <w:r>
        <w:rPr>
          <w:rFonts w:ascii="Times New Roman" w:hAnsi="Times New Roman" w:cs="Times New Roman" w:eastAsia="Times New Roman"/>
          <w:b/>
          <w:i w:val="0"/>
          <w:color w:val="1F3864"/>
        </w:rPr>
        <w:t>6. Alternative and Complementary Measures</w:t>
      </w:r>
    </w:p>
    <w:p>
      <w:pPr>
        <w:spacing w:before="0" w:after="120" w:line="276" w:lineRule="auto"/>
        <w:jc w:val="both"/>
      </w:pPr>
      <w:r>
        <w:rPr>
          <w:rFonts w:ascii="Times New Roman" w:hAnsi="Times New Roman" w:cs="Times New Roman" w:eastAsia="Times New Roman"/>
        </w:rPr>
        <w:t xml:space="preserve">The limitations of GDP have encouraged the development of several alternative measures. Some replace GDP with a different single number, while others use a group of indicators (a </w:t>
      </w:r>
      <w:r>
        <w:rPr>
          <w:rFonts w:ascii="Times New Roman" w:hAnsi="Times New Roman" w:cs="Times New Roman" w:eastAsia="Times New Roman"/>
          <w:i/>
        </w:rPr>
        <w:t>dashboard</w:t>
      </w:r>
      <w:r>
        <w:rPr>
          <w:rFonts w:ascii="Times New Roman" w:hAnsi="Times New Roman" w:cs="Times New Roman" w:eastAsia="Times New Roman"/>
        </w:rPr>
        <w:t>). This chapter reviews the most important ones.</w:t>
      </w:r>
    </w:p>
    <w:p>
      <w:pPr>
        <w:pStyle w:val="Heading2"/>
      </w:pPr>
      <w:r>
        <w:rPr>
          <w:rFonts w:ascii="Times New Roman" w:hAnsi="Times New Roman" w:cs="Times New Roman" w:eastAsia="Times New Roman"/>
          <w:b/>
          <w:i w:val="0"/>
          <w:color w:val="1F3864"/>
        </w:rPr>
        <w:t>6.1 The Human Development Index (HDI)</w:t>
      </w:r>
    </w:p>
    <w:p>
      <w:pPr>
        <w:spacing w:before="0" w:after="120" w:line="276" w:lineRule="auto"/>
        <w:jc w:val="both"/>
      </w:pPr>
      <w:r>
        <w:rPr>
          <w:rFonts w:ascii="Times New Roman" w:hAnsi="Times New Roman" w:cs="Times New Roman" w:eastAsia="Times New Roman"/>
        </w:rPr>
        <w:t>The HDI was introduced by the United Nations Development Programme in 1990, based on the ideas of Mahbub ul Haq and Amartya Sen. It combines three dimensions: a long and healthy life (life expectancy), knowledge (expected and mean years of schooling) and a decent standard of living (GNI per capita in PPP terms, on a log scale). Each component is turned into an index between 0 and 1 using fixed minimum and maximum values (goalposts), and the HDI is their geometric mean:</w:t>
      </w:r>
    </w:p>
    <w:p>
      <w:pPr>
        <w:spacing w:before="40" w:after="160" w:line="288" w:lineRule="auto"/>
        <w:jc w:val="center"/>
      </w:pPr>
      <w:r>
        <w:rPr>
          <w:rFonts w:ascii="Times New Roman" w:hAnsi="Times New Roman" w:cs="Times New Roman" w:eastAsia="Times New Roman"/>
          <w:i/>
          <w:color w:val="1A1A1A"/>
          <w:sz w:val="24"/>
        </w:rPr>
        <w:t>Dimension index = (Actual value − Minimum) / (Maximum − Minimum)</w:t>
      </w:r>
    </w:p>
    <w:p>
      <w:pPr>
        <w:spacing w:before="40" w:after="160" w:line="288" w:lineRule="auto"/>
        <w:jc w:val="center"/>
      </w:pPr>
      <w:r>
        <w:rPr>
          <w:rFonts w:ascii="Times New Roman" w:hAnsi="Times New Roman" w:cs="Times New Roman" w:eastAsia="Times New Roman"/>
          <w:i/>
          <w:color w:val="1A1A1A"/>
          <w:sz w:val="24"/>
        </w:rPr>
        <w:t>HDI = (Health index × Education index × Income index)^(1/3)</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120" w:type="dxa"/>
          <w:left w:w="200" w:type="dxa"/>
          <w:bottom w:w="120" w:type="dxa"/>
          <w:right w:w="200" w:type="dxa"/>
        </w:tblCellMar>
      </w:tblPr>
      <w:tblGrid>
        <w:gridCol w:w="9072"/>
      </w:tblGrid>
      <w:tr>
        <w:trPr>
          <w:cantSplit w:val="true"/>
        </w:trPr>
        <w:tc>
          <w:tcPr>
            <w:tcW w:type="dxa" w:w="9071"/>
            <w:shd w:val="clear" w:color="auto" w:fill="E8EDF6"/>
            <w:tcBorders>
              <w:left w:val="single" w:sz="24" w:space="0" w:color="1F3864"/>
            </w:tcBorders>
          </w:tcPr>
          <w:p>
            <w:pPr>
              <w:keepNext/>
              <w:spacing w:before="0" w:after="80" w:line="276" w:lineRule="auto"/>
            </w:pPr>
            <w:r>
              <w:rPr>
                <w:rFonts w:ascii="Times New Roman" w:hAnsi="Times New Roman" w:cs="Times New Roman" w:eastAsia="Times New Roman"/>
                <w:b/>
                <w:color w:val="1F3864"/>
                <w:sz w:val="23"/>
              </w:rPr>
              <w:t>Demonstration 4: Calculating Bangladesh's HDI</w:t>
            </w:r>
          </w:p>
          <w:p>
            <w:pPr>
              <w:spacing w:before="0" w:after="60" w:line="288" w:lineRule="auto"/>
              <w:jc w:val="both"/>
            </w:pPr>
            <w:r>
              <w:rPr>
                <w:rFonts w:ascii="Times New Roman" w:hAnsi="Times New Roman" w:cs="Times New Roman" w:eastAsia="Times New Roman"/>
                <w:sz w:val="22"/>
              </w:rPr>
              <w:t>Using UNDP data for 2022, the steps are:</w:t>
            </w:r>
          </w:p>
          <w:p>
            <w:pPr>
              <w:spacing w:before="20" w:after="20" w:line="276" w:lineRule="auto"/>
              <w:jc w:val="center"/>
            </w:pPr>
            <w:r>
              <w:rPr>
                <w:rFonts w:ascii="Times New Roman" w:hAnsi="Times New Roman" w:cs="Times New Roman" w:eastAsia="Times New Roman"/>
                <w:i/>
                <w:color w:val="1A1A1A"/>
                <w:sz w:val="22"/>
              </w:rPr>
              <w:t>Health index = (73.7 − 20) / (85 − 20) = 0.826</w:t>
            </w:r>
          </w:p>
          <w:p>
            <w:pPr>
              <w:spacing w:before="20" w:after="20" w:line="276" w:lineRule="auto"/>
              <w:jc w:val="center"/>
            </w:pPr>
            <w:r>
              <w:rPr>
                <w:rFonts w:ascii="Times New Roman" w:hAnsi="Times New Roman" w:cs="Times New Roman" w:eastAsia="Times New Roman"/>
                <w:i/>
                <w:color w:val="1A1A1A"/>
                <w:sz w:val="22"/>
              </w:rPr>
              <w:t>Education index = [(11.9 / 18) + (7.4 / 15)] / 2 = (0.661 + 0.493) / 2 = 0.577</w:t>
            </w:r>
          </w:p>
          <w:p>
            <w:pPr>
              <w:spacing w:before="20" w:after="20" w:line="276" w:lineRule="auto"/>
              <w:jc w:val="center"/>
            </w:pPr>
            <w:r>
              <w:rPr>
                <w:rFonts w:ascii="Times New Roman" w:hAnsi="Times New Roman" w:cs="Times New Roman" w:eastAsia="Times New Roman"/>
                <w:i/>
                <w:color w:val="1A1A1A"/>
                <w:sz w:val="22"/>
              </w:rPr>
              <w:t>Income index = [ln(6,511) − ln(100)] / [ln(75,000) − ln(100)] = 4.176 / 6.620 = 0.631</w:t>
            </w:r>
          </w:p>
          <w:p>
            <w:pPr>
              <w:spacing w:before="20" w:after="20" w:line="276" w:lineRule="auto"/>
              <w:jc w:val="center"/>
            </w:pPr>
            <w:r>
              <w:rPr>
                <w:rFonts w:ascii="Times New Roman" w:hAnsi="Times New Roman" w:cs="Times New Roman" w:eastAsia="Times New Roman"/>
                <w:i/>
                <w:color w:val="1A1A1A"/>
                <w:sz w:val="22"/>
              </w:rPr>
              <w:t>HDI = (0.826 × 0.577 × 0.631)^(1/3) = 0.670</w:t>
            </w:r>
          </w:p>
          <w:p>
            <w:pPr>
              <w:spacing w:before="0" w:after="60" w:line="288" w:lineRule="auto"/>
              <w:jc w:val="both"/>
            </w:pPr>
            <w:r>
              <w:rPr>
                <w:rFonts w:ascii="Times New Roman" w:hAnsi="Times New Roman" w:cs="Times New Roman" w:eastAsia="Times New Roman"/>
                <w:b/>
                <w:sz w:val="22"/>
              </w:rPr>
              <w:t>Lesson:</w:t>
            </w:r>
            <w:r>
              <w:rPr>
                <w:rFonts w:ascii="Times New Roman" w:hAnsi="Times New Roman" w:cs="Times New Roman" w:eastAsia="Times New Roman"/>
                <w:sz w:val="22"/>
              </w:rPr>
              <w:t xml:space="preserve"> Bangladesh's health index (0.826) is much stronger than its income index (0.631). Judged by GDP alone, the country's progress in health would be understated, while its weaker education outcomes would be invisible. Table 8 shows the full calculation.</w:t>
            </w:r>
          </w:p>
        </w:tc>
      </w:tr>
    </w:tbl>
    <w:p>
      <w:pPr>
        <w:spacing w:before="0" w:after="120" w:line="240" w:lineRule="auto"/>
      </w:pP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8</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Calculation of Bangladesh's HDI, 2022</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3515"/>
        <w:gridCol w:w="1701"/>
        <w:gridCol w:w="2154"/>
        <w:gridCol w:w="1701"/>
      </w:tblGrid>
      <w:tr>
        <w:trPr>
          <w:tblHeader w:val="true"/>
        </w:trPr>
        <w:tc>
          <w:tcPr>
            <w:tcW w:type="dxa" w:w="3515"/>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Component</w:t>
            </w:r>
          </w:p>
        </w:tc>
        <w:tc>
          <w:tcPr>
            <w:tcW w:type="dxa" w:w="1701"/>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Actual value</w:t>
            </w:r>
          </w:p>
        </w:tc>
        <w:tc>
          <w:tcPr>
            <w:tcW w:type="dxa" w:w="2154"/>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Min / Max (goalposts)</w:t>
            </w:r>
          </w:p>
        </w:tc>
        <w:tc>
          <w:tcPr>
            <w:tcW w:type="dxa" w:w="1701"/>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Index</w:t>
            </w:r>
          </w:p>
        </w:tc>
      </w:tr>
      <w:tr>
        <w:trPr>
          <w:cantSplit w:val="true"/>
        </w:trPr>
        <w:tc>
          <w:tcPr>
            <w:tcW w:type="dxa" w:w="3515"/>
            <w:vAlign w:val="center"/>
          </w:tcPr>
          <w:p>
            <w:pPr>
              <w:spacing w:before="20" w:after="20" w:line="264" w:lineRule="auto"/>
              <w:jc w:val="left"/>
            </w:pPr>
            <w:r>
              <w:rPr>
                <w:rFonts w:ascii="Times New Roman" w:hAnsi="Times New Roman" w:cs="Times New Roman" w:eastAsia="Times New Roman"/>
                <w:sz w:val="20"/>
              </w:rPr>
              <w:t>Life expectancy at birth (years)</w:t>
            </w:r>
          </w:p>
        </w:tc>
        <w:tc>
          <w:tcPr>
            <w:tcW w:type="dxa" w:w="1701"/>
            <w:vAlign w:val="center"/>
          </w:tcPr>
          <w:p>
            <w:pPr>
              <w:spacing w:before="20" w:after="20" w:line="264" w:lineRule="auto"/>
              <w:jc w:val="center"/>
            </w:pPr>
            <w:r>
              <w:rPr>
                <w:rFonts w:ascii="Times New Roman" w:hAnsi="Times New Roman" w:cs="Times New Roman" w:eastAsia="Times New Roman"/>
                <w:sz w:val="20"/>
              </w:rPr>
              <w:t>73.7</w:t>
            </w:r>
          </w:p>
        </w:tc>
        <w:tc>
          <w:tcPr>
            <w:tcW w:type="dxa" w:w="2154"/>
            <w:vAlign w:val="center"/>
          </w:tcPr>
          <w:p>
            <w:pPr>
              <w:spacing w:before="20" w:after="20" w:line="264" w:lineRule="auto"/>
              <w:jc w:val="center"/>
            </w:pPr>
            <w:r>
              <w:rPr>
                <w:rFonts w:ascii="Times New Roman" w:hAnsi="Times New Roman" w:cs="Times New Roman" w:eastAsia="Times New Roman"/>
                <w:sz w:val="20"/>
              </w:rPr>
              <w:t>20 / 85</w:t>
            </w:r>
          </w:p>
        </w:tc>
        <w:tc>
          <w:tcPr>
            <w:tcW w:type="dxa" w:w="1701"/>
            <w:vAlign w:val="center"/>
          </w:tcPr>
          <w:p>
            <w:pPr>
              <w:spacing w:before="20" w:after="20" w:line="264" w:lineRule="auto"/>
              <w:jc w:val="center"/>
            </w:pPr>
            <w:r>
              <w:rPr>
                <w:rFonts w:ascii="Times New Roman" w:hAnsi="Times New Roman" w:cs="Times New Roman" w:eastAsia="Times New Roman"/>
                <w:sz w:val="20"/>
              </w:rPr>
              <w:t>0.826</w:t>
            </w:r>
          </w:p>
        </w:tc>
      </w:tr>
      <w:tr>
        <w:trPr>
          <w:cantSplit w:val="true"/>
        </w:trPr>
        <w:tc>
          <w:tcPr>
            <w:tcW w:type="dxa" w:w="3515"/>
            <w:shd w:val="clear" w:color="auto" w:fill="F2F5FA"/>
            <w:vAlign w:val="center"/>
          </w:tcPr>
          <w:p>
            <w:pPr>
              <w:spacing w:before="20" w:after="20" w:line="264" w:lineRule="auto"/>
              <w:jc w:val="left"/>
            </w:pPr>
            <w:r>
              <w:rPr>
                <w:rFonts w:ascii="Times New Roman" w:hAnsi="Times New Roman" w:cs="Times New Roman" w:eastAsia="Times New Roman"/>
                <w:sz w:val="20"/>
              </w:rPr>
              <w:t>Expected years of schooling</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11.9</w:t>
            </w:r>
          </w:p>
        </w:tc>
        <w:tc>
          <w:tcPr>
            <w:tcW w:type="dxa" w:w="2154"/>
            <w:shd w:val="clear" w:color="auto" w:fill="F2F5FA"/>
            <w:vAlign w:val="center"/>
          </w:tcPr>
          <w:p>
            <w:pPr>
              <w:spacing w:before="20" w:after="20" w:line="264" w:lineRule="auto"/>
              <w:jc w:val="center"/>
            </w:pPr>
            <w:r>
              <w:rPr>
                <w:rFonts w:ascii="Times New Roman" w:hAnsi="Times New Roman" w:cs="Times New Roman" w:eastAsia="Times New Roman"/>
                <w:sz w:val="20"/>
              </w:rPr>
              <w:t>0 / 18</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0.661</w:t>
            </w:r>
          </w:p>
        </w:tc>
      </w:tr>
      <w:tr>
        <w:trPr>
          <w:cantSplit w:val="true"/>
        </w:trPr>
        <w:tc>
          <w:tcPr>
            <w:tcW w:type="dxa" w:w="3515"/>
            <w:vAlign w:val="center"/>
          </w:tcPr>
          <w:p>
            <w:pPr>
              <w:spacing w:before="20" w:after="20" w:line="264" w:lineRule="auto"/>
              <w:jc w:val="left"/>
            </w:pPr>
            <w:r>
              <w:rPr>
                <w:rFonts w:ascii="Times New Roman" w:hAnsi="Times New Roman" w:cs="Times New Roman" w:eastAsia="Times New Roman"/>
                <w:sz w:val="20"/>
              </w:rPr>
              <w:t>Mean years of schooling</w:t>
            </w:r>
          </w:p>
        </w:tc>
        <w:tc>
          <w:tcPr>
            <w:tcW w:type="dxa" w:w="1701"/>
            <w:vAlign w:val="center"/>
          </w:tcPr>
          <w:p>
            <w:pPr>
              <w:spacing w:before="20" w:after="20" w:line="264" w:lineRule="auto"/>
              <w:jc w:val="center"/>
            </w:pPr>
            <w:r>
              <w:rPr>
                <w:rFonts w:ascii="Times New Roman" w:hAnsi="Times New Roman" w:cs="Times New Roman" w:eastAsia="Times New Roman"/>
                <w:sz w:val="20"/>
              </w:rPr>
              <w:t>7.4</w:t>
            </w:r>
          </w:p>
        </w:tc>
        <w:tc>
          <w:tcPr>
            <w:tcW w:type="dxa" w:w="2154"/>
            <w:vAlign w:val="center"/>
          </w:tcPr>
          <w:p>
            <w:pPr>
              <w:spacing w:before="20" w:after="20" w:line="264" w:lineRule="auto"/>
              <w:jc w:val="center"/>
            </w:pPr>
            <w:r>
              <w:rPr>
                <w:rFonts w:ascii="Times New Roman" w:hAnsi="Times New Roman" w:cs="Times New Roman" w:eastAsia="Times New Roman"/>
                <w:sz w:val="20"/>
              </w:rPr>
              <w:t>0 / 15</w:t>
            </w:r>
          </w:p>
        </w:tc>
        <w:tc>
          <w:tcPr>
            <w:tcW w:type="dxa" w:w="1701"/>
            <w:vAlign w:val="center"/>
          </w:tcPr>
          <w:p>
            <w:pPr>
              <w:spacing w:before="20" w:after="20" w:line="264" w:lineRule="auto"/>
              <w:jc w:val="center"/>
            </w:pPr>
            <w:r>
              <w:rPr>
                <w:rFonts w:ascii="Times New Roman" w:hAnsi="Times New Roman" w:cs="Times New Roman" w:eastAsia="Times New Roman"/>
                <w:sz w:val="20"/>
              </w:rPr>
              <w:t>0.493</w:t>
            </w:r>
          </w:p>
        </w:tc>
      </w:tr>
      <w:tr>
        <w:trPr>
          <w:cantSplit w:val="true"/>
        </w:trPr>
        <w:tc>
          <w:tcPr>
            <w:tcW w:type="dxa" w:w="3515"/>
            <w:shd w:val="clear" w:color="auto" w:fill="F2F5FA"/>
            <w:vAlign w:val="center"/>
          </w:tcPr>
          <w:p>
            <w:pPr>
              <w:spacing w:before="20" w:after="20" w:line="264" w:lineRule="auto"/>
              <w:jc w:val="left"/>
            </w:pPr>
            <w:r>
              <w:rPr>
                <w:rFonts w:ascii="Times New Roman" w:hAnsi="Times New Roman" w:cs="Times New Roman" w:eastAsia="Times New Roman"/>
                <w:sz w:val="20"/>
              </w:rPr>
              <w:t>Education index (average of the two)</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w:t>
            </w:r>
          </w:p>
        </w:tc>
        <w:tc>
          <w:tcPr>
            <w:tcW w:type="dxa" w:w="2154"/>
            <w:shd w:val="clear" w:color="auto" w:fill="F2F5FA"/>
            <w:vAlign w:val="center"/>
          </w:tcPr>
          <w:p>
            <w:pPr>
              <w:spacing w:before="20" w:after="20" w:line="264" w:lineRule="auto"/>
              <w:jc w:val="center"/>
            </w:pPr>
            <w:r>
              <w:rPr>
                <w:rFonts w:ascii="Times New Roman" w:hAnsi="Times New Roman" w:cs="Times New Roman" w:eastAsia="Times New Roman"/>
                <w:sz w:val="20"/>
              </w:rPr>
              <w:t>-</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0.577</w:t>
            </w:r>
          </w:p>
        </w:tc>
      </w:tr>
      <w:tr>
        <w:trPr>
          <w:cantSplit w:val="true"/>
        </w:trPr>
        <w:tc>
          <w:tcPr>
            <w:tcW w:type="dxa" w:w="3515"/>
            <w:vAlign w:val="center"/>
          </w:tcPr>
          <w:p>
            <w:pPr>
              <w:spacing w:before="20" w:after="20" w:line="264" w:lineRule="auto"/>
              <w:jc w:val="left"/>
            </w:pPr>
            <w:r>
              <w:rPr>
                <w:rFonts w:ascii="Times New Roman" w:hAnsi="Times New Roman" w:cs="Times New Roman" w:eastAsia="Times New Roman"/>
                <w:sz w:val="20"/>
              </w:rPr>
              <w:t>GNI per capita (2017 PPP $)</w:t>
            </w:r>
          </w:p>
        </w:tc>
        <w:tc>
          <w:tcPr>
            <w:tcW w:type="dxa" w:w="1701"/>
            <w:vAlign w:val="center"/>
          </w:tcPr>
          <w:p>
            <w:pPr>
              <w:spacing w:before="20" w:after="20" w:line="264" w:lineRule="auto"/>
              <w:jc w:val="center"/>
            </w:pPr>
            <w:r>
              <w:rPr>
                <w:rFonts w:ascii="Times New Roman" w:hAnsi="Times New Roman" w:cs="Times New Roman" w:eastAsia="Times New Roman"/>
                <w:sz w:val="20"/>
              </w:rPr>
              <w:t>6,511</w:t>
            </w:r>
          </w:p>
        </w:tc>
        <w:tc>
          <w:tcPr>
            <w:tcW w:type="dxa" w:w="2154"/>
            <w:vAlign w:val="center"/>
          </w:tcPr>
          <w:p>
            <w:pPr>
              <w:spacing w:before="20" w:after="20" w:line="264" w:lineRule="auto"/>
              <w:jc w:val="center"/>
            </w:pPr>
            <w:r>
              <w:rPr>
                <w:rFonts w:ascii="Times New Roman" w:hAnsi="Times New Roman" w:cs="Times New Roman" w:eastAsia="Times New Roman"/>
                <w:sz w:val="20"/>
              </w:rPr>
              <w:t>100 / 75,000</w:t>
            </w:r>
          </w:p>
        </w:tc>
        <w:tc>
          <w:tcPr>
            <w:tcW w:type="dxa" w:w="1701"/>
            <w:vAlign w:val="center"/>
          </w:tcPr>
          <w:p>
            <w:pPr>
              <w:spacing w:before="20" w:after="20" w:line="264" w:lineRule="auto"/>
              <w:jc w:val="center"/>
            </w:pPr>
            <w:r>
              <w:rPr>
                <w:rFonts w:ascii="Times New Roman" w:hAnsi="Times New Roman" w:cs="Times New Roman" w:eastAsia="Times New Roman"/>
                <w:sz w:val="20"/>
              </w:rPr>
              <w:t>0.631</w:t>
            </w:r>
          </w:p>
        </w:tc>
      </w:tr>
      <w:tr>
        <w:trPr>
          <w:cantSplit w:val="true"/>
        </w:trPr>
        <w:tc>
          <w:tcPr>
            <w:tcW w:type="dxa" w:w="3515"/>
            <w:shd w:val="clear" w:color="auto" w:fill="F2F5FA"/>
            <w:vAlign w:val="center"/>
          </w:tcPr>
          <w:p>
            <w:pPr>
              <w:spacing w:before="20" w:after="20" w:line="264" w:lineRule="auto"/>
              <w:jc w:val="left"/>
            </w:pPr>
            <w:r>
              <w:rPr>
                <w:rFonts w:ascii="Times New Roman" w:hAnsi="Times New Roman" w:cs="Times New Roman" w:eastAsia="Times New Roman"/>
                <w:b/>
                <w:sz w:val="20"/>
              </w:rPr>
              <w:t>HDI = (0.826 × 0.577 × 0.631)^(1/3)</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w:t>
            </w:r>
          </w:p>
        </w:tc>
        <w:tc>
          <w:tcPr>
            <w:tcW w:type="dxa" w:w="2154"/>
            <w:shd w:val="clear" w:color="auto" w:fill="F2F5FA"/>
            <w:vAlign w:val="center"/>
          </w:tcPr>
          <w:p>
            <w:pPr>
              <w:spacing w:before="20" w:after="20" w:line="264" w:lineRule="auto"/>
              <w:jc w:val="center"/>
            </w:pPr>
            <w:r>
              <w:rPr>
                <w:rFonts w:ascii="Times New Roman" w:hAnsi="Times New Roman" w:cs="Times New Roman" w:eastAsia="Times New Roman"/>
                <w:sz w:val="20"/>
              </w:rPr>
              <w:t>-</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b/>
                <w:sz w:val="20"/>
              </w:rPr>
              <w:t>0.670</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Author's calculation using UNDP (2024) data and method.</w:t>
      </w:r>
    </w:p>
    <w:p>
      <w:pPr>
        <w:spacing w:before="0" w:after="120" w:line="276" w:lineRule="auto"/>
        <w:jc w:val="both"/>
      </w:pPr>
      <w:r>
        <w:rPr>
          <w:rFonts w:ascii="Times New Roman" w:hAnsi="Times New Roman" w:cs="Times New Roman" w:eastAsia="Times New Roman"/>
        </w:rPr>
        <w:t>Figure 14 shows that the HDI is strongly related to GDP per capita, as expected, since income is one of its components. Still, some countries perform much better on the HDI than their income would suggest (Sri Lanka, Vietnam), while others perform worse (Equatorial Guinea, Qatar, Nigeria). The ranking of a country can change considerably depending on whether GDP or HDI is used.</w:t>
      </w:r>
    </w:p>
    <w:p>
      <w:pPr>
        <w:keepNext/>
        <w:spacing w:before="120" w:after="0" w:line="240" w:lineRule="auto"/>
        <w:jc w:val="center"/>
      </w:pPr>
      <w:r>
        <w:drawing>
          <wp:inline xmlns:a="http://schemas.openxmlformats.org/drawingml/2006/main" xmlns:pic="http://schemas.openxmlformats.org/drawingml/2006/picture">
            <wp:extent cx="4475520" cy="2722555"/>
            <wp:docPr id="16" name="Picture 16"/>
            <wp:cNvGraphicFramePr>
              <a:graphicFrameLocks noChangeAspect="1"/>
            </wp:cNvGraphicFramePr>
            <a:graphic>
              <a:graphicData uri="http://schemas.openxmlformats.org/drawingml/2006/picture">
                <pic:pic>
                  <pic:nvPicPr>
                    <pic:cNvPr id="0" name="f13_hdi.png"/>
                    <pic:cNvPicPr/>
                  </pic:nvPicPr>
                  <pic:blipFill>
                    <a:blip r:embed="rId28"/>
                    <a:stretch>
                      <a:fillRect/>
                    </a:stretch>
                  </pic:blipFill>
                  <pic:spPr>
                    <a:xfrm>
                      <a:off x="0" y="0"/>
                      <a:ext cx="4475520" cy="2722555"/>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14</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GDP per capita and Human Development Index, 2022</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UNDP (2024), Human Development Report 2023/24; World Bank (2024).</w:t>
      </w:r>
    </w:p>
    <w:p>
      <w:pPr>
        <w:pStyle w:val="Heading2"/>
      </w:pPr>
      <w:r>
        <w:rPr>
          <w:rFonts w:ascii="Times New Roman" w:hAnsi="Times New Roman" w:cs="Times New Roman" w:eastAsia="Times New Roman"/>
          <w:b/>
          <w:i w:val="0"/>
          <w:color w:val="1F3864"/>
        </w:rPr>
        <w:t>6.2 The Genuine Progress Indicator (GPI)</w:t>
      </w:r>
    </w:p>
    <w:p>
      <w:pPr>
        <w:spacing w:before="0" w:after="120" w:line="276" w:lineRule="auto"/>
        <w:jc w:val="both"/>
      </w:pPr>
      <w:r>
        <w:rPr>
          <w:rFonts w:ascii="Times New Roman" w:hAnsi="Times New Roman" w:cs="Times New Roman" w:eastAsia="Times New Roman"/>
        </w:rPr>
        <w:t>The GPI starts with personal consumption, adjusts it for income inequality, adds the value of household and volunteer work, and subtracts costs such as crime, pollution, commuting, loss of leisure, depletion of resources and long-term environmental damage. Studies for the United States and for the world as a whole find that GPI per capita rose with GDP until the late 1970s and then stopped growing, even as GDP continued to rise (Kubiszewski et al., 2013). Figure 15 shows this pattern in stylised form. The widening gap suggests that, after a certain point, the costs of growth began to cancel out its benefits.</w:t>
      </w:r>
    </w:p>
    <w:p>
      <w:pPr>
        <w:keepNext/>
        <w:spacing w:before="120" w:after="0" w:line="240" w:lineRule="auto"/>
        <w:jc w:val="center"/>
      </w:pPr>
      <w:r>
        <w:drawing>
          <wp:inline xmlns:a="http://schemas.openxmlformats.org/drawingml/2006/main" xmlns:pic="http://schemas.openxmlformats.org/drawingml/2006/picture">
            <wp:extent cx="4384800" cy="2341521"/>
            <wp:docPr id="17" name="Picture 17"/>
            <wp:cNvGraphicFramePr>
              <a:graphicFrameLocks noChangeAspect="1"/>
            </wp:cNvGraphicFramePr>
            <a:graphic>
              <a:graphicData uri="http://schemas.openxmlformats.org/drawingml/2006/picture">
                <pic:pic>
                  <pic:nvPicPr>
                    <pic:cNvPr id="0" name="f12_gpi.png"/>
                    <pic:cNvPicPr/>
                  </pic:nvPicPr>
                  <pic:blipFill>
                    <a:blip r:embed="rId29"/>
                    <a:stretch>
                      <a:fillRect/>
                    </a:stretch>
                  </pic:blipFill>
                  <pic:spPr>
                    <a:xfrm>
                      <a:off x="0" y="0"/>
                      <a:ext cx="4384800" cy="2341521"/>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15</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GDP per capita compared with the Genuine Progress Indicator (stylised)</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Stylised representation of the findings of Kubiszewski et al. (2013) and Talberth, Cobb and Slattery (2007).</w:t>
      </w:r>
    </w:p>
    <w:p>
      <w:pPr>
        <w:pStyle w:val="Heading2"/>
      </w:pPr>
      <w:r>
        <w:rPr>
          <w:rFonts w:ascii="Times New Roman" w:hAnsi="Times New Roman" w:cs="Times New Roman" w:eastAsia="Times New Roman"/>
          <w:b/>
          <w:i w:val="0"/>
          <w:color w:val="1F3864"/>
        </w:rPr>
        <w:t>6.3 Other Measures</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Inequality-adjusted HDI (IHDI):</w:t>
      </w:r>
      <w:r>
        <w:rPr>
          <w:rFonts w:ascii="Times New Roman" w:hAnsi="Times New Roman" w:cs="Times New Roman" w:eastAsia="Times New Roman"/>
        </w:rPr>
        <w:t xml:space="preserve"> reduces the HDI according to how unequally health, education and income are shared. The difference between HDI and IHDI shows the loss due to inequality.</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Multidimensional Poverty Index (MPI):</w:t>
      </w:r>
      <w:r>
        <w:rPr>
          <w:rFonts w:ascii="Times New Roman" w:hAnsi="Times New Roman" w:cs="Times New Roman" w:eastAsia="Times New Roman"/>
        </w:rPr>
        <w:t xml:space="preserve"> counts people who are deprived in several areas at once, such as nutrition, schooling, cooking fuel and sanitation.</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OECD Better Life Index:</w:t>
      </w:r>
      <w:r>
        <w:rPr>
          <w:rFonts w:ascii="Times New Roman" w:hAnsi="Times New Roman" w:cs="Times New Roman" w:eastAsia="Times New Roman"/>
        </w:rPr>
        <w:t xml:space="preserve"> lets users compare countries across 11 dimensions, including housing, jobs, community, environment, civic engagement and work-life balance.</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Gross National Happiness (Bhutan):</w:t>
      </w:r>
      <w:r>
        <w:rPr>
          <w:rFonts w:ascii="Times New Roman" w:hAnsi="Times New Roman" w:cs="Times New Roman" w:eastAsia="Times New Roman"/>
        </w:rPr>
        <w:t xml:space="preserve"> a national index of 9 domains and 33 indicators that guides public policy in Bhutan.</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Green GDP and SEEA:</w:t>
      </w:r>
      <w:r>
        <w:rPr>
          <w:rFonts w:ascii="Times New Roman" w:hAnsi="Times New Roman" w:cs="Times New Roman" w:eastAsia="Times New Roman"/>
        </w:rPr>
        <w:t xml:space="preserve"> the UN System of Environmental-Economic Accounting adjusts national accounts for the use and depletion of natural resources.</w:t>
      </w:r>
    </w:p>
    <w:p>
      <w:pPr>
        <w:tabs>
          <w:tab w:pos="510" w:val="left"/>
        </w:tabs>
        <w:spacing w:before="0" w:after="16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Inclusive Wealth Index:</w:t>
      </w:r>
      <w:r>
        <w:rPr>
          <w:rFonts w:ascii="Times New Roman" w:hAnsi="Times New Roman" w:cs="Times New Roman" w:eastAsia="Times New Roman"/>
        </w:rPr>
        <w:t xml:space="preserve"> measures the stock of produced, human and natural capital, which indicates whether development is sustainable.</w:t>
      </w:r>
    </w:p>
    <w:p>
      <w:pPr>
        <w:spacing w:before="0" w:after="120" w:line="276" w:lineRule="auto"/>
        <w:jc w:val="both"/>
      </w:pPr>
      <w:r>
        <w:rPr>
          <w:rFonts w:ascii="Times New Roman" w:hAnsi="Times New Roman" w:cs="Times New Roman" w:eastAsia="Times New Roman"/>
        </w:rPr>
        <w:t xml:space="preserve">Table 9 compares these measures with GDP. Each alternative has its own weaknesses, mainly data requirements and value judgements in choosing weights. This is why most experts now recommend using them </w:t>
      </w:r>
      <w:r>
        <w:rPr>
          <w:rFonts w:ascii="Times New Roman" w:hAnsi="Times New Roman" w:cs="Times New Roman" w:eastAsia="Times New Roman"/>
          <w:b/>
        </w:rPr>
        <w:t>alongside</w:t>
      </w:r>
      <w:r>
        <w:rPr>
          <w:rFonts w:ascii="Times New Roman" w:hAnsi="Times New Roman" w:cs="Times New Roman" w:eastAsia="Times New Roman"/>
        </w:rPr>
        <w:t xml:space="preserve"> GDP rather than as a complete replacement.</w:t>
      </w: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9</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Comparison of GDP with alternative well-being measures</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1701"/>
        <w:gridCol w:w="2041"/>
        <w:gridCol w:w="2608"/>
        <w:gridCol w:w="2721"/>
      </w:tblGrid>
      <w:tr>
        <w:trPr>
          <w:tblHeader w:val="true"/>
        </w:trPr>
        <w:tc>
          <w:tcPr>
            <w:tcW w:type="dxa" w:w="1701"/>
            <w:shd w:val="clear" w:color="auto" w:fill="1F3864"/>
            <w:vAlign w:val="center"/>
          </w:tcPr>
          <w:p>
            <w:pPr>
              <w:spacing w:before="20" w:after="20" w:line="264" w:lineRule="auto"/>
              <w:jc w:val="center"/>
            </w:pPr>
            <w:r>
              <w:rPr>
                <w:rFonts w:ascii="Times New Roman" w:hAnsi="Times New Roman" w:cs="Times New Roman" w:eastAsia="Times New Roman"/>
                <w:b/>
                <w:color w:val="FFFFFF"/>
                <w:sz w:val="19"/>
              </w:rPr>
              <w:t>Measure</w:t>
            </w:r>
          </w:p>
        </w:tc>
        <w:tc>
          <w:tcPr>
            <w:tcW w:type="dxa" w:w="2041"/>
            <w:shd w:val="clear" w:color="auto" w:fill="1F3864"/>
            <w:vAlign w:val="center"/>
          </w:tcPr>
          <w:p>
            <w:pPr>
              <w:spacing w:before="20" w:after="20" w:line="264" w:lineRule="auto"/>
              <w:jc w:val="center"/>
            </w:pPr>
            <w:r>
              <w:rPr>
                <w:rFonts w:ascii="Times New Roman" w:hAnsi="Times New Roman" w:cs="Times New Roman" w:eastAsia="Times New Roman"/>
                <w:b/>
                <w:color w:val="FFFFFF"/>
                <w:sz w:val="19"/>
              </w:rPr>
              <w:t>Developed by</w:t>
            </w:r>
          </w:p>
        </w:tc>
        <w:tc>
          <w:tcPr>
            <w:tcW w:type="dxa" w:w="2608"/>
            <w:shd w:val="clear" w:color="auto" w:fill="1F3864"/>
            <w:vAlign w:val="center"/>
          </w:tcPr>
          <w:p>
            <w:pPr>
              <w:spacing w:before="20" w:after="20" w:line="264" w:lineRule="auto"/>
              <w:jc w:val="center"/>
            </w:pPr>
            <w:r>
              <w:rPr>
                <w:rFonts w:ascii="Times New Roman" w:hAnsi="Times New Roman" w:cs="Times New Roman" w:eastAsia="Times New Roman"/>
                <w:b/>
                <w:color w:val="FFFFFF"/>
                <w:sz w:val="19"/>
              </w:rPr>
              <w:t>What it captures</w:t>
            </w:r>
          </w:p>
        </w:tc>
        <w:tc>
          <w:tcPr>
            <w:tcW w:type="dxa" w:w="2721"/>
            <w:shd w:val="clear" w:color="auto" w:fill="1F3864"/>
            <w:vAlign w:val="center"/>
          </w:tcPr>
          <w:p>
            <w:pPr>
              <w:spacing w:before="20" w:after="20" w:line="264" w:lineRule="auto"/>
              <w:jc w:val="center"/>
            </w:pPr>
            <w:r>
              <w:rPr>
                <w:rFonts w:ascii="Times New Roman" w:hAnsi="Times New Roman" w:cs="Times New Roman" w:eastAsia="Times New Roman"/>
                <w:b/>
                <w:color w:val="FFFFFF"/>
                <w:sz w:val="19"/>
              </w:rPr>
              <w:t>Main weakness</w:t>
            </w:r>
          </w:p>
        </w:tc>
      </w:tr>
      <w:tr>
        <w:trPr>
          <w:cantSplit w:val="true"/>
        </w:trPr>
        <w:tc>
          <w:tcPr>
            <w:tcW w:type="dxa" w:w="1701"/>
            <w:vAlign w:val="center"/>
          </w:tcPr>
          <w:p>
            <w:pPr>
              <w:spacing w:before="20" w:after="20" w:line="264" w:lineRule="auto"/>
              <w:jc w:val="left"/>
            </w:pPr>
            <w:r>
              <w:rPr>
                <w:rFonts w:ascii="Times New Roman" w:hAnsi="Times New Roman" w:cs="Times New Roman" w:eastAsia="Times New Roman"/>
                <w:sz w:val="19"/>
              </w:rPr>
              <w:t>GDP</w:t>
            </w:r>
          </w:p>
        </w:tc>
        <w:tc>
          <w:tcPr>
            <w:tcW w:type="dxa" w:w="2041"/>
            <w:vAlign w:val="center"/>
          </w:tcPr>
          <w:p>
            <w:pPr>
              <w:spacing w:before="20" w:after="20" w:line="264" w:lineRule="auto"/>
              <w:jc w:val="center"/>
            </w:pPr>
            <w:r>
              <w:rPr>
                <w:rFonts w:ascii="Times New Roman" w:hAnsi="Times New Roman" w:cs="Times New Roman" w:eastAsia="Times New Roman"/>
                <w:sz w:val="19"/>
              </w:rPr>
              <w:t>Kuznets; UN SNA</w:t>
            </w:r>
          </w:p>
        </w:tc>
        <w:tc>
          <w:tcPr>
            <w:tcW w:type="dxa" w:w="2608"/>
            <w:vAlign w:val="center"/>
          </w:tcPr>
          <w:p>
            <w:pPr>
              <w:spacing w:before="20" w:after="20" w:line="264" w:lineRule="auto"/>
              <w:jc w:val="center"/>
            </w:pPr>
            <w:r>
              <w:rPr>
                <w:rFonts w:ascii="Times New Roman" w:hAnsi="Times New Roman" w:cs="Times New Roman" w:eastAsia="Times New Roman"/>
                <w:sz w:val="19"/>
              </w:rPr>
              <w:t>Market production</w:t>
            </w:r>
          </w:p>
        </w:tc>
        <w:tc>
          <w:tcPr>
            <w:tcW w:type="dxa" w:w="2721"/>
            <w:vAlign w:val="center"/>
          </w:tcPr>
          <w:p>
            <w:pPr>
              <w:spacing w:before="20" w:after="20" w:line="264" w:lineRule="auto"/>
              <w:jc w:val="left"/>
            </w:pPr>
            <w:r>
              <w:rPr>
                <w:rFonts w:ascii="Times New Roman" w:hAnsi="Times New Roman" w:cs="Times New Roman" w:eastAsia="Times New Roman"/>
                <w:sz w:val="19"/>
              </w:rPr>
              <w:t>Ignores distribution, environment, unpaid work</w:t>
            </w:r>
          </w:p>
        </w:tc>
      </w:tr>
      <w:tr>
        <w:trPr>
          <w:cantSplit w:val="true"/>
        </w:trPr>
        <w:tc>
          <w:tcPr>
            <w:tcW w:type="dxa" w:w="1701"/>
            <w:shd w:val="clear" w:color="auto" w:fill="F2F5FA"/>
            <w:vAlign w:val="center"/>
          </w:tcPr>
          <w:p>
            <w:pPr>
              <w:spacing w:before="20" w:after="20" w:line="264" w:lineRule="auto"/>
              <w:jc w:val="left"/>
            </w:pPr>
            <w:r>
              <w:rPr>
                <w:rFonts w:ascii="Times New Roman" w:hAnsi="Times New Roman" w:cs="Times New Roman" w:eastAsia="Times New Roman"/>
                <w:sz w:val="19"/>
              </w:rPr>
              <w:t>HDI</w:t>
            </w:r>
          </w:p>
        </w:tc>
        <w:tc>
          <w:tcPr>
            <w:tcW w:type="dxa" w:w="2041"/>
            <w:shd w:val="clear" w:color="auto" w:fill="F2F5FA"/>
            <w:vAlign w:val="center"/>
          </w:tcPr>
          <w:p>
            <w:pPr>
              <w:spacing w:before="20" w:after="20" w:line="264" w:lineRule="auto"/>
              <w:jc w:val="center"/>
            </w:pPr>
            <w:r>
              <w:rPr>
                <w:rFonts w:ascii="Times New Roman" w:hAnsi="Times New Roman" w:cs="Times New Roman" w:eastAsia="Times New Roman"/>
                <w:sz w:val="19"/>
              </w:rPr>
              <w:t>UNDP (1990)</w:t>
            </w:r>
          </w:p>
        </w:tc>
        <w:tc>
          <w:tcPr>
            <w:tcW w:type="dxa" w:w="2608"/>
            <w:shd w:val="clear" w:color="auto" w:fill="F2F5FA"/>
            <w:vAlign w:val="center"/>
          </w:tcPr>
          <w:p>
            <w:pPr>
              <w:spacing w:before="20" w:after="20" w:line="264" w:lineRule="auto"/>
              <w:jc w:val="left"/>
            </w:pPr>
            <w:r>
              <w:rPr>
                <w:rFonts w:ascii="Times New Roman" w:hAnsi="Times New Roman" w:cs="Times New Roman" w:eastAsia="Times New Roman"/>
                <w:sz w:val="19"/>
              </w:rPr>
              <w:t>Income, health, education</w:t>
            </w:r>
          </w:p>
        </w:tc>
        <w:tc>
          <w:tcPr>
            <w:tcW w:type="dxa" w:w="2721"/>
            <w:shd w:val="clear" w:color="auto" w:fill="F2F5FA"/>
            <w:vAlign w:val="center"/>
          </w:tcPr>
          <w:p>
            <w:pPr>
              <w:spacing w:before="20" w:after="20" w:line="264" w:lineRule="auto"/>
              <w:jc w:val="left"/>
            </w:pPr>
            <w:r>
              <w:rPr>
                <w:rFonts w:ascii="Times New Roman" w:hAnsi="Times New Roman" w:cs="Times New Roman" w:eastAsia="Times New Roman"/>
                <w:sz w:val="19"/>
              </w:rPr>
              <w:t>Only three dimensions; no environment</w:t>
            </w:r>
          </w:p>
        </w:tc>
      </w:tr>
      <w:tr>
        <w:trPr>
          <w:cantSplit w:val="true"/>
        </w:trPr>
        <w:tc>
          <w:tcPr>
            <w:tcW w:type="dxa" w:w="1701"/>
            <w:vAlign w:val="center"/>
          </w:tcPr>
          <w:p>
            <w:pPr>
              <w:spacing w:before="20" w:after="20" w:line="264" w:lineRule="auto"/>
              <w:jc w:val="left"/>
            </w:pPr>
            <w:r>
              <w:rPr>
                <w:rFonts w:ascii="Times New Roman" w:hAnsi="Times New Roman" w:cs="Times New Roman" w:eastAsia="Times New Roman"/>
                <w:sz w:val="19"/>
              </w:rPr>
              <w:t>IHDI</w:t>
            </w:r>
          </w:p>
        </w:tc>
        <w:tc>
          <w:tcPr>
            <w:tcW w:type="dxa" w:w="2041"/>
            <w:vAlign w:val="center"/>
          </w:tcPr>
          <w:p>
            <w:pPr>
              <w:spacing w:before="20" w:after="20" w:line="264" w:lineRule="auto"/>
              <w:jc w:val="center"/>
            </w:pPr>
            <w:r>
              <w:rPr>
                <w:rFonts w:ascii="Times New Roman" w:hAnsi="Times New Roman" w:cs="Times New Roman" w:eastAsia="Times New Roman"/>
                <w:sz w:val="19"/>
              </w:rPr>
              <w:t>UNDP (2010)</w:t>
            </w:r>
          </w:p>
        </w:tc>
        <w:tc>
          <w:tcPr>
            <w:tcW w:type="dxa" w:w="2608"/>
            <w:vAlign w:val="center"/>
          </w:tcPr>
          <w:p>
            <w:pPr>
              <w:spacing w:before="20" w:after="20" w:line="264" w:lineRule="auto"/>
              <w:jc w:val="left"/>
            </w:pPr>
            <w:r>
              <w:rPr>
                <w:rFonts w:ascii="Times New Roman" w:hAnsi="Times New Roman" w:cs="Times New Roman" w:eastAsia="Times New Roman"/>
                <w:sz w:val="19"/>
              </w:rPr>
              <w:t>HDI adjusted for inequality</w:t>
            </w:r>
          </w:p>
        </w:tc>
        <w:tc>
          <w:tcPr>
            <w:tcW w:type="dxa" w:w="2721"/>
            <w:vAlign w:val="center"/>
          </w:tcPr>
          <w:p>
            <w:pPr>
              <w:spacing w:before="20" w:after="20" w:line="264" w:lineRule="auto"/>
              <w:jc w:val="left"/>
            </w:pPr>
            <w:r>
              <w:rPr>
                <w:rFonts w:ascii="Times New Roman" w:hAnsi="Times New Roman" w:cs="Times New Roman" w:eastAsia="Times New Roman"/>
                <w:sz w:val="19"/>
              </w:rPr>
              <w:t>Data gaps in many countries</w:t>
            </w:r>
          </w:p>
        </w:tc>
      </w:tr>
      <w:tr>
        <w:trPr>
          <w:cantSplit w:val="true"/>
        </w:trPr>
        <w:tc>
          <w:tcPr>
            <w:tcW w:type="dxa" w:w="1701"/>
            <w:shd w:val="clear" w:color="auto" w:fill="F2F5FA"/>
            <w:vAlign w:val="center"/>
          </w:tcPr>
          <w:p>
            <w:pPr>
              <w:spacing w:before="20" w:after="20" w:line="264" w:lineRule="auto"/>
              <w:jc w:val="left"/>
            </w:pPr>
            <w:r>
              <w:rPr>
                <w:rFonts w:ascii="Times New Roman" w:hAnsi="Times New Roman" w:cs="Times New Roman" w:eastAsia="Times New Roman"/>
                <w:sz w:val="19"/>
              </w:rPr>
              <w:t>GPI</w:t>
            </w:r>
          </w:p>
        </w:tc>
        <w:tc>
          <w:tcPr>
            <w:tcW w:type="dxa" w:w="2041"/>
            <w:shd w:val="clear" w:color="auto" w:fill="F2F5FA"/>
            <w:vAlign w:val="center"/>
          </w:tcPr>
          <w:p>
            <w:pPr>
              <w:spacing w:before="20" w:after="20" w:line="264" w:lineRule="auto"/>
              <w:jc w:val="left"/>
            </w:pPr>
            <w:r>
              <w:rPr>
                <w:rFonts w:ascii="Times New Roman" w:hAnsi="Times New Roman" w:cs="Times New Roman" w:eastAsia="Times New Roman"/>
                <w:sz w:val="19"/>
              </w:rPr>
              <w:t>Cobb, Daly and others (1989/95)</w:t>
            </w:r>
          </w:p>
        </w:tc>
        <w:tc>
          <w:tcPr>
            <w:tcW w:type="dxa" w:w="2608"/>
            <w:shd w:val="clear" w:color="auto" w:fill="F2F5FA"/>
            <w:vAlign w:val="center"/>
          </w:tcPr>
          <w:p>
            <w:pPr>
              <w:spacing w:before="20" w:after="20" w:line="264" w:lineRule="auto"/>
              <w:jc w:val="left"/>
            </w:pPr>
            <w:r>
              <w:rPr>
                <w:rFonts w:ascii="Times New Roman" w:hAnsi="Times New Roman" w:cs="Times New Roman" w:eastAsia="Times New Roman"/>
                <w:sz w:val="19"/>
              </w:rPr>
              <w:t>Consumption adjusted for social and environmental costs</w:t>
            </w:r>
          </w:p>
        </w:tc>
        <w:tc>
          <w:tcPr>
            <w:tcW w:type="dxa" w:w="2721"/>
            <w:shd w:val="clear" w:color="auto" w:fill="F2F5FA"/>
            <w:vAlign w:val="center"/>
          </w:tcPr>
          <w:p>
            <w:pPr>
              <w:spacing w:before="20" w:after="20" w:line="264" w:lineRule="auto"/>
              <w:jc w:val="left"/>
            </w:pPr>
            <w:r>
              <w:rPr>
                <w:rFonts w:ascii="Times New Roman" w:hAnsi="Times New Roman" w:cs="Times New Roman" w:eastAsia="Times New Roman"/>
                <w:sz w:val="19"/>
              </w:rPr>
              <w:t>Valuation choices are subjective</w:t>
            </w:r>
          </w:p>
        </w:tc>
      </w:tr>
      <w:tr>
        <w:trPr>
          <w:cantSplit w:val="true"/>
        </w:trPr>
        <w:tc>
          <w:tcPr>
            <w:tcW w:type="dxa" w:w="1701"/>
            <w:vAlign w:val="center"/>
          </w:tcPr>
          <w:p>
            <w:pPr>
              <w:spacing w:before="20" w:after="20" w:line="264" w:lineRule="auto"/>
              <w:jc w:val="left"/>
            </w:pPr>
            <w:r>
              <w:rPr>
                <w:rFonts w:ascii="Times New Roman" w:hAnsi="Times New Roman" w:cs="Times New Roman" w:eastAsia="Times New Roman"/>
                <w:sz w:val="19"/>
              </w:rPr>
              <w:t>Better Life Index</w:t>
            </w:r>
          </w:p>
        </w:tc>
        <w:tc>
          <w:tcPr>
            <w:tcW w:type="dxa" w:w="2041"/>
            <w:vAlign w:val="center"/>
          </w:tcPr>
          <w:p>
            <w:pPr>
              <w:spacing w:before="20" w:after="20" w:line="264" w:lineRule="auto"/>
              <w:jc w:val="center"/>
            </w:pPr>
            <w:r>
              <w:rPr>
                <w:rFonts w:ascii="Times New Roman" w:hAnsi="Times New Roman" w:cs="Times New Roman" w:eastAsia="Times New Roman"/>
                <w:sz w:val="19"/>
              </w:rPr>
              <w:t>OECD (2011)</w:t>
            </w:r>
          </w:p>
        </w:tc>
        <w:tc>
          <w:tcPr>
            <w:tcW w:type="dxa" w:w="2608"/>
            <w:vAlign w:val="center"/>
          </w:tcPr>
          <w:p>
            <w:pPr>
              <w:spacing w:before="20" w:after="20" w:line="264" w:lineRule="auto"/>
              <w:jc w:val="left"/>
            </w:pPr>
            <w:r>
              <w:rPr>
                <w:rFonts w:ascii="Times New Roman" w:hAnsi="Times New Roman" w:cs="Times New Roman" w:eastAsia="Times New Roman"/>
                <w:sz w:val="19"/>
              </w:rPr>
              <w:t>11 dimensions of well-being</w:t>
            </w:r>
          </w:p>
        </w:tc>
        <w:tc>
          <w:tcPr>
            <w:tcW w:type="dxa" w:w="2721"/>
            <w:vAlign w:val="center"/>
          </w:tcPr>
          <w:p>
            <w:pPr>
              <w:spacing w:before="20" w:after="20" w:line="264" w:lineRule="auto"/>
              <w:jc w:val="center"/>
            </w:pPr>
            <w:r>
              <w:rPr>
                <w:rFonts w:ascii="Times New Roman" w:hAnsi="Times New Roman" w:cs="Times New Roman" w:eastAsia="Times New Roman"/>
                <w:sz w:val="19"/>
              </w:rPr>
              <w:t>Mainly OECD countries</w:t>
            </w:r>
          </w:p>
        </w:tc>
      </w:tr>
      <w:tr>
        <w:trPr>
          <w:cantSplit w:val="true"/>
        </w:trPr>
        <w:tc>
          <w:tcPr>
            <w:tcW w:type="dxa" w:w="1701"/>
            <w:shd w:val="clear" w:color="auto" w:fill="F2F5FA"/>
            <w:vAlign w:val="center"/>
          </w:tcPr>
          <w:p>
            <w:pPr>
              <w:spacing w:before="20" w:after="20" w:line="264" w:lineRule="auto"/>
              <w:jc w:val="left"/>
            </w:pPr>
            <w:r>
              <w:rPr>
                <w:rFonts w:ascii="Times New Roman" w:hAnsi="Times New Roman" w:cs="Times New Roman" w:eastAsia="Times New Roman"/>
                <w:sz w:val="19"/>
              </w:rPr>
              <w:t>Gross National Happiness</w:t>
            </w:r>
          </w:p>
        </w:tc>
        <w:tc>
          <w:tcPr>
            <w:tcW w:type="dxa" w:w="2041"/>
            <w:shd w:val="clear" w:color="auto" w:fill="F2F5FA"/>
            <w:vAlign w:val="center"/>
          </w:tcPr>
          <w:p>
            <w:pPr>
              <w:spacing w:before="20" w:after="20" w:line="264" w:lineRule="auto"/>
              <w:jc w:val="center"/>
            </w:pPr>
            <w:r>
              <w:rPr>
                <w:rFonts w:ascii="Times New Roman" w:hAnsi="Times New Roman" w:cs="Times New Roman" w:eastAsia="Times New Roman"/>
                <w:sz w:val="19"/>
              </w:rPr>
              <w:t>Bhutan (2008 index)</w:t>
            </w:r>
          </w:p>
        </w:tc>
        <w:tc>
          <w:tcPr>
            <w:tcW w:type="dxa" w:w="2608"/>
            <w:shd w:val="clear" w:color="auto" w:fill="F2F5FA"/>
            <w:vAlign w:val="center"/>
          </w:tcPr>
          <w:p>
            <w:pPr>
              <w:spacing w:before="20" w:after="20" w:line="264" w:lineRule="auto"/>
              <w:jc w:val="left"/>
            </w:pPr>
            <w:r>
              <w:rPr>
                <w:rFonts w:ascii="Times New Roman" w:hAnsi="Times New Roman" w:cs="Times New Roman" w:eastAsia="Times New Roman"/>
                <w:sz w:val="19"/>
              </w:rPr>
              <w:t>9 domains, 33 indicators</w:t>
            </w:r>
          </w:p>
        </w:tc>
        <w:tc>
          <w:tcPr>
            <w:tcW w:type="dxa" w:w="2721"/>
            <w:shd w:val="clear" w:color="auto" w:fill="F2F5FA"/>
            <w:vAlign w:val="center"/>
          </w:tcPr>
          <w:p>
            <w:pPr>
              <w:spacing w:before="20" w:after="20" w:line="264" w:lineRule="auto"/>
              <w:jc w:val="left"/>
            </w:pPr>
            <w:r>
              <w:rPr>
                <w:rFonts w:ascii="Times New Roman" w:hAnsi="Times New Roman" w:cs="Times New Roman" w:eastAsia="Times New Roman"/>
                <w:sz w:val="19"/>
              </w:rPr>
              <w:t>Hard to compare across countries</w:t>
            </w:r>
          </w:p>
        </w:tc>
      </w:tr>
      <w:tr>
        <w:trPr>
          <w:cantSplit w:val="true"/>
        </w:trPr>
        <w:tc>
          <w:tcPr>
            <w:tcW w:type="dxa" w:w="1701"/>
            <w:vAlign w:val="center"/>
          </w:tcPr>
          <w:p>
            <w:pPr>
              <w:spacing w:before="20" w:after="20" w:line="264" w:lineRule="auto"/>
              <w:jc w:val="left"/>
            </w:pPr>
            <w:r>
              <w:rPr>
                <w:rFonts w:ascii="Times New Roman" w:hAnsi="Times New Roman" w:cs="Times New Roman" w:eastAsia="Times New Roman"/>
                <w:sz w:val="19"/>
              </w:rPr>
              <w:t>Life evaluation (WHR)</w:t>
            </w:r>
          </w:p>
        </w:tc>
        <w:tc>
          <w:tcPr>
            <w:tcW w:type="dxa" w:w="2041"/>
            <w:vAlign w:val="center"/>
          </w:tcPr>
          <w:p>
            <w:pPr>
              <w:spacing w:before="20" w:after="20" w:line="264" w:lineRule="auto"/>
              <w:jc w:val="center"/>
            </w:pPr>
            <w:r>
              <w:rPr>
                <w:rFonts w:ascii="Times New Roman" w:hAnsi="Times New Roman" w:cs="Times New Roman" w:eastAsia="Times New Roman"/>
                <w:sz w:val="19"/>
              </w:rPr>
              <w:t>Gallup / WHR (2012)</w:t>
            </w:r>
          </w:p>
        </w:tc>
        <w:tc>
          <w:tcPr>
            <w:tcW w:type="dxa" w:w="2608"/>
            <w:vAlign w:val="center"/>
          </w:tcPr>
          <w:p>
            <w:pPr>
              <w:spacing w:before="20" w:after="20" w:line="264" w:lineRule="auto"/>
              <w:jc w:val="left"/>
            </w:pPr>
            <w:r>
              <w:rPr>
                <w:rFonts w:ascii="Times New Roman" w:hAnsi="Times New Roman" w:cs="Times New Roman" w:eastAsia="Times New Roman"/>
                <w:sz w:val="19"/>
              </w:rPr>
              <w:t>Self-reported life satisfaction</w:t>
            </w:r>
          </w:p>
        </w:tc>
        <w:tc>
          <w:tcPr>
            <w:tcW w:type="dxa" w:w="2721"/>
            <w:vAlign w:val="center"/>
          </w:tcPr>
          <w:p>
            <w:pPr>
              <w:spacing w:before="20" w:after="20" w:line="264" w:lineRule="auto"/>
              <w:jc w:val="left"/>
            </w:pPr>
            <w:r>
              <w:rPr>
                <w:rFonts w:ascii="Times New Roman" w:hAnsi="Times New Roman" w:cs="Times New Roman" w:eastAsia="Times New Roman"/>
                <w:sz w:val="19"/>
              </w:rPr>
              <w:t>Cultural and survey bias</w:t>
            </w:r>
          </w:p>
        </w:tc>
      </w:tr>
      <w:tr>
        <w:trPr>
          <w:cantSplit w:val="true"/>
        </w:trPr>
        <w:tc>
          <w:tcPr>
            <w:tcW w:type="dxa" w:w="1701"/>
            <w:shd w:val="clear" w:color="auto" w:fill="F2F5FA"/>
            <w:vAlign w:val="center"/>
          </w:tcPr>
          <w:p>
            <w:pPr>
              <w:spacing w:before="20" w:after="20" w:line="264" w:lineRule="auto"/>
              <w:jc w:val="left"/>
            </w:pPr>
            <w:r>
              <w:rPr>
                <w:rFonts w:ascii="Times New Roman" w:hAnsi="Times New Roman" w:cs="Times New Roman" w:eastAsia="Times New Roman"/>
                <w:sz w:val="19"/>
              </w:rPr>
              <w:t>Inclusive Wealth / SEEA</w:t>
            </w:r>
          </w:p>
        </w:tc>
        <w:tc>
          <w:tcPr>
            <w:tcW w:type="dxa" w:w="2041"/>
            <w:shd w:val="clear" w:color="auto" w:fill="F2F5FA"/>
            <w:vAlign w:val="center"/>
          </w:tcPr>
          <w:p>
            <w:pPr>
              <w:spacing w:before="20" w:after="20" w:line="264" w:lineRule="auto"/>
              <w:jc w:val="center"/>
            </w:pPr>
            <w:r>
              <w:rPr>
                <w:rFonts w:ascii="Times New Roman" w:hAnsi="Times New Roman" w:cs="Times New Roman" w:eastAsia="Times New Roman"/>
                <w:sz w:val="19"/>
              </w:rPr>
              <w:t>UNEP; UN Statistics</w:t>
            </w:r>
          </w:p>
        </w:tc>
        <w:tc>
          <w:tcPr>
            <w:tcW w:type="dxa" w:w="2608"/>
            <w:shd w:val="clear" w:color="auto" w:fill="F2F5FA"/>
            <w:vAlign w:val="center"/>
          </w:tcPr>
          <w:p>
            <w:pPr>
              <w:spacing w:before="20" w:after="20" w:line="264" w:lineRule="auto"/>
              <w:jc w:val="left"/>
            </w:pPr>
            <w:r>
              <w:rPr>
                <w:rFonts w:ascii="Times New Roman" w:hAnsi="Times New Roman" w:cs="Times New Roman" w:eastAsia="Times New Roman"/>
                <w:sz w:val="19"/>
              </w:rPr>
              <w:t>Produced, human and natural capital</w:t>
            </w:r>
          </w:p>
        </w:tc>
        <w:tc>
          <w:tcPr>
            <w:tcW w:type="dxa" w:w="2721"/>
            <w:shd w:val="clear" w:color="auto" w:fill="F2F5FA"/>
            <w:vAlign w:val="center"/>
          </w:tcPr>
          <w:p>
            <w:pPr>
              <w:spacing w:before="20" w:after="20" w:line="264" w:lineRule="auto"/>
              <w:jc w:val="center"/>
            </w:pPr>
            <w:r>
              <w:rPr>
                <w:rFonts w:ascii="Times New Roman" w:hAnsi="Times New Roman" w:cs="Times New Roman" w:eastAsia="Times New Roman"/>
                <w:sz w:val="19"/>
              </w:rPr>
              <w:t>Complex to compile</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Compiled by the author from UNDP (2024), OECD (2011), Kubiszewski et al. (2013) and UN (2021).</w:t>
      </w:r>
    </w:p>
    <w:p>
      <w:pPr>
        <w:pStyle w:val="Heading1"/>
        <w:pBdr>
          <w:bottom w:val="single" w:sz="8" w:space="4" w:color="1F3864"/>
        </w:pBdr>
      </w:pPr>
      <w:r>
        <w:rPr>
          <w:rFonts w:ascii="Times New Roman" w:hAnsi="Times New Roman" w:cs="Times New Roman" w:eastAsia="Times New Roman"/>
          <w:b/>
          <w:i w:val="0"/>
          <w:color w:val="1F3864"/>
        </w:rPr>
        <w:t>7. Case Study: Bangladesh</w:t>
      </w:r>
    </w:p>
    <w:p>
      <w:pPr>
        <w:pStyle w:val="Heading2"/>
      </w:pPr>
      <w:r>
        <w:rPr>
          <w:rFonts w:ascii="Times New Roman" w:hAnsi="Times New Roman" w:cs="Times New Roman" w:eastAsia="Times New Roman"/>
          <w:b/>
          <w:i w:val="0"/>
          <w:color w:val="1F3864"/>
        </w:rPr>
        <w:t>7.1 Growth Performance</w:t>
      </w:r>
    </w:p>
    <w:p>
      <w:pPr>
        <w:spacing w:before="0" w:after="120" w:line="276" w:lineRule="auto"/>
        <w:jc w:val="both"/>
      </w:pPr>
      <w:r>
        <w:rPr>
          <w:rFonts w:ascii="Times New Roman" w:hAnsi="Times New Roman" w:cs="Times New Roman" w:eastAsia="Times New Roman"/>
        </w:rPr>
        <w:t>Bangladesh is often described as a development success story. Its average real GDP growth of about 6.4 per cent between FY2011 and FY2024 (Figure 4) was among the fastest in the world, and GDP per capita rose above that of several neighbouring countries. The country is scheduled to graduate from the United Nations' Least Developed Country list in 2026. On a GDP basis, the story is very positive.</w:t>
      </w:r>
    </w:p>
    <w:p>
      <w:pPr>
        <w:pStyle w:val="Heading2"/>
      </w:pPr>
      <w:r>
        <w:rPr>
          <w:rFonts w:ascii="Times New Roman" w:hAnsi="Times New Roman" w:cs="Times New Roman" w:eastAsia="Times New Roman"/>
          <w:b/>
          <w:i w:val="0"/>
          <w:color w:val="1F3864"/>
        </w:rPr>
        <w:t>7.2 Human Development Progress</w:t>
      </w:r>
    </w:p>
    <w:p>
      <w:pPr>
        <w:spacing w:before="0" w:after="120" w:line="276" w:lineRule="auto"/>
        <w:jc w:val="both"/>
      </w:pPr>
      <w:r>
        <w:rPr>
          <w:rFonts w:ascii="Times New Roman" w:hAnsi="Times New Roman" w:cs="Times New Roman" w:eastAsia="Times New Roman"/>
        </w:rPr>
        <w:t>Human development has also improved. Bangladesh's HDI rose from about 0.394 in 1990 to 0.670 in 2022 (Figure 16), taking it into the medium human development group. Gains in life expectancy, child survival, girls' schooling and access to sanitation were achieved partly through growth, but also through low-cost public health programmes, NGO activity and community health workers. This shows that policy choices, and not only the growth rate, shape well-being.</w:t>
      </w:r>
    </w:p>
    <w:p>
      <w:pPr>
        <w:keepNext/>
        <w:spacing w:before="120" w:after="0" w:line="240" w:lineRule="auto"/>
        <w:jc w:val="center"/>
      </w:pPr>
      <w:r>
        <w:drawing>
          <wp:inline xmlns:a="http://schemas.openxmlformats.org/drawingml/2006/main" xmlns:pic="http://schemas.openxmlformats.org/drawingml/2006/picture">
            <wp:extent cx="4384800" cy="2220791"/>
            <wp:docPr id="18" name="Picture 18"/>
            <wp:cNvGraphicFramePr>
              <a:graphicFrameLocks noChangeAspect="1"/>
            </wp:cNvGraphicFramePr>
            <a:graphic>
              <a:graphicData uri="http://schemas.openxmlformats.org/drawingml/2006/picture">
                <pic:pic>
                  <pic:nvPicPr>
                    <pic:cNvPr id="0" name="f14_bd_hdi.png"/>
                    <pic:cNvPicPr/>
                  </pic:nvPicPr>
                  <pic:blipFill>
                    <a:blip r:embed="rId30"/>
                    <a:stretch>
                      <a:fillRect/>
                    </a:stretch>
                  </pic:blipFill>
                  <pic:spPr>
                    <a:xfrm>
                      <a:off x="0" y="0"/>
                      <a:ext cx="4384800" cy="2220791"/>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16</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Human Development Index of Bangladesh, 1990-2022</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UNDP (2024), Human Development Report 2023/24.</w:t>
      </w:r>
    </w:p>
    <w:p>
      <w:pPr>
        <w:pStyle w:val="Heading2"/>
      </w:pPr>
      <w:r>
        <w:rPr>
          <w:rFonts w:ascii="Times New Roman" w:hAnsi="Times New Roman" w:cs="Times New Roman" w:eastAsia="Times New Roman"/>
          <w:b/>
          <w:i w:val="0"/>
          <w:color w:val="1F3864"/>
        </w:rPr>
        <w:t>7.3 What GDP Growth Does Not Show</w:t>
      </w:r>
    </w:p>
    <w:p>
      <w:pPr>
        <w:spacing w:before="0" w:after="120" w:line="276" w:lineRule="auto"/>
        <w:jc w:val="both"/>
      </w:pPr>
      <w:r>
        <w:rPr>
          <w:rFonts w:ascii="Times New Roman" w:hAnsi="Times New Roman" w:cs="Times New Roman" w:eastAsia="Times New Roman"/>
        </w:rPr>
        <w:t>Table 10 places Bangladesh's growth record next to broader indicators. Several important issues are hidden by the headline growth figure:</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Rising inequality:</w:t>
      </w:r>
      <w:r>
        <w:rPr>
          <w:rFonts w:ascii="Times New Roman" w:hAnsi="Times New Roman" w:cs="Times New Roman" w:eastAsia="Times New Roman"/>
        </w:rPr>
        <w:t xml:space="preserve"> the income Gini coefficient rose to 0.499 in 2022, one of the highest levels recorded by HIES. The richest 10 per cent received about 41 per cent of total income (BBS, 2023a).</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Informal and insecure work:</w:t>
      </w:r>
      <w:r>
        <w:rPr>
          <w:rFonts w:ascii="Times New Roman" w:hAnsi="Times New Roman" w:cs="Times New Roman" w:eastAsia="Times New Roman"/>
        </w:rPr>
        <w:t xml:space="preserve"> about 85 per cent of workers are informal, with little social protection.</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Environmental pressure:</w:t>
      </w:r>
      <w:r>
        <w:rPr>
          <w:rFonts w:ascii="Times New Roman" w:hAnsi="Times New Roman" w:cs="Times New Roman" w:eastAsia="Times New Roman"/>
        </w:rPr>
        <w:t xml:space="preserve"> air pollution in Dhaka, river pollution from industry, and climate risks such as floods, cyclones and salinity impose large costs that GDP does not subtract.</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Unpaid work:</w:t>
      </w:r>
      <w:r>
        <w:rPr>
          <w:rFonts w:ascii="Times New Roman" w:hAnsi="Times New Roman" w:cs="Times New Roman" w:eastAsia="Times New Roman"/>
        </w:rPr>
        <w:t xml:space="preserve"> women carry most unpaid household and care work, which is not counted.</w:t>
      </w:r>
    </w:p>
    <w:p>
      <w:pPr>
        <w:tabs>
          <w:tab w:pos="510" w:val="left"/>
        </w:tabs>
        <w:spacing w:before="0" w:after="4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Low reported life satisfaction:</w:t>
      </w:r>
      <w:r>
        <w:rPr>
          <w:rFonts w:ascii="Times New Roman" w:hAnsi="Times New Roman" w:cs="Times New Roman" w:eastAsia="Times New Roman"/>
        </w:rPr>
        <w:t xml:space="preserve"> Bangladesh scores 3.89 out of 10 on the World Happiness Report life evaluation, well below countries with similar income such as Vietnam.</w:t>
      </w:r>
    </w:p>
    <w:p>
      <w:pPr>
        <w:tabs>
          <w:tab w:pos="510" w:val="left"/>
        </w:tabs>
        <w:spacing w:before="0" w:after="160" w:line="276" w:lineRule="auto"/>
        <w:ind w:left="510" w:hanging="340"/>
        <w:jc w:val="both"/>
      </w:pPr>
      <w:r>
        <w:rPr>
          <w:rFonts w:ascii="Times New Roman" w:hAnsi="Times New Roman" w:cs="Times New Roman" w:eastAsia="Times New Roman"/>
          <w:b w:val="0"/>
          <w:color w:val="1F3864"/>
          <w:sz w:val="24"/>
        </w:rPr>
        <w:t>▪</w:t>
        <w:tab/>
      </w:r>
      <w:r>
        <w:rPr>
          <w:rFonts w:ascii="Times New Roman" w:hAnsi="Times New Roman" w:cs="Times New Roman" w:eastAsia="Times New Roman"/>
          <w:b/>
        </w:rPr>
        <w:t>Data reliability:</w:t>
      </w:r>
      <w:r>
        <w:rPr>
          <w:rFonts w:ascii="Times New Roman" w:hAnsi="Times New Roman" w:cs="Times New Roman" w:eastAsia="Times New Roman"/>
        </w:rPr>
        <w:t xml:space="preserve"> in 2024 a government-appointed white paper committee raised concerns that official growth figures in earlier years may have been overstated, which further weakens reliance on a single number.</w:t>
      </w: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10</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Bangladesh: growth versus broader well-being indicators</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2721"/>
        <w:gridCol w:w="1587"/>
        <w:gridCol w:w="1360"/>
        <w:gridCol w:w="3402"/>
      </w:tblGrid>
      <w:tr>
        <w:trPr>
          <w:tblHeader w:val="true"/>
        </w:trPr>
        <w:tc>
          <w:tcPr>
            <w:tcW w:type="dxa" w:w="2721"/>
            <w:shd w:val="clear" w:color="auto" w:fill="1F3864"/>
            <w:vAlign w:val="center"/>
          </w:tcPr>
          <w:p>
            <w:pPr>
              <w:spacing w:before="20" w:after="20" w:line="264" w:lineRule="auto"/>
              <w:jc w:val="center"/>
            </w:pPr>
            <w:r>
              <w:rPr>
                <w:rFonts w:ascii="Times New Roman" w:hAnsi="Times New Roman" w:cs="Times New Roman" w:eastAsia="Times New Roman"/>
                <w:b/>
                <w:color w:val="FFFFFF"/>
                <w:sz w:val="19"/>
              </w:rPr>
              <w:t>Indicator</w:t>
            </w:r>
          </w:p>
        </w:tc>
        <w:tc>
          <w:tcPr>
            <w:tcW w:type="dxa" w:w="1587"/>
            <w:shd w:val="clear" w:color="auto" w:fill="1F3864"/>
            <w:vAlign w:val="center"/>
          </w:tcPr>
          <w:p>
            <w:pPr>
              <w:spacing w:before="20" w:after="20" w:line="264" w:lineRule="auto"/>
              <w:jc w:val="center"/>
            </w:pPr>
            <w:r>
              <w:rPr>
                <w:rFonts w:ascii="Times New Roman" w:hAnsi="Times New Roman" w:cs="Times New Roman" w:eastAsia="Times New Roman"/>
                <w:b/>
                <w:color w:val="FFFFFF"/>
                <w:sz w:val="19"/>
              </w:rPr>
              <w:t>Value</w:t>
            </w:r>
          </w:p>
        </w:tc>
        <w:tc>
          <w:tcPr>
            <w:tcW w:type="dxa" w:w="1361"/>
            <w:shd w:val="clear" w:color="auto" w:fill="1F3864"/>
            <w:vAlign w:val="center"/>
          </w:tcPr>
          <w:p>
            <w:pPr>
              <w:spacing w:before="20" w:after="20" w:line="264" w:lineRule="auto"/>
              <w:jc w:val="center"/>
            </w:pPr>
            <w:r>
              <w:rPr>
                <w:rFonts w:ascii="Times New Roman" w:hAnsi="Times New Roman" w:cs="Times New Roman" w:eastAsia="Times New Roman"/>
                <w:b/>
                <w:color w:val="FFFFFF"/>
                <w:sz w:val="19"/>
              </w:rPr>
              <w:t>Year</w:t>
            </w:r>
          </w:p>
        </w:tc>
        <w:tc>
          <w:tcPr>
            <w:tcW w:type="dxa" w:w="3402"/>
            <w:shd w:val="clear" w:color="auto" w:fill="1F3864"/>
            <w:vAlign w:val="center"/>
          </w:tcPr>
          <w:p>
            <w:pPr>
              <w:spacing w:before="20" w:after="20" w:line="264" w:lineRule="auto"/>
              <w:jc w:val="center"/>
            </w:pPr>
            <w:r>
              <w:rPr>
                <w:rFonts w:ascii="Times New Roman" w:hAnsi="Times New Roman" w:cs="Times New Roman" w:eastAsia="Times New Roman"/>
                <w:b/>
                <w:color w:val="FFFFFF"/>
                <w:sz w:val="19"/>
              </w:rPr>
              <w:t>What it tells us</w:t>
            </w:r>
          </w:p>
        </w:tc>
      </w:tr>
      <w:tr>
        <w:trPr>
          <w:cantSplit w:val="true"/>
        </w:trPr>
        <w:tc>
          <w:tcPr>
            <w:tcW w:type="dxa" w:w="2721"/>
            <w:vAlign w:val="center"/>
          </w:tcPr>
          <w:p>
            <w:pPr>
              <w:spacing w:before="20" w:after="20" w:line="264" w:lineRule="auto"/>
              <w:jc w:val="left"/>
            </w:pPr>
            <w:r>
              <w:rPr>
                <w:rFonts w:ascii="Times New Roman" w:hAnsi="Times New Roman" w:cs="Times New Roman" w:eastAsia="Times New Roman"/>
                <w:sz w:val="19"/>
              </w:rPr>
              <w:t>Average real GDP growth</w:t>
            </w:r>
          </w:p>
        </w:tc>
        <w:tc>
          <w:tcPr>
            <w:tcW w:type="dxa" w:w="1587"/>
            <w:vAlign w:val="center"/>
          </w:tcPr>
          <w:p>
            <w:pPr>
              <w:spacing w:before="20" w:after="20" w:line="264" w:lineRule="auto"/>
              <w:jc w:val="center"/>
            </w:pPr>
            <w:r>
              <w:rPr>
                <w:rFonts w:ascii="Times New Roman" w:hAnsi="Times New Roman" w:cs="Times New Roman" w:eastAsia="Times New Roman"/>
                <w:sz w:val="19"/>
              </w:rPr>
              <w:t>6.4%</w:t>
            </w:r>
          </w:p>
        </w:tc>
        <w:tc>
          <w:tcPr>
            <w:tcW w:type="dxa" w:w="1361"/>
            <w:vAlign w:val="center"/>
          </w:tcPr>
          <w:p>
            <w:pPr>
              <w:spacing w:before="20" w:after="20" w:line="264" w:lineRule="auto"/>
              <w:jc w:val="center"/>
            </w:pPr>
            <w:r>
              <w:rPr>
                <w:rFonts w:ascii="Times New Roman" w:hAnsi="Times New Roman" w:cs="Times New Roman" w:eastAsia="Times New Roman"/>
                <w:sz w:val="19"/>
              </w:rPr>
              <w:t>FY11-FY24</w:t>
            </w:r>
          </w:p>
        </w:tc>
        <w:tc>
          <w:tcPr>
            <w:tcW w:type="dxa" w:w="3402"/>
            <w:vAlign w:val="center"/>
          </w:tcPr>
          <w:p>
            <w:pPr>
              <w:spacing w:before="20" w:after="20" w:line="264" w:lineRule="auto"/>
              <w:jc w:val="left"/>
            </w:pPr>
            <w:r>
              <w:rPr>
                <w:rFonts w:ascii="Times New Roman" w:hAnsi="Times New Roman" w:cs="Times New Roman" w:eastAsia="Times New Roman"/>
                <w:sz w:val="19"/>
              </w:rPr>
              <w:t>Strong and stable growth</w:t>
            </w:r>
          </w:p>
        </w:tc>
      </w:tr>
      <w:tr>
        <w:trPr>
          <w:cantSplit w:val="true"/>
        </w:trPr>
        <w:tc>
          <w:tcPr>
            <w:tcW w:type="dxa" w:w="2721"/>
            <w:shd w:val="clear" w:color="auto" w:fill="F2F5FA"/>
            <w:vAlign w:val="center"/>
          </w:tcPr>
          <w:p>
            <w:pPr>
              <w:spacing w:before="20" w:after="20" w:line="264" w:lineRule="auto"/>
              <w:jc w:val="left"/>
            </w:pPr>
            <w:r>
              <w:rPr>
                <w:rFonts w:ascii="Times New Roman" w:hAnsi="Times New Roman" w:cs="Times New Roman" w:eastAsia="Times New Roman"/>
                <w:sz w:val="19"/>
              </w:rPr>
              <w:t>GDP per capita (current US$)</w:t>
            </w:r>
          </w:p>
        </w:tc>
        <w:tc>
          <w:tcPr>
            <w:tcW w:type="dxa" w:w="1587"/>
            <w:shd w:val="clear" w:color="auto" w:fill="F2F5FA"/>
            <w:vAlign w:val="center"/>
          </w:tcPr>
          <w:p>
            <w:pPr>
              <w:spacing w:before="20" w:after="20" w:line="264" w:lineRule="auto"/>
              <w:jc w:val="center"/>
            </w:pPr>
            <w:r>
              <w:rPr>
                <w:rFonts w:ascii="Times New Roman" w:hAnsi="Times New Roman" w:cs="Times New Roman" w:eastAsia="Times New Roman"/>
                <w:sz w:val="19"/>
              </w:rPr>
              <w:t>about 2,690</w:t>
            </w:r>
          </w:p>
        </w:tc>
        <w:tc>
          <w:tcPr>
            <w:tcW w:type="dxa" w:w="1361"/>
            <w:shd w:val="clear" w:color="auto" w:fill="F2F5FA"/>
            <w:vAlign w:val="center"/>
          </w:tcPr>
          <w:p>
            <w:pPr>
              <w:spacing w:before="20" w:after="20" w:line="264" w:lineRule="auto"/>
              <w:jc w:val="center"/>
            </w:pPr>
            <w:r>
              <w:rPr>
                <w:rFonts w:ascii="Times New Roman" w:hAnsi="Times New Roman" w:cs="Times New Roman" w:eastAsia="Times New Roman"/>
                <w:sz w:val="19"/>
              </w:rPr>
              <w:t>2022</w:t>
            </w:r>
          </w:p>
        </w:tc>
        <w:tc>
          <w:tcPr>
            <w:tcW w:type="dxa" w:w="3402"/>
            <w:shd w:val="clear" w:color="auto" w:fill="F2F5FA"/>
            <w:vAlign w:val="center"/>
          </w:tcPr>
          <w:p>
            <w:pPr>
              <w:spacing w:before="20" w:after="20" w:line="264" w:lineRule="auto"/>
              <w:jc w:val="left"/>
            </w:pPr>
            <w:r>
              <w:rPr>
                <w:rFonts w:ascii="Times New Roman" w:hAnsi="Times New Roman" w:cs="Times New Roman" w:eastAsia="Times New Roman"/>
                <w:sz w:val="19"/>
              </w:rPr>
              <w:t>Lower-middle-income status</w:t>
            </w:r>
          </w:p>
        </w:tc>
      </w:tr>
      <w:tr>
        <w:trPr>
          <w:cantSplit w:val="true"/>
        </w:trPr>
        <w:tc>
          <w:tcPr>
            <w:tcW w:type="dxa" w:w="2721"/>
            <w:vAlign w:val="center"/>
          </w:tcPr>
          <w:p>
            <w:pPr>
              <w:spacing w:before="20" w:after="20" w:line="264" w:lineRule="auto"/>
              <w:jc w:val="left"/>
            </w:pPr>
            <w:r>
              <w:rPr>
                <w:rFonts w:ascii="Times New Roman" w:hAnsi="Times New Roman" w:cs="Times New Roman" w:eastAsia="Times New Roman"/>
                <w:sz w:val="19"/>
              </w:rPr>
              <w:t>Upper poverty rate</w:t>
            </w:r>
          </w:p>
        </w:tc>
        <w:tc>
          <w:tcPr>
            <w:tcW w:type="dxa" w:w="1587"/>
            <w:vAlign w:val="center"/>
          </w:tcPr>
          <w:p>
            <w:pPr>
              <w:spacing w:before="20" w:after="20" w:line="264" w:lineRule="auto"/>
              <w:jc w:val="center"/>
            </w:pPr>
            <w:r>
              <w:rPr>
                <w:rFonts w:ascii="Times New Roman" w:hAnsi="Times New Roman" w:cs="Times New Roman" w:eastAsia="Times New Roman"/>
                <w:sz w:val="19"/>
              </w:rPr>
              <w:t>18.7%</w:t>
            </w:r>
          </w:p>
        </w:tc>
        <w:tc>
          <w:tcPr>
            <w:tcW w:type="dxa" w:w="1361"/>
            <w:vAlign w:val="center"/>
          </w:tcPr>
          <w:p>
            <w:pPr>
              <w:spacing w:before="20" w:after="20" w:line="264" w:lineRule="auto"/>
              <w:jc w:val="center"/>
            </w:pPr>
            <w:r>
              <w:rPr>
                <w:rFonts w:ascii="Times New Roman" w:hAnsi="Times New Roman" w:cs="Times New Roman" w:eastAsia="Times New Roman"/>
                <w:sz w:val="19"/>
              </w:rPr>
              <w:t>2022</w:t>
            </w:r>
          </w:p>
        </w:tc>
        <w:tc>
          <w:tcPr>
            <w:tcW w:type="dxa" w:w="3402"/>
            <w:vAlign w:val="center"/>
          </w:tcPr>
          <w:p>
            <w:pPr>
              <w:spacing w:before="20" w:after="20" w:line="264" w:lineRule="auto"/>
              <w:jc w:val="center"/>
            </w:pPr>
            <w:r>
              <w:rPr>
                <w:rFonts w:ascii="Times New Roman" w:hAnsi="Times New Roman" w:cs="Times New Roman" w:eastAsia="Times New Roman"/>
                <w:sz w:val="19"/>
              </w:rPr>
              <w:t>Poverty fell sharply</w:t>
            </w:r>
          </w:p>
        </w:tc>
      </w:tr>
      <w:tr>
        <w:trPr>
          <w:cantSplit w:val="true"/>
        </w:trPr>
        <w:tc>
          <w:tcPr>
            <w:tcW w:type="dxa" w:w="2721"/>
            <w:shd w:val="clear" w:color="auto" w:fill="F2F5FA"/>
            <w:vAlign w:val="center"/>
          </w:tcPr>
          <w:p>
            <w:pPr>
              <w:spacing w:before="20" w:after="20" w:line="264" w:lineRule="auto"/>
              <w:jc w:val="left"/>
            </w:pPr>
            <w:r>
              <w:rPr>
                <w:rFonts w:ascii="Times New Roman" w:hAnsi="Times New Roman" w:cs="Times New Roman" w:eastAsia="Times New Roman"/>
                <w:sz w:val="19"/>
              </w:rPr>
              <w:t>Income Gini coefficient</w:t>
            </w:r>
          </w:p>
        </w:tc>
        <w:tc>
          <w:tcPr>
            <w:tcW w:type="dxa" w:w="1587"/>
            <w:shd w:val="clear" w:color="auto" w:fill="F2F5FA"/>
            <w:vAlign w:val="center"/>
          </w:tcPr>
          <w:p>
            <w:pPr>
              <w:spacing w:before="20" w:after="20" w:line="264" w:lineRule="auto"/>
              <w:jc w:val="center"/>
            </w:pPr>
            <w:r>
              <w:rPr>
                <w:rFonts w:ascii="Times New Roman" w:hAnsi="Times New Roman" w:cs="Times New Roman" w:eastAsia="Times New Roman"/>
                <w:sz w:val="19"/>
              </w:rPr>
              <w:t>0.499</w:t>
            </w:r>
          </w:p>
        </w:tc>
        <w:tc>
          <w:tcPr>
            <w:tcW w:type="dxa" w:w="1361"/>
            <w:shd w:val="clear" w:color="auto" w:fill="F2F5FA"/>
            <w:vAlign w:val="center"/>
          </w:tcPr>
          <w:p>
            <w:pPr>
              <w:spacing w:before="20" w:after="20" w:line="264" w:lineRule="auto"/>
              <w:jc w:val="center"/>
            </w:pPr>
            <w:r>
              <w:rPr>
                <w:rFonts w:ascii="Times New Roman" w:hAnsi="Times New Roman" w:cs="Times New Roman" w:eastAsia="Times New Roman"/>
                <w:sz w:val="19"/>
              </w:rPr>
              <w:t>2022</w:t>
            </w:r>
          </w:p>
        </w:tc>
        <w:tc>
          <w:tcPr>
            <w:tcW w:type="dxa" w:w="3402"/>
            <w:shd w:val="clear" w:color="auto" w:fill="F2F5FA"/>
            <w:vAlign w:val="center"/>
          </w:tcPr>
          <w:p>
            <w:pPr>
              <w:spacing w:before="20" w:after="20" w:line="264" w:lineRule="auto"/>
              <w:jc w:val="left"/>
            </w:pPr>
            <w:r>
              <w:rPr>
                <w:rFonts w:ascii="Times New Roman" w:hAnsi="Times New Roman" w:cs="Times New Roman" w:eastAsia="Times New Roman"/>
                <w:sz w:val="19"/>
              </w:rPr>
              <w:t>Income inequality is high and rising</w:t>
            </w:r>
          </w:p>
        </w:tc>
      </w:tr>
      <w:tr>
        <w:trPr>
          <w:cantSplit w:val="true"/>
        </w:trPr>
        <w:tc>
          <w:tcPr>
            <w:tcW w:type="dxa" w:w="2721"/>
            <w:vAlign w:val="center"/>
          </w:tcPr>
          <w:p>
            <w:pPr>
              <w:spacing w:before="20" w:after="20" w:line="264" w:lineRule="auto"/>
              <w:jc w:val="left"/>
            </w:pPr>
            <w:r>
              <w:rPr>
                <w:rFonts w:ascii="Times New Roman" w:hAnsi="Times New Roman" w:cs="Times New Roman" w:eastAsia="Times New Roman"/>
                <w:sz w:val="19"/>
              </w:rPr>
              <w:t>Informal employment</w:t>
            </w:r>
          </w:p>
        </w:tc>
        <w:tc>
          <w:tcPr>
            <w:tcW w:type="dxa" w:w="1587"/>
            <w:vAlign w:val="center"/>
          </w:tcPr>
          <w:p>
            <w:pPr>
              <w:spacing w:before="20" w:after="20" w:line="264" w:lineRule="auto"/>
              <w:jc w:val="center"/>
            </w:pPr>
            <w:r>
              <w:rPr>
                <w:rFonts w:ascii="Times New Roman" w:hAnsi="Times New Roman" w:cs="Times New Roman" w:eastAsia="Times New Roman"/>
                <w:sz w:val="19"/>
              </w:rPr>
              <w:t>84.9%</w:t>
            </w:r>
          </w:p>
        </w:tc>
        <w:tc>
          <w:tcPr>
            <w:tcW w:type="dxa" w:w="1361"/>
            <w:vAlign w:val="center"/>
          </w:tcPr>
          <w:p>
            <w:pPr>
              <w:spacing w:before="20" w:after="20" w:line="264" w:lineRule="auto"/>
              <w:jc w:val="center"/>
            </w:pPr>
            <w:r>
              <w:rPr>
                <w:rFonts w:ascii="Times New Roman" w:hAnsi="Times New Roman" w:cs="Times New Roman" w:eastAsia="Times New Roman"/>
                <w:sz w:val="19"/>
              </w:rPr>
              <w:t>2022</w:t>
            </w:r>
          </w:p>
        </w:tc>
        <w:tc>
          <w:tcPr>
            <w:tcW w:type="dxa" w:w="3402"/>
            <w:vAlign w:val="center"/>
          </w:tcPr>
          <w:p>
            <w:pPr>
              <w:spacing w:before="20" w:after="20" w:line="264" w:lineRule="auto"/>
              <w:jc w:val="left"/>
            </w:pPr>
            <w:r>
              <w:rPr>
                <w:rFonts w:ascii="Times New Roman" w:hAnsi="Times New Roman" w:cs="Times New Roman" w:eastAsia="Times New Roman"/>
                <w:sz w:val="19"/>
              </w:rPr>
              <w:t>Most jobs lack protection</w:t>
            </w:r>
          </w:p>
        </w:tc>
      </w:tr>
      <w:tr>
        <w:trPr>
          <w:cantSplit w:val="true"/>
        </w:trPr>
        <w:tc>
          <w:tcPr>
            <w:tcW w:type="dxa" w:w="2721"/>
            <w:shd w:val="clear" w:color="auto" w:fill="F2F5FA"/>
            <w:vAlign w:val="center"/>
          </w:tcPr>
          <w:p>
            <w:pPr>
              <w:spacing w:before="20" w:after="20" w:line="264" w:lineRule="auto"/>
              <w:jc w:val="left"/>
            </w:pPr>
            <w:r>
              <w:rPr>
                <w:rFonts w:ascii="Times New Roman" w:hAnsi="Times New Roman" w:cs="Times New Roman" w:eastAsia="Times New Roman"/>
                <w:sz w:val="19"/>
              </w:rPr>
              <w:t>Female labour force participation</w:t>
            </w:r>
          </w:p>
        </w:tc>
        <w:tc>
          <w:tcPr>
            <w:tcW w:type="dxa" w:w="1587"/>
            <w:shd w:val="clear" w:color="auto" w:fill="F2F5FA"/>
            <w:vAlign w:val="center"/>
          </w:tcPr>
          <w:p>
            <w:pPr>
              <w:spacing w:before="20" w:after="20" w:line="264" w:lineRule="auto"/>
              <w:jc w:val="center"/>
            </w:pPr>
            <w:r>
              <w:rPr>
                <w:rFonts w:ascii="Times New Roman" w:hAnsi="Times New Roman" w:cs="Times New Roman" w:eastAsia="Times New Roman"/>
                <w:sz w:val="19"/>
              </w:rPr>
              <w:t>about 43%</w:t>
            </w:r>
          </w:p>
        </w:tc>
        <w:tc>
          <w:tcPr>
            <w:tcW w:type="dxa" w:w="1361"/>
            <w:shd w:val="clear" w:color="auto" w:fill="F2F5FA"/>
            <w:vAlign w:val="center"/>
          </w:tcPr>
          <w:p>
            <w:pPr>
              <w:spacing w:before="20" w:after="20" w:line="264" w:lineRule="auto"/>
              <w:jc w:val="center"/>
            </w:pPr>
            <w:r>
              <w:rPr>
                <w:rFonts w:ascii="Times New Roman" w:hAnsi="Times New Roman" w:cs="Times New Roman" w:eastAsia="Times New Roman"/>
                <w:sz w:val="19"/>
              </w:rPr>
              <w:t>2022</w:t>
            </w:r>
          </w:p>
        </w:tc>
        <w:tc>
          <w:tcPr>
            <w:tcW w:type="dxa" w:w="3402"/>
            <w:shd w:val="clear" w:color="auto" w:fill="F2F5FA"/>
            <w:vAlign w:val="center"/>
          </w:tcPr>
          <w:p>
            <w:pPr>
              <w:spacing w:before="20" w:after="20" w:line="264" w:lineRule="auto"/>
              <w:jc w:val="left"/>
            </w:pPr>
            <w:r>
              <w:rPr>
                <w:rFonts w:ascii="Times New Roman" w:hAnsi="Times New Roman" w:cs="Times New Roman" w:eastAsia="Times New Roman"/>
                <w:sz w:val="19"/>
              </w:rPr>
              <w:t>Large unpaid work burden</w:t>
            </w:r>
          </w:p>
        </w:tc>
      </w:tr>
      <w:tr>
        <w:trPr>
          <w:cantSplit w:val="true"/>
        </w:trPr>
        <w:tc>
          <w:tcPr>
            <w:tcW w:type="dxa" w:w="2721"/>
            <w:vAlign w:val="center"/>
          </w:tcPr>
          <w:p>
            <w:pPr>
              <w:spacing w:before="20" w:after="20" w:line="264" w:lineRule="auto"/>
              <w:jc w:val="left"/>
            </w:pPr>
            <w:r>
              <w:rPr>
                <w:rFonts w:ascii="Times New Roman" w:hAnsi="Times New Roman" w:cs="Times New Roman" w:eastAsia="Times New Roman"/>
                <w:sz w:val="19"/>
              </w:rPr>
              <w:t>Life expectancy at birth</w:t>
            </w:r>
          </w:p>
        </w:tc>
        <w:tc>
          <w:tcPr>
            <w:tcW w:type="dxa" w:w="1587"/>
            <w:vAlign w:val="center"/>
          </w:tcPr>
          <w:p>
            <w:pPr>
              <w:spacing w:before="20" w:after="20" w:line="264" w:lineRule="auto"/>
              <w:jc w:val="center"/>
            </w:pPr>
            <w:r>
              <w:rPr>
                <w:rFonts w:ascii="Times New Roman" w:hAnsi="Times New Roman" w:cs="Times New Roman" w:eastAsia="Times New Roman"/>
                <w:sz w:val="19"/>
              </w:rPr>
              <w:t>about 72-74 years</w:t>
            </w:r>
          </w:p>
        </w:tc>
        <w:tc>
          <w:tcPr>
            <w:tcW w:type="dxa" w:w="1361"/>
            <w:vAlign w:val="center"/>
          </w:tcPr>
          <w:p>
            <w:pPr>
              <w:spacing w:before="20" w:after="20" w:line="264" w:lineRule="auto"/>
              <w:jc w:val="center"/>
            </w:pPr>
            <w:r>
              <w:rPr>
                <w:rFonts w:ascii="Times New Roman" w:hAnsi="Times New Roman" w:cs="Times New Roman" w:eastAsia="Times New Roman"/>
                <w:sz w:val="19"/>
              </w:rPr>
              <w:t>2022</w:t>
            </w:r>
          </w:p>
        </w:tc>
        <w:tc>
          <w:tcPr>
            <w:tcW w:type="dxa" w:w="3402"/>
            <w:vAlign w:val="center"/>
          </w:tcPr>
          <w:p>
            <w:pPr>
              <w:spacing w:before="20" w:after="20" w:line="264" w:lineRule="auto"/>
              <w:jc w:val="left"/>
            </w:pPr>
            <w:r>
              <w:rPr>
                <w:rFonts w:ascii="Times New Roman" w:hAnsi="Times New Roman" w:cs="Times New Roman" w:eastAsia="Times New Roman"/>
                <w:sz w:val="19"/>
              </w:rPr>
              <w:t>Better than income level predicts</w:t>
            </w:r>
          </w:p>
        </w:tc>
      </w:tr>
      <w:tr>
        <w:trPr>
          <w:cantSplit w:val="true"/>
        </w:trPr>
        <w:tc>
          <w:tcPr>
            <w:tcW w:type="dxa" w:w="2721"/>
            <w:shd w:val="clear" w:color="auto" w:fill="F2F5FA"/>
            <w:vAlign w:val="center"/>
          </w:tcPr>
          <w:p>
            <w:pPr>
              <w:spacing w:before="20" w:after="20" w:line="264" w:lineRule="auto"/>
              <w:jc w:val="left"/>
            </w:pPr>
            <w:r>
              <w:rPr>
                <w:rFonts w:ascii="Times New Roman" w:hAnsi="Times New Roman" w:cs="Times New Roman" w:eastAsia="Times New Roman"/>
                <w:sz w:val="19"/>
              </w:rPr>
              <w:t>HDI value</w:t>
            </w:r>
          </w:p>
        </w:tc>
        <w:tc>
          <w:tcPr>
            <w:tcW w:type="dxa" w:w="1587"/>
            <w:shd w:val="clear" w:color="auto" w:fill="F2F5FA"/>
            <w:vAlign w:val="center"/>
          </w:tcPr>
          <w:p>
            <w:pPr>
              <w:spacing w:before="20" w:after="20" w:line="264" w:lineRule="auto"/>
              <w:jc w:val="center"/>
            </w:pPr>
            <w:r>
              <w:rPr>
                <w:rFonts w:ascii="Times New Roman" w:hAnsi="Times New Roman" w:cs="Times New Roman" w:eastAsia="Times New Roman"/>
                <w:sz w:val="19"/>
              </w:rPr>
              <w:t>0.670</w:t>
            </w:r>
          </w:p>
        </w:tc>
        <w:tc>
          <w:tcPr>
            <w:tcW w:type="dxa" w:w="1361"/>
            <w:shd w:val="clear" w:color="auto" w:fill="F2F5FA"/>
            <w:vAlign w:val="center"/>
          </w:tcPr>
          <w:p>
            <w:pPr>
              <w:spacing w:before="20" w:after="20" w:line="264" w:lineRule="auto"/>
              <w:jc w:val="center"/>
            </w:pPr>
            <w:r>
              <w:rPr>
                <w:rFonts w:ascii="Times New Roman" w:hAnsi="Times New Roman" w:cs="Times New Roman" w:eastAsia="Times New Roman"/>
                <w:sz w:val="19"/>
              </w:rPr>
              <w:t>2022</w:t>
            </w:r>
          </w:p>
        </w:tc>
        <w:tc>
          <w:tcPr>
            <w:tcW w:type="dxa" w:w="3402"/>
            <w:shd w:val="clear" w:color="auto" w:fill="F2F5FA"/>
            <w:vAlign w:val="center"/>
          </w:tcPr>
          <w:p>
            <w:pPr>
              <w:spacing w:before="20" w:after="20" w:line="264" w:lineRule="auto"/>
              <w:jc w:val="left"/>
            </w:pPr>
            <w:r>
              <w:rPr>
                <w:rFonts w:ascii="Times New Roman" w:hAnsi="Times New Roman" w:cs="Times New Roman" w:eastAsia="Times New Roman"/>
                <w:sz w:val="19"/>
              </w:rPr>
              <w:t>Medium human development</w:t>
            </w:r>
          </w:p>
        </w:tc>
      </w:tr>
      <w:tr>
        <w:trPr>
          <w:cantSplit w:val="true"/>
        </w:trPr>
        <w:tc>
          <w:tcPr>
            <w:tcW w:type="dxa" w:w="2721"/>
            <w:vAlign w:val="center"/>
          </w:tcPr>
          <w:p>
            <w:pPr>
              <w:spacing w:before="20" w:after="20" w:line="264" w:lineRule="auto"/>
              <w:jc w:val="left"/>
            </w:pPr>
            <w:r>
              <w:rPr>
                <w:rFonts w:ascii="Times New Roman" w:hAnsi="Times New Roman" w:cs="Times New Roman" w:eastAsia="Times New Roman"/>
                <w:sz w:val="19"/>
              </w:rPr>
              <w:t>Life evaluation (WHR)</w:t>
            </w:r>
          </w:p>
        </w:tc>
        <w:tc>
          <w:tcPr>
            <w:tcW w:type="dxa" w:w="1587"/>
            <w:vAlign w:val="center"/>
          </w:tcPr>
          <w:p>
            <w:pPr>
              <w:spacing w:before="20" w:after="20" w:line="264" w:lineRule="auto"/>
              <w:jc w:val="center"/>
            </w:pPr>
            <w:r>
              <w:rPr>
                <w:rFonts w:ascii="Times New Roman" w:hAnsi="Times New Roman" w:cs="Times New Roman" w:eastAsia="Times New Roman"/>
                <w:sz w:val="19"/>
              </w:rPr>
              <w:t>3.89 / 10</w:t>
            </w:r>
          </w:p>
        </w:tc>
        <w:tc>
          <w:tcPr>
            <w:tcW w:type="dxa" w:w="1361"/>
            <w:vAlign w:val="center"/>
          </w:tcPr>
          <w:p>
            <w:pPr>
              <w:spacing w:before="20" w:after="20" w:line="264" w:lineRule="auto"/>
              <w:jc w:val="center"/>
            </w:pPr>
            <w:r>
              <w:rPr>
                <w:rFonts w:ascii="Times New Roman" w:hAnsi="Times New Roman" w:cs="Times New Roman" w:eastAsia="Times New Roman"/>
                <w:sz w:val="19"/>
              </w:rPr>
              <w:t>2021-23</w:t>
            </w:r>
          </w:p>
        </w:tc>
        <w:tc>
          <w:tcPr>
            <w:tcW w:type="dxa" w:w="3402"/>
            <w:vAlign w:val="center"/>
          </w:tcPr>
          <w:p>
            <w:pPr>
              <w:spacing w:before="20" w:after="20" w:line="264" w:lineRule="auto"/>
              <w:jc w:val="left"/>
            </w:pPr>
            <w:r>
              <w:rPr>
                <w:rFonts w:ascii="Times New Roman" w:hAnsi="Times New Roman" w:cs="Times New Roman" w:eastAsia="Times New Roman"/>
                <w:sz w:val="19"/>
              </w:rPr>
              <w:t>Low reported life satisfaction</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BBS (2023a, 2023b), UNDP (2024), World Bank (2024), Helliwell et al. (2024).</w:t>
      </w:r>
    </w:p>
    <w:p>
      <w:pPr>
        <w:spacing w:before="0" w:after="120" w:line="276" w:lineRule="auto"/>
        <w:jc w:val="both"/>
      </w:pPr>
      <w:r>
        <w:rPr>
          <w:rFonts w:ascii="Times New Roman" w:hAnsi="Times New Roman" w:cs="Times New Roman" w:eastAsia="Times New Roman"/>
        </w:rPr>
        <w:t>The Bangladesh case therefore supports both sides of the debate. Growth has clearly helped to reduce poverty and improve health, but the GDP figure alone would give a misleadingly positive picture of how evenly the benefits were shared and how sustainable they are.</w:t>
      </w:r>
    </w:p>
    <w:p>
      <w:pPr>
        <w:pStyle w:val="Heading1"/>
        <w:pBdr>
          <w:bottom w:val="single" w:sz="8" w:space="4" w:color="1F3864"/>
        </w:pBdr>
      </w:pPr>
      <w:r>
        <w:rPr>
          <w:rFonts w:ascii="Times New Roman" w:hAnsi="Times New Roman" w:cs="Times New Roman" w:eastAsia="Times New Roman"/>
          <w:b/>
          <w:i w:val="0"/>
          <w:color w:val="1F3864"/>
        </w:rPr>
        <w:t>8. Comparative Analysis: A Dashboard Approach</w:t>
      </w:r>
    </w:p>
    <w:p>
      <w:pPr>
        <w:spacing w:before="0" w:after="120" w:line="276" w:lineRule="auto"/>
        <w:jc w:val="both"/>
      </w:pPr>
      <w:r>
        <w:rPr>
          <w:rFonts w:ascii="Times New Roman" w:hAnsi="Times New Roman" w:cs="Times New Roman" w:eastAsia="Times New Roman"/>
        </w:rPr>
        <w:t>Table 11 compares eleven countries across GDP per capita and three well-being indicators. Ranking by GDP and ranking by well-being give different results. The United States has more than twice Japan's GDP per capita but lower life expectancy. Finland, with less than half of Norway's GDP per capita, reports the highest life evaluation in the world. Costa Rica, Vietnam and Sri Lanka achieve much more health than their income suggests, while South Africa and Nigeria achieve much less.</w:t>
      </w: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11</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Selected countries: GDP per capita compared with well-being indicators</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1927"/>
        <w:gridCol w:w="1927"/>
        <w:gridCol w:w="1701"/>
        <w:gridCol w:w="1474"/>
        <w:gridCol w:w="2041"/>
      </w:tblGrid>
      <w:tr>
        <w:trPr>
          <w:tblHeader w:val="true"/>
        </w:trPr>
        <w:tc>
          <w:tcPr>
            <w:tcW w:type="dxa" w:w="192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Country</w:t>
            </w:r>
          </w:p>
        </w:tc>
        <w:tc>
          <w:tcPr>
            <w:tcW w:type="dxa" w:w="192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GDP per capita (US$)</w:t>
            </w:r>
          </w:p>
        </w:tc>
        <w:tc>
          <w:tcPr>
            <w:tcW w:type="dxa" w:w="1701"/>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Life expectancy</w:t>
            </w:r>
          </w:p>
        </w:tc>
        <w:tc>
          <w:tcPr>
            <w:tcW w:type="dxa" w:w="1474"/>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HDI</w:t>
            </w:r>
          </w:p>
        </w:tc>
        <w:tc>
          <w:tcPr>
            <w:tcW w:type="dxa" w:w="2041"/>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Life evaluation (0-10)</w:t>
            </w:r>
          </w:p>
        </w:tc>
      </w:tr>
      <w:tr>
        <w:trPr>
          <w:cantSplit w:val="true"/>
        </w:trPr>
        <w:tc>
          <w:tcPr>
            <w:tcW w:type="dxa" w:w="1928"/>
            <w:vAlign w:val="center"/>
          </w:tcPr>
          <w:p>
            <w:pPr>
              <w:spacing w:before="20" w:after="20" w:line="264" w:lineRule="auto"/>
              <w:jc w:val="left"/>
            </w:pPr>
            <w:r>
              <w:rPr>
                <w:rFonts w:ascii="Times New Roman" w:hAnsi="Times New Roman" w:cs="Times New Roman" w:eastAsia="Times New Roman"/>
                <w:sz w:val="20"/>
              </w:rPr>
              <w:t>Norway</w:t>
            </w:r>
          </w:p>
        </w:tc>
        <w:tc>
          <w:tcPr>
            <w:tcW w:type="dxa" w:w="1928"/>
            <w:vAlign w:val="center"/>
          </w:tcPr>
          <w:p>
            <w:pPr>
              <w:spacing w:before="20" w:after="20" w:line="264" w:lineRule="auto"/>
              <w:jc w:val="center"/>
            </w:pPr>
            <w:r>
              <w:rPr>
                <w:rFonts w:ascii="Times New Roman" w:hAnsi="Times New Roman" w:cs="Times New Roman" w:eastAsia="Times New Roman"/>
                <w:sz w:val="20"/>
              </w:rPr>
              <w:t>108,700</w:t>
            </w:r>
          </w:p>
        </w:tc>
        <w:tc>
          <w:tcPr>
            <w:tcW w:type="dxa" w:w="1701"/>
            <w:vAlign w:val="center"/>
          </w:tcPr>
          <w:p>
            <w:pPr>
              <w:spacing w:before="20" w:after="20" w:line="264" w:lineRule="auto"/>
              <w:jc w:val="center"/>
            </w:pPr>
            <w:r>
              <w:rPr>
                <w:rFonts w:ascii="Times New Roman" w:hAnsi="Times New Roman" w:cs="Times New Roman" w:eastAsia="Times New Roman"/>
                <w:sz w:val="20"/>
              </w:rPr>
              <w:t>83.1</w:t>
            </w:r>
          </w:p>
        </w:tc>
        <w:tc>
          <w:tcPr>
            <w:tcW w:type="dxa" w:w="1474"/>
            <w:vAlign w:val="center"/>
          </w:tcPr>
          <w:p>
            <w:pPr>
              <w:spacing w:before="20" w:after="20" w:line="264" w:lineRule="auto"/>
              <w:jc w:val="center"/>
            </w:pPr>
            <w:r>
              <w:rPr>
                <w:rFonts w:ascii="Times New Roman" w:hAnsi="Times New Roman" w:cs="Times New Roman" w:eastAsia="Times New Roman"/>
                <w:sz w:val="20"/>
              </w:rPr>
              <w:t>0.966</w:t>
            </w:r>
          </w:p>
        </w:tc>
        <w:tc>
          <w:tcPr>
            <w:tcW w:type="dxa" w:w="2041"/>
            <w:vAlign w:val="center"/>
          </w:tcPr>
          <w:p>
            <w:pPr>
              <w:spacing w:before="20" w:after="20" w:line="264" w:lineRule="auto"/>
              <w:jc w:val="center"/>
            </w:pPr>
            <w:r>
              <w:rPr>
                <w:rFonts w:ascii="Times New Roman" w:hAnsi="Times New Roman" w:cs="Times New Roman" w:eastAsia="Times New Roman"/>
                <w:sz w:val="20"/>
              </w:rPr>
              <w:t>7.30</w:t>
            </w:r>
          </w:p>
        </w:tc>
      </w:tr>
      <w:tr>
        <w:trPr>
          <w:cantSplit w:val="true"/>
        </w:trPr>
        <w:tc>
          <w:tcPr>
            <w:tcW w:type="dxa" w:w="1928"/>
            <w:shd w:val="clear" w:color="auto" w:fill="F2F5FA"/>
            <w:vAlign w:val="center"/>
          </w:tcPr>
          <w:p>
            <w:pPr>
              <w:spacing w:before="20" w:after="20" w:line="264" w:lineRule="auto"/>
              <w:jc w:val="left"/>
            </w:pPr>
            <w:r>
              <w:rPr>
                <w:rFonts w:ascii="Times New Roman" w:hAnsi="Times New Roman" w:cs="Times New Roman" w:eastAsia="Times New Roman"/>
                <w:sz w:val="20"/>
              </w:rPr>
              <w:t>United States</w:t>
            </w:r>
          </w:p>
        </w:tc>
        <w:tc>
          <w:tcPr>
            <w:tcW w:type="dxa" w:w="1928"/>
            <w:shd w:val="clear" w:color="auto" w:fill="F2F5FA"/>
            <w:vAlign w:val="center"/>
          </w:tcPr>
          <w:p>
            <w:pPr>
              <w:spacing w:before="20" w:after="20" w:line="264" w:lineRule="auto"/>
              <w:jc w:val="center"/>
            </w:pPr>
            <w:r>
              <w:rPr>
                <w:rFonts w:ascii="Times New Roman" w:hAnsi="Times New Roman" w:cs="Times New Roman" w:eastAsia="Times New Roman"/>
                <w:sz w:val="20"/>
              </w:rPr>
              <w:t>76,300</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77.5</w:t>
            </w:r>
          </w:p>
        </w:tc>
        <w:tc>
          <w:tcPr>
            <w:tcW w:type="dxa" w:w="1474"/>
            <w:shd w:val="clear" w:color="auto" w:fill="F2F5FA"/>
            <w:vAlign w:val="center"/>
          </w:tcPr>
          <w:p>
            <w:pPr>
              <w:spacing w:before="20" w:after="20" w:line="264" w:lineRule="auto"/>
              <w:jc w:val="center"/>
            </w:pPr>
            <w:r>
              <w:rPr>
                <w:rFonts w:ascii="Times New Roman" w:hAnsi="Times New Roman" w:cs="Times New Roman" w:eastAsia="Times New Roman"/>
                <w:sz w:val="20"/>
              </w:rPr>
              <w:t>0.927</w:t>
            </w:r>
          </w:p>
        </w:tc>
        <w:tc>
          <w:tcPr>
            <w:tcW w:type="dxa" w:w="2041"/>
            <w:shd w:val="clear" w:color="auto" w:fill="F2F5FA"/>
            <w:vAlign w:val="center"/>
          </w:tcPr>
          <w:p>
            <w:pPr>
              <w:spacing w:before="20" w:after="20" w:line="264" w:lineRule="auto"/>
              <w:jc w:val="center"/>
            </w:pPr>
            <w:r>
              <w:rPr>
                <w:rFonts w:ascii="Times New Roman" w:hAnsi="Times New Roman" w:cs="Times New Roman" w:eastAsia="Times New Roman"/>
                <w:sz w:val="20"/>
              </w:rPr>
              <w:t>6.73</w:t>
            </w:r>
          </w:p>
        </w:tc>
      </w:tr>
      <w:tr>
        <w:trPr>
          <w:cantSplit w:val="true"/>
        </w:trPr>
        <w:tc>
          <w:tcPr>
            <w:tcW w:type="dxa" w:w="1928"/>
            <w:vAlign w:val="center"/>
          </w:tcPr>
          <w:p>
            <w:pPr>
              <w:spacing w:before="20" w:after="20" w:line="264" w:lineRule="auto"/>
              <w:jc w:val="left"/>
            </w:pPr>
            <w:r>
              <w:rPr>
                <w:rFonts w:ascii="Times New Roman" w:hAnsi="Times New Roman" w:cs="Times New Roman" w:eastAsia="Times New Roman"/>
                <w:sz w:val="20"/>
              </w:rPr>
              <w:t>Finland</w:t>
            </w:r>
          </w:p>
        </w:tc>
        <w:tc>
          <w:tcPr>
            <w:tcW w:type="dxa" w:w="1928"/>
            <w:vAlign w:val="center"/>
          </w:tcPr>
          <w:p>
            <w:pPr>
              <w:spacing w:before="20" w:after="20" w:line="264" w:lineRule="auto"/>
              <w:jc w:val="center"/>
            </w:pPr>
            <w:r>
              <w:rPr>
                <w:rFonts w:ascii="Times New Roman" w:hAnsi="Times New Roman" w:cs="Times New Roman" w:eastAsia="Times New Roman"/>
                <w:sz w:val="20"/>
              </w:rPr>
              <w:t>50,900</w:t>
            </w:r>
          </w:p>
        </w:tc>
        <w:tc>
          <w:tcPr>
            <w:tcW w:type="dxa" w:w="1701"/>
            <w:vAlign w:val="center"/>
          </w:tcPr>
          <w:p>
            <w:pPr>
              <w:spacing w:before="20" w:after="20" w:line="264" w:lineRule="auto"/>
              <w:jc w:val="center"/>
            </w:pPr>
            <w:r>
              <w:rPr>
                <w:rFonts w:ascii="Times New Roman" w:hAnsi="Times New Roman" w:cs="Times New Roman" w:eastAsia="Times New Roman"/>
                <w:sz w:val="20"/>
              </w:rPr>
              <w:t>81.2</w:t>
            </w:r>
          </w:p>
        </w:tc>
        <w:tc>
          <w:tcPr>
            <w:tcW w:type="dxa" w:w="1474"/>
            <w:vAlign w:val="center"/>
          </w:tcPr>
          <w:p>
            <w:pPr>
              <w:spacing w:before="20" w:after="20" w:line="264" w:lineRule="auto"/>
              <w:jc w:val="center"/>
            </w:pPr>
            <w:r>
              <w:rPr>
                <w:rFonts w:ascii="Times New Roman" w:hAnsi="Times New Roman" w:cs="Times New Roman" w:eastAsia="Times New Roman"/>
                <w:sz w:val="20"/>
              </w:rPr>
              <w:t>0.942</w:t>
            </w:r>
          </w:p>
        </w:tc>
        <w:tc>
          <w:tcPr>
            <w:tcW w:type="dxa" w:w="2041"/>
            <w:vAlign w:val="center"/>
          </w:tcPr>
          <w:p>
            <w:pPr>
              <w:spacing w:before="20" w:after="20" w:line="264" w:lineRule="auto"/>
              <w:jc w:val="center"/>
            </w:pPr>
            <w:r>
              <w:rPr>
                <w:rFonts w:ascii="Times New Roman" w:hAnsi="Times New Roman" w:cs="Times New Roman" w:eastAsia="Times New Roman"/>
                <w:sz w:val="20"/>
              </w:rPr>
              <w:t>7.74</w:t>
            </w:r>
          </w:p>
        </w:tc>
      </w:tr>
      <w:tr>
        <w:trPr>
          <w:cantSplit w:val="true"/>
        </w:trPr>
        <w:tc>
          <w:tcPr>
            <w:tcW w:type="dxa" w:w="1928"/>
            <w:shd w:val="clear" w:color="auto" w:fill="F2F5FA"/>
            <w:vAlign w:val="center"/>
          </w:tcPr>
          <w:p>
            <w:pPr>
              <w:spacing w:before="20" w:after="20" w:line="264" w:lineRule="auto"/>
              <w:jc w:val="left"/>
            </w:pPr>
            <w:r>
              <w:rPr>
                <w:rFonts w:ascii="Times New Roman" w:hAnsi="Times New Roman" w:cs="Times New Roman" w:eastAsia="Times New Roman"/>
                <w:sz w:val="20"/>
              </w:rPr>
              <w:t>Japan</w:t>
            </w:r>
          </w:p>
        </w:tc>
        <w:tc>
          <w:tcPr>
            <w:tcW w:type="dxa" w:w="1928"/>
            <w:shd w:val="clear" w:color="auto" w:fill="F2F5FA"/>
            <w:vAlign w:val="center"/>
          </w:tcPr>
          <w:p>
            <w:pPr>
              <w:spacing w:before="20" w:after="20" w:line="264" w:lineRule="auto"/>
              <w:jc w:val="center"/>
            </w:pPr>
            <w:r>
              <w:rPr>
                <w:rFonts w:ascii="Times New Roman" w:hAnsi="Times New Roman" w:cs="Times New Roman" w:eastAsia="Times New Roman"/>
                <w:sz w:val="20"/>
              </w:rPr>
              <w:t>34,000</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84.0</w:t>
            </w:r>
          </w:p>
        </w:tc>
        <w:tc>
          <w:tcPr>
            <w:tcW w:type="dxa" w:w="1474"/>
            <w:shd w:val="clear" w:color="auto" w:fill="F2F5FA"/>
            <w:vAlign w:val="center"/>
          </w:tcPr>
          <w:p>
            <w:pPr>
              <w:spacing w:before="20" w:after="20" w:line="264" w:lineRule="auto"/>
              <w:jc w:val="center"/>
            </w:pPr>
            <w:r>
              <w:rPr>
                <w:rFonts w:ascii="Times New Roman" w:hAnsi="Times New Roman" w:cs="Times New Roman" w:eastAsia="Times New Roman"/>
                <w:sz w:val="20"/>
              </w:rPr>
              <w:t>0.920</w:t>
            </w:r>
          </w:p>
        </w:tc>
        <w:tc>
          <w:tcPr>
            <w:tcW w:type="dxa" w:w="2041"/>
            <w:shd w:val="clear" w:color="auto" w:fill="F2F5FA"/>
            <w:vAlign w:val="center"/>
          </w:tcPr>
          <w:p>
            <w:pPr>
              <w:spacing w:before="20" w:after="20" w:line="264" w:lineRule="auto"/>
              <w:jc w:val="center"/>
            </w:pPr>
            <w:r>
              <w:rPr>
                <w:rFonts w:ascii="Times New Roman" w:hAnsi="Times New Roman" w:cs="Times New Roman" w:eastAsia="Times New Roman"/>
                <w:sz w:val="20"/>
              </w:rPr>
              <w:t>6.06</w:t>
            </w:r>
          </w:p>
        </w:tc>
      </w:tr>
      <w:tr>
        <w:trPr>
          <w:cantSplit w:val="true"/>
        </w:trPr>
        <w:tc>
          <w:tcPr>
            <w:tcW w:type="dxa" w:w="1928"/>
            <w:vAlign w:val="center"/>
          </w:tcPr>
          <w:p>
            <w:pPr>
              <w:spacing w:before="20" w:after="20" w:line="264" w:lineRule="auto"/>
              <w:jc w:val="left"/>
            </w:pPr>
            <w:r>
              <w:rPr>
                <w:rFonts w:ascii="Times New Roman" w:hAnsi="Times New Roman" w:cs="Times New Roman" w:eastAsia="Times New Roman"/>
                <w:sz w:val="20"/>
              </w:rPr>
              <w:t>Costa Rica</w:t>
            </w:r>
          </w:p>
        </w:tc>
        <w:tc>
          <w:tcPr>
            <w:tcW w:type="dxa" w:w="1928"/>
            <w:vAlign w:val="center"/>
          </w:tcPr>
          <w:p>
            <w:pPr>
              <w:spacing w:before="20" w:after="20" w:line="264" w:lineRule="auto"/>
              <w:jc w:val="center"/>
            </w:pPr>
            <w:r>
              <w:rPr>
                <w:rFonts w:ascii="Times New Roman" w:hAnsi="Times New Roman" w:cs="Times New Roman" w:eastAsia="Times New Roman"/>
                <w:sz w:val="20"/>
              </w:rPr>
              <w:t>13,200</w:t>
            </w:r>
          </w:p>
        </w:tc>
        <w:tc>
          <w:tcPr>
            <w:tcW w:type="dxa" w:w="1701"/>
            <w:vAlign w:val="center"/>
          </w:tcPr>
          <w:p>
            <w:pPr>
              <w:spacing w:before="20" w:after="20" w:line="264" w:lineRule="auto"/>
              <w:jc w:val="center"/>
            </w:pPr>
            <w:r>
              <w:rPr>
                <w:rFonts w:ascii="Times New Roman" w:hAnsi="Times New Roman" w:cs="Times New Roman" w:eastAsia="Times New Roman"/>
                <w:sz w:val="20"/>
              </w:rPr>
              <w:t>77.0</w:t>
            </w:r>
          </w:p>
        </w:tc>
        <w:tc>
          <w:tcPr>
            <w:tcW w:type="dxa" w:w="1474"/>
            <w:vAlign w:val="center"/>
          </w:tcPr>
          <w:p>
            <w:pPr>
              <w:spacing w:before="20" w:after="20" w:line="264" w:lineRule="auto"/>
              <w:jc w:val="center"/>
            </w:pPr>
            <w:r>
              <w:rPr>
                <w:rFonts w:ascii="Times New Roman" w:hAnsi="Times New Roman" w:cs="Times New Roman" w:eastAsia="Times New Roman"/>
                <w:sz w:val="20"/>
              </w:rPr>
              <w:t>0.806</w:t>
            </w:r>
          </w:p>
        </w:tc>
        <w:tc>
          <w:tcPr>
            <w:tcW w:type="dxa" w:w="2041"/>
            <w:vAlign w:val="center"/>
          </w:tcPr>
          <w:p>
            <w:pPr>
              <w:spacing w:before="20" w:after="20" w:line="264" w:lineRule="auto"/>
              <w:jc w:val="center"/>
            </w:pPr>
            <w:r>
              <w:rPr>
                <w:rFonts w:ascii="Times New Roman" w:hAnsi="Times New Roman" w:cs="Times New Roman" w:eastAsia="Times New Roman"/>
                <w:sz w:val="20"/>
              </w:rPr>
              <w:t>6.96</w:t>
            </w:r>
          </w:p>
        </w:tc>
      </w:tr>
      <w:tr>
        <w:trPr>
          <w:cantSplit w:val="true"/>
        </w:trPr>
        <w:tc>
          <w:tcPr>
            <w:tcW w:type="dxa" w:w="1928"/>
            <w:shd w:val="clear" w:color="auto" w:fill="F2F5FA"/>
            <w:vAlign w:val="center"/>
          </w:tcPr>
          <w:p>
            <w:pPr>
              <w:spacing w:before="20" w:after="20" w:line="264" w:lineRule="auto"/>
              <w:jc w:val="left"/>
            </w:pPr>
            <w:r>
              <w:rPr>
                <w:rFonts w:ascii="Times New Roman" w:hAnsi="Times New Roman" w:cs="Times New Roman" w:eastAsia="Times New Roman"/>
                <w:sz w:val="20"/>
              </w:rPr>
              <w:t>China</w:t>
            </w:r>
          </w:p>
        </w:tc>
        <w:tc>
          <w:tcPr>
            <w:tcW w:type="dxa" w:w="1928"/>
            <w:shd w:val="clear" w:color="auto" w:fill="F2F5FA"/>
            <w:vAlign w:val="center"/>
          </w:tcPr>
          <w:p>
            <w:pPr>
              <w:spacing w:before="20" w:after="20" w:line="264" w:lineRule="auto"/>
              <w:jc w:val="center"/>
            </w:pPr>
            <w:r>
              <w:rPr>
                <w:rFonts w:ascii="Times New Roman" w:hAnsi="Times New Roman" w:cs="Times New Roman" w:eastAsia="Times New Roman"/>
                <w:sz w:val="20"/>
              </w:rPr>
              <w:t>12,700</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78.6</w:t>
            </w:r>
          </w:p>
        </w:tc>
        <w:tc>
          <w:tcPr>
            <w:tcW w:type="dxa" w:w="1474"/>
            <w:shd w:val="clear" w:color="auto" w:fill="F2F5FA"/>
            <w:vAlign w:val="center"/>
          </w:tcPr>
          <w:p>
            <w:pPr>
              <w:spacing w:before="20" w:after="20" w:line="264" w:lineRule="auto"/>
              <w:jc w:val="center"/>
            </w:pPr>
            <w:r>
              <w:rPr>
                <w:rFonts w:ascii="Times New Roman" w:hAnsi="Times New Roman" w:cs="Times New Roman" w:eastAsia="Times New Roman"/>
                <w:sz w:val="20"/>
              </w:rPr>
              <w:t>0.788</w:t>
            </w:r>
          </w:p>
        </w:tc>
        <w:tc>
          <w:tcPr>
            <w:tcW w:type="dxa" w:w="2041"/>
            <w:shd w:val="clear" w:color="auto" w:fill="F2F5FA"/>
            <w:vAlign w:val="center"/>
          </w:tcPr>
          <w:p>
            <w:pPr>
              <w:spacing w:before="20" w:after="20" w:line="264" w:lineRule="auto"/>
              <w:jc w:val="center"/>
            </w:pPr>
            <w:r>
              <w:rPr>
                <w:rFonts w:ascii="Times New Roman" w:hAnsi="Times New Roman" w:cs="Times New Roman" w:eastAsia="Times New Roman"/>
                <w:sz w:val="20"/>
              </w:rPr>
              <w:t>5.97</w:t>
            </w:r>
          </w:p>
        </w:tc>
      </w:tr>
      <w:tr>
        <w:trPr>
          <w:cantSplit w:val="true"/>
        </w:trPr>
        <w:tc>
          <w:tcPr>
            <w:tcW w:type="dxa" w:w="1928"/>
            <w:vAlign w:val="center"/>
          </w:tcPr>
          <w:p>
            <w:pPr>
              <w:spacing w:before="20" w:after="20" w:line="264" w:lineRule="auto"/>
              <w:jc w:val="left"/>
            </w:pPr>
            <w:r>
              <w:rPr>
                <w:rFonts w:ascii="Times New Roman" w:hAnsi="Times New Roman" w:cs="Times New Roman" w:eastAsia="Times New Roman"/>
                <w:sz w:val="20"/>
              </w:rPr>
              <w:t>South Africa</w:t>
            </w:r>
          </w:p>
        </w:tc>
        <w:tc>
          <w:tcPr>
            <w:tcW w:type="dxa" w:w="1928"/>
            <w:vAlign w:val="center"/>
          </w:tcPr>
          <w:p>
            <w:pPr>
              <w:spacing w:before="20" w:after="20" w:line="264" w:lineRule="auto"/>
              <w:jc w:val="center"/>
            </w:pPr>
            <w:r>
              <w:rPr>
                <w:rFonts w:ascii="Times New Roman" w:hAnsi="Times New Roman" w:cs="Times New Roman" w:eastAsia="Times New Roman"/>
                <w:sz w:val="20"/>
              </w:rPr>
              <w:t>6,700</w:t>
            </w:r>
          </w:p>
        </w:tc>
        <w:tc>
          <w:tcPr>
            <w:tcW w:type="dxa" w:w="1701"/>
            <w:vAlign w:val="center"/>
          </w:tcPr>
          <w:p>
            <w:pPr>
              <w:spacing w:before="20" w:after="20" w:line="264" w:lineRule="auto"/>
              <w:jc w:val="center"/>
            </w:pPr>
            <w:r>
              <w:rPr>
                <w:rFonts w:ascii="Times New Roman" w:hAnsi="Times New Roman" w:cs="Times New Roman" w:eastAsia="Times New Roman"/>
                <w:sz w:val="20"/>
              </w:rPr>
              <w:t>62.3</w:t>
            </w:r>
          </w:p>
        </w:tc>
        <w:tc>
          <w:tcPr>
            <w:tcW w:type="dxa" w:w="1474"/>
            <w:vAlign w:val="center"/>
          </w:tcPr>
          <w:p>
            <w:pPr>
              <w:spacing w:before="20" w:after="20" w:line="264" w:lineRule="auto"/>
              <w:jc w:val="center"/>
            </w:pPr>
            <w:r>
              <w:rPr>
                <w:rFonts w:ascii="Times New Roman" w:hAnsi="Times New Roman" w:cs="Times New Roman" w:eastAsia="Times New Roman"/>
                <w:sz w:val="20"/>
              </w:rPr>
              <w:t>0.717</w:t>
            </w:r>
          </w:p>
        </w:tc>
        <w:tc>
          <w:tcPr>
            <w:tcW w:type="dxa" w:w="2041"/>
            <w:vAlign w:val="center"/>
          </w:tcPr>
          <w:p>
            <w:pPr>
              <w:spacing w:before="20" w:after="20" w:line="264" w:lineRule="auto"/>
              <w:jc w:val="center"/>
            </w:pPr>
            <w:r>
              <w:rPr>
                <w:rFonts w:ascii="Times New Roman" w:hAnsi="Times New Roman" w:cs="Times New Roman" w:eastAsia="Times New Roman"/>
                <w:sz w:val="20"/>
              </w:rPr>
              <w:t>5.42</w:t>
            </w:r>
          </w:p>
        </w:tc>
      </w:tr>
      <w:tr>
        <w:trPr>
          <w:cantSplit w:val="true"/>
        </w:trPr>
        <w:tc>
          <w:tcPr>
            <w:tcW w:type="dxa" w:w="1928"/>
            <w:shd w:val="clear" w:color="auto" w:fill="F2F5FA"/>
            <w:vAlign w:val="center"/>
          </w:tcPr>
          <w:p>
            <w:pPr>
              <w:spacing w:before="20" w:after="20" w:line="264" w:lineRule="auto"/>
              <w:jc w:val="left"/>
            </w:pPr>
            <w:r>
              <w:rPr>
                <w:rFonts w:ascii="Times New Roman" w:hAnsi="Times New Roman" w:cs="Times New Roman" w:eastAsia="Times New Roman"/>
                <w:sz w:val="20"/>
              </w:rPr>
              <w:t>Vietnam</w:t>
            </w:r>
          </w:p>
        </w:tc>
        <w:tc>
          <w:tcPr>
            <w:tcW w:type="dxa" w:w="1928"/>
            <w:shd w:val="clear" w:color="auto" w:fill="F2F5FA"/>
            <w:vAlign w:val="center"/>
          </w:tcPr>
          <w:p>
            <w:pPr>
              <w:spacing w:before="20" w:after="20" w:line="264" w:lineRule="auto"/>
              <w:jc w:val="center"/>
            </w:pPr>
            <w:r>
              <w:rPr>
                <w:rFonts w:ascii="Times New Roman" w:hAnsi="Times New Roman" w:cs="Times New Roman" w:eastAsia="Times New Roman"/>
                <w:sz w:val="20"/>
              </w:rPr>
              <w:t>4,200</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74.6</w:t>
            </w:r>
          </w:p>
        </w:tc>
        <w:tc>
          <w:tcPr>
            <w:tcW w:type="dxa" w:w="1474"/>
            <w:shd w:val="clear" w:color="auto" w:fill="F2F5FA"/>
            <w:vAlign w:val="center"/>
          </w:tcPr>
          <w:p>
            <w:pPr>
              <w:spacing w:before="20" w:after="20" w:line="264" w:lineRule="auto"/>
              <w:jc w:val="center"/>
            </w:pPr>
            <w:r>
              <w:rPr>
                <w:rFonts w:ascii="Times New Roman" w:hAnsi="Times New Roman" w:cs="Times New Roman" w:eastAsia="Times New Roman"/>
                <w:sz w:val="20"/>
              </w:rPr>
              <w:t>0.726</w:t>
            </w:r>
          </w:p>
        </w:tc>
        <w:tc>
          <w:tcPr>
            <w:tcW w:type="dxa" w:w="2041"/>
            <w:shd w:val="clear" w:color="auto" w:fill="F2F5FA"/>
            <w:vAlign w:val="center"/>
          </w:tcPr>
          <w:p>
            <w:pPr>
              <w:spacing w:before="20" w:after="20" w:line="264" w:lineRule="auto"/>
              <w:jc w:val="center"/>
            </w:pPr>
            <w:r>
              <w:rPr>
                <w:rFonts w:ascii="Times New Roman" w:hAnsi="Times New Roman" w:cs="Times New Roman" w:eastAsia="Times New Roman"/>
                <w:sz w:val="20"/>
              </w:rPr>
              <w:t>6.04</w:t>
            </w:r>
          </w:p>
        </w:tc>
      </w:tr>
      <w:tr>
        <w:trPr>
          <w:cantSplit w:val="true"/>
        </w:trPr>
        <w:tc>
          <w:tcPr>
            <w:tcW w:type="dxa" w:w="1928"/>
            <w:vAlign w:val="center"/>
          </w:tcPr>
          <w:p>
            <w:pPr>
              <w:spacing w:before="20" w:after="20" w:line="264" w:lineRule="auto"/>
              <w:jc w:val="left"/>
            </w:pPr>
            <w:r>
              <w:rPr>
                <w:rFonts w:ascii="Times New Roman" w:hAnsi="Times New Roman" w:cs="Times New Roman" w:eastAsia="Times New Roman"/>
                <w:sz w:val="20"/>
              </w:rPr>
              <w:t>Sri Lanka</w:t>
            </w:r>
          </w:p>
        </w:tc>
        <w:tc>
          <w:tcPr>
            <w:tcW w:type="dxa" w:w="1928"/>
            <w:vAlign w:val="center"/>
          </w:tcPr>
          <w:p>
            <w:pPr>
              <w:spacing w:before="20" w:after="20" w:line="264" w:lineRule="auto"/>
              <w:jc w:val="center"/>
            </w:pPr>
            <w:r>
              <w:rPr>
                <w:rFonts w:ascii="Times New Roman" w:hAnsi="Times New Roman" w:cs="Times New Roman" w:eastAsia="Times New Roman"/>
                <w:sz w:val="20"/>
              </w:rPr>
              <w:t>3,350</w:t>
            </w:r>
          </w:p>
        </w:tc>
        <w:tc>
          <w:tcPr>
            <w:tcW w:type="dxa" w:w="1701"/>
            <w:vAlign w:val="center"/>
          </w:tcPr>
          <w:p>
            <w:pPr>
              <w:spacing w:before="20" w:after="20" w:line="264" w:lineRule="auto"/>
              <w:jc w:val="center"/>
            </w:pPr>
            <w:r>
              <w:rPr>
                <w:rFonts w:ascii="Times New Roman" w:hAnsi="Times New Roman" w:cs="Times New Roman" w:eastAsia="Times New Roman"/>
                <w:sz w:val="20"/>
              </w:rPr>
              <w:t>76.4</w:t>
            </w:r>
          </w:p>
        </w:tc>
        <w:tc>
          <w:tcPr>
            <w:tcW w:type="dxa" w:w="1474"/>
            <w:vAlign w:val="center"/>
          </w:tcPr>
          <w:p>
            <w:pPr>
              <w:spacing w:before="20" w:after="20" w:line="264" w:lineRule="auto"/>
              <w:jc w:val="center"/>
            </w:pPr>
            <w:r>
              <w:rPr>
                <w:rFonts w:ascii="Times New Roman" w:hAnsi="Times New Roman" w:cs="Times New Roman" w:eastAsia="Times New Roman"/>
                <w:sz w:val="20"/>
              </w:rPr>
              <w:t>0.780</w:t>
            </w:r>
          </w:p>
        </w:tc>
        <w:tc>
          <w:tcPr>
            <w:tcW w:type="dxa" w:w="2041"/>
            <w:vAlign w:val="center"/>
          </w:tcPr>
          <w:p>
            <w:pPr>
              <w:spacing w:before="20" w:after="20" w:line="264" w:lineRule="auto"/>
              <w:jc w:val="center"/>
            </w:pPr>
            <w:r>
              <w:rPr>
                <w:rFonts w:ascii="Times New Roman" w:hAnsi="Times New Roman" w:cs="Times New Roman" w:eastAsia="Times New Roman"/>
                <w:sz w:val="20"/>
              </w:rPr>
              <w:t>3.90</w:t>
            </w:r>
          </w:p>
        </w:tc>
      </w:tr>
      <w:tr>
        <w:trPr>
          <w:cantSplit w:val="true"/>
        </w:trPr>
        <w:tc>
          <w:tcPr>
            <w:tcW w:type="dxa" w:w="1928"/>
            <w:shd w:val="clear" w:color="auto" w:fill="F2F5FA"/>
            <w:vAlign w:val="center"/>
          </w:tcPr>
          <w:p>
            <w:pPr>
              <w:spacing w:before="20" w:after="20" w:line="264" w:lineRule="auto"/>
              <w:jc w:val="left"/>
            </w:pPr>
            <w:r>
              <w:rPr>
                <w:rFonts w:ascii="Times New Roman" w:hAnsi="Times New Roman" w:cs="Times New Roman" w:eastAsia="Times New Roman"/>
                <w:sz w:val="20"/>
              </w:rPr>
              <w:t>Bangladesh</w:t>
            </w:r>
          </w:p>
        </w:tc>
        <w:tc>
          <w:tcPr>
            <w:tcW w:type="dxa" w:w="1928"/>
            <w:shd w:val="clear" w:color="auto" w:fill="F2F5FA"/>
            <w:vAlign w:val="center"/>
          </w:tcPr>
          <w:p>
            <w:pPr>
              <w:spacing w:before="20" w:after="20" w:line="264" w:lineRule="auto"/>
              <w:jc w:val="center"/>
            </w:pPr>
            <w:r>
              <w:rPr>
                <w:rFonts w:ascii="Times New Roman" w:hAnsi="Times New Roman" w:cs="Times New Roman" w:eastAsia="Times New Roman"/>
                <w:sz w:val="20"/>
              </w:rPr>
              <w:t>2,690</w:t>
            </w:r>
          </w:p>
        </w:tc>
        <w:tc>
          <w:tcPr>
            <w:tcW w:type="dxa" w:w="1701"/>
            <w:shd w:val="clear" w:color="auto" w:fill="F2F5FA"/>
            <w:vAlign w:val="center"/>
          </w:tcPr>
          <w:p>
            <w:pPr>
              <w:spacing w:before="20" w:after="20" w:line="264" w:lineRule="auto"/>
              <w:jc w:val="center"/>
            </w:pPr>
            <w:r>
              <w:rPr>
                <w:rFonts w:ascii="Times New Roman" w:hAnsi="Times New Roman" w:cs="Times New Roman" w:eastAsia="Times New Roman"/>
                <w:sz w:val="20"/>
              </w:rPr>
              <w:t>73.4</w:t>
            </w:r>
          </w:p>
        </w:tc>
        <w:tc>
          <w:tcPr>
            <w:tcW w:type="dxa" w:w="1474"/>
            <w:shd w:val="clear" w:color="auto" w:fill="F2F5FA"/>
            <w:vAlign w:val="center"/>
          </w:tcPr>
          <w:p>
            <w:pPr>
              <w:spacing w:before="20" w:after="20" w:line="264" w:lineRule="auto"/>
              <w:jc w:val="center"/>
            </w:pPr>
            <w:r>
              <w:rPr>
                <w:rFonts w:ascii="Times New Roman" w:hAnsi="Times New Roman" w:cs="Times New Roman" w:eastAsia="Times New Roman"/>
                <w:sz w:val="20"/>
              </w:rPr>
              <w:t>0.670</w:t>
            </w:r>
          </w:p>
        </w:tc>
        <w:tc>
          <w:tcPr>
            <w:tcW w:type="dxa" w:w="2041"/>
            <w:shd w:val="clear" w:color="auto" w:fill="F2F5FA"/>
            <w:vAlign w:val="center"/>
          </w:tcPr>
          <w:p>
            <w:pPr>
              <w:spacing w:before="20" w:after="20" w:line="264" w:lineRule="auto"/>
              <w:jc w:val="center"/>
            </w:pPr>
            <w:r>
              <w:rPr>
                <w:rFonts w:ascii="Times New Roman" w:hAnsi="Times New Roman" w:cs="Times New Roman" w:eastAsia="Times New Roman"/>
                <w:sz w:val="20"/>
              </w:rPr>
              <w:t>3.89</w:t>
            </w:r>
          </w:p>
        </w:tc>
      </w:tr>
      <w:tr>
        <w:trPr>
          <w:cantSplit w:val="true"/>
        </w:trPr>
        <w:tc>
          <w:tcPr>
            <w:tcW w:type="dxa" w:w="1928"/>
            <w:vAlign w:val="center"/>
          </w:tcPr>
          <w:p>
            <w:pPr>
              <w:spacing w:before="20" w:after="20" w:line="264" w:lineRule="auto"/>
              <w:jc w:val="left"/>
            </w:pPr>
            <w:r>
              <w:rPr>
                <w:rFonts w:ascii="Times New Roman" w:hAnsi="Times New Roman" w:cs="Times New Roman" w:eastAsia="Times New Roman"/>
                <w:sz w:val="20"/>
              </w:rPr>
              <w:t>Nigeria</w:t>
            </w:r>
          </w:p>
        </w:tc>
        <w:tc>
          <w:tcPr>
            <w:tcW w:type="dxa" w:w="1928"/>
            <w:vAlign w:val="center"/>
          </w:tcPr>
          <w:p>
            <w:pPr>
              <w:spacing w:before="20" w:after="20" w:line="264" w:lineRule="auto"/>
              <w:jc w:val="center"/>
            </w:pPr>
            <w:r>
              <w:rPr>
                <w:rFonts w:ascii="Times New Roman" w:hAnsi="Times New Roman" w:cs="Times New Roman" w:eastAsia="Times New Roman"/>
                <w:sz w:val="20"/>
              </w:rPr>
              <w:t>2,160</w:t>
            </w:r>
          </w:p>
        </w:tc>
        <w:tc>
          <w:tcPr>
            <w:tcW w:type="dxa" w:w="1701"/>
            <w:vAlign w:val="center"/>
          </w:tcPr>
          <w:p>
            <w:pPr>
              <w:spacing w:before="20" w:after="20" w:line="264" w:lineRule="auto"/>
              <w:jc w:val="center"/>
            </w:pPr>
            <w:r>
              <w:rPr>
                <w:rFonts w:ascii="Times New Roman" w:hAnsi="Times New Roman" w:cs="Times New Roman" w:eastAsia="Times New Roman"/>
                <w:sz w:val="20"/>
              </w:rPr>
              <w:t>53.6</w:t>
            </w:r>
          </w:p>
        </w:tc>
        <w:tc>
          <w:tcPr>
            <w:tcW w:type="dxa" w:w="1474"/>
            <w:vAlign w:val="center"/>
          </w:tcPr>
          <w:p>
            <w:pPr>
              <w:spacing w:before="20" w:after="20" w:line="264" w:lineRule="auto"/>
              <w:jc w:val="center"/>
            </w:pPr>
            <w:r>
              <w:rPr>
                <w:rFonts w:ascii="Times New Roman" w:hAnsi="Times New Roman" w:cs="Times New Roman" w:eastAsia="Times New Roman"/>
                <w:sz w:val="20"/>
              </w:rPr>
              <w:t>0.548</w:t>
            </w:r>
          </w:p>
        </w:tc>
        <w:tc>
          <w:tcPr>
            <w:tcW w:type="dxa" w:w="2041"/>
            <w:vAlign w:val="center"/>
          </w:tcPr>
          <w:p>
            <w:pPr>
              <w:spacing w:before="20" w:after="20" w:line="264" w:lineRule="auto"/>
              <w:jc w:val="center"/>
            </w:pPr>
            <w:r>
              <w:rPr>
                <w:rFonts w:ascii="Times New Roman" w:hAnsi="Times New Roman" w:cs="Times New Roman" w:eastAsia="Times New Roman"/>
                <w:sz w:val="20"/>
              </w:rPr>
              <w:t>4.88</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World Bank (2024), UNDP (2024), Helliwell et al. (2024); values rounded, 2022 or latest year.</w:t>
      </w:r>
    </w:p>
    <w:p>
      <w:pPr>
        <w:spacing w:before="0" w:after="120" w:line="276" w:lineRule="auto"/>
        <w:jc w:val="both"/>
      </w:pPr>
      <w:r>
        <w:rPr>
          <w:rFonts w:ascii="Times New Roman" w:hAnsi="Times New Roman" w:cs="Times New Roman" w:eastAsia="Times New Roman"/>
        </w:rPr>
        <w:t xml:space="preserve">One practical way to look beyond GDP is to use a </w:t>
      </w:r>
      <w:r>
        <w:rPr>
          <w:rFonts w:ascii="Times New Roman" w:hAnsi="Times New Roman" w:cs="Times New Roman" w:eastAsia="Times New Roman"/>
          <w:b/>
        </w:rPr>
        <w:t>dashboard</w:t>
      </w:r>
      <w:r>
        <w:rPr>
          <w:rFonts w:ascii="Times New Roman" w:hAnsi="Times New Roman" w:cs="Times New Roman" w:eastAsia="Times New Roman"/>
        </w:rPr>
        <w:t>, which shows several indicators side by side instead of combining them into one number. The next demonstration shows how a dashboard can change a judgement based on GDP alone.</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120" w:type="dxa"/>
          <w:left w:w="200" w:type="dxa"/>
          <w:bottom w:w="120" w:type="dxa"/>
          <w:right w:w="200" w:type="dxa"/>
        </w:tblCellMar>
      </w:tblPr>
      <w:tblGrid>
        <w:gridCol w:w="9072"/>
      </w:tblGrid>
      <w:tr>
        <w:trPr>
          <w:cantSplit w:val="true"/>
        </w:trPr>
        <w:tc>
          <w:tcPr>
            <w:tcW w:type="dxa" w:w="9071"/>
            <w:shd w:val="clear" w:color="auto" w:fill="E8EDF6"/>
            <w:tcBorders>
              <w:left w:val="single" w:sz="24" w:space="0" w:color="1F3864"/>
            </w:tcBorders>
          </w:tcPr>
          <w:p>
            <w:pPr>
              <w:keepNext/>
              <w:spacing w:before="0" w:after="80" w:line="276" w:lineRule="auto"/>
            </w:pPr>
            <w:r>
              <w:rPr>
                <w:rFonts w:ascii="Times New Roman" w:hAnsi="Times New Roman" w:cs="Times New Roman" w:eastAsia="Times New Roman"/>
                <w:b/>
                <w:color w:val="1F3864"/>
                <w:sz w:val="23"/>
              </w:rPr>
              <w:t>Demonstration 5: Reading a well-being dashboard</w:t>
            </w:r>
          </w:p>
          <w:p>
            <w:pPr>
              <w:spacing w:before="0" w:after="60" w:line="288" w:lineRule="auto"/>
              <w:jc w:val="both"/>
            </w:pPr>
            <w:r>
              <w:rPr>
                <w:rFonts w:ascii="Times New Roman" w:hAnsi="Times New Roman" w:cs="Times New Roman" w:eastAsia="Times New Roman"/>
                <w:sz w:val="22"/>
              </w:rPr>
              <w:t>Country X has followed a high-growth strategy and scores 80 out of 100 on GDP per capita. Country Y has grown more slowly (score 60) but invested in health, education and environmental protection. Table 12 and Figure 17 show both countries on seven dimensions.</w:t>
            </w:r>
          </w:p>
          <w:p>
            <w:pPr>
              <w:spacing w:before="20" w:after="20" w:line="276" w:lineRule="auto"/>
              <w:jc w:val="center"/>
            </w:pPr>
            <w:r>
              <w:rPr>
                <w:rFonts w:ascii="Times New Roman" w:hAnsi="Times New Roman" w:cs="Times New Roman" w:eastAsia="Times New Roman"/>
                <w:i/>
                <w:color w:val="1A1A1A"/>
                <w:sz w:val="22"/>
              </w:rPr>
              <w:t>Average score: Country X = 375 / 7 = 53.6;  Country Y = 502 / 7 = 71.7</w:t>
            </w:r>
          </w:p>
          <w:p>
            <w:pPr>
              <w:spacing w:before="0" w:after="60" w:line="288" w:lineRule="auto"/>
              <w:jc w:val="both"/>
            </w:pPr>
            <w:r>
              <w:rPr>
                <w:rFonts w:ascii="Times New Roman" w:hAnsi="Times New Roman" w:cs="Times New Roman" w:eastAsia="Times New Roman"/>
                <w:b/>
                <w:sz w:val="22"/>
              </w:rPr>
              <w:t>Lesson:</w:t>
            </w:r>
            <w:r>
              <w:rPr>
                <w:rFonts w:ascii="Times New Roman" w:hAnsi="Times New Roman" w:cs="Times New Roman" w:eastAsia="Times New Roman"/>
                <w:sz w:val="22"/>
              </w:rPr>
              <w:t xml:space="preserve"> judged by GDP, Country X is ahead. Judged by the full dashboard, Country Y offers its people a better life on six of seven dimensions. A dashboard makes such trade-offs visible to policymakers and voters.</w:t>
            </w:r>
          </w:p>
        </w:tc>
      </w:tr>
    </w:tbl>
    <w:p>
      <w:pPr>
        <w:spacing w:before="0" w:after="120" w:line="240" w:lineRule="auto"/>
      </w:pP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12</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Dashboard scores for two hypothetical countries (0-100)</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4536"/>
        <w:gridCol w:w="2268"/>
        <w:gridCol w:w="2268"/>
      </w:tblGrid>
      <w:tr>
        <w:trPr>
          <w:tblHeader w:val="true"/>
        </w:trPr>
        <w:tc>
          <w:tcPr>
            <w:tcW w:type="dxa" w:w="4535"/>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Dimension</w:t>
            </w:r>
          </w:p>
        </w:tc>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Country X</w:t>
            </w:r>
          </w:p>
        </w:tc>
        <w:tc>
          <w:tcPr>
            <w:tcW w:type="dxa" w:w="2268"/>
            <w:shd w:val="clear" w:color="auto" w:fill="1F3864"/>
            <w:vAlign w:val="center"/>
          </w:tcPr>
          <w:p>
            <w:pPr>
              <w:spacing w:before="20" w:after="20" w:line="264" w:lineRule="auto"/>
              <w:jc w:val="center"/>
            </w:pPr>
            <w:r>
              <w:rPr>
                <w:rFonts w:ascii="Times New Roman" w:hAnsi="Times New Roman" w:cs="Times New Roman" w:eastAsia="Times New Roman"/>
                <w:b/>
                <w:color w:val="FFFFFF"/>
                <w:sz w:val="20"/>
              </w:rPr>
              <w:t>Country Y</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GDP per capita</w:t>
            </w:r>
          </w:p>
        </w:tc>
        <w:tc>
          <w:tcPr>
            <w:tcW w:type="dxa" w:w="2268"/>
            <w:vAlign w:val="center"/>
          </w:tcPr>
          <w:p>
            <w:pPr>
              <w:spacing w:before="20" w:after="20" w:line="264" w:lineRule="auto"/>
              <w:jc w:val="center"/>
            </w:pPr>
            <w:r>
              <w:rPr>
                <w:rFonts w:ascii="Times New Roman" w:hAnsi="Times New Roman" w:cs="Times New Roman" w:eastAsia="Times New Roman"/>
                <w:sz w:val="20"/>
              </w:rPr>
              <w:t>80</w:t>
            </w:r>
          </w:p>
        </w:tc>
        <w:tc>
          <w:tcPr>
            <w:tcW w:type="dxa" w:w="2268"/>
            <w:vAlign w:val="center"/>
          </w:tcPr>
          <w:p>
            <w:pPr>
              <w:spacing w:before="20" w:after="20" w:line="264" w:lineRule="auto"/>
              <w:jc w:val="center"/>
            </w:pPr>
            <w:r>
              <w:rPr>
                <w:rFonts w:ascii="Times New Roman" w:hAnsi="Times New Roman" w:cs="Times New Roman" w:eastAsia="Times New Roman"/>
                <w:sz w:val="20"/>
              </w:rPr>
              <w:t>60</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Income equality</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40</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75</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Health</w:t>
            </w:r>
          </w:p>
        </w:tc>
        <w:tc>
          <w:tcPr>
            <w:tcW w:type="dxa" w:w="2268"/>
            <w:vAlign w:val="center"/>
          </w:tcPr>
          <w:p>
            <w:pPr>
              <w:spacing w:before="20" w:after="20" w:line="264" w:lineRule="auto"/>
              <w:jc w:val="center"/>
            </w:pPr>
            <w:r>
              <w:rPr>
                <w:rFonts w:ascii="Times New Roman" w:hAnsi="Times New Roman" w:cs="Times New Roman" w:eastAsia="Times New Roman"/>
                <w:sz w:val="20"/>
              </w:rPr>
              <w:t>60</w:t>
            </w:r>
          </w:p>
        </w:tc>
        <w:tc>
          <w:tcPr>
            <w:tcW w:type="dxa" w:w="2268"/>
            <w:vAlign w:val="center"/>
          </w:tcPr>
          <w:p>
            <w:pPr>
              <w:spacing w:before="20" w:after="20" w:line="264" w:lineRule="auto"/>
              <w:jc w:val="center"/>
            </w:pPr>
            <w:r>
              <w:rPr>
                <w:rFonts w:ascii="Times New Roman" w:hAnsi="Times New Roman" w:cs="Times New Roman" w:eastAsia="Times New Roman"/>
                <w:sz w:val="20"/>
              </w:rPr>
              <w:t>80</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Education</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65</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75</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Environment</w:t>
            </w:r>
          </w:p>
        </w:tc>
        <w:tc>
          <w:tcPr>
            <w:tcW w:type="dxa" w:w="2268"/>
            <w:vAlign w:val="center"/>
          </w:tcPr>
          <w:p>
            <w:pPr>
              <w:spacing w:before="20" w:after="20" w:line="264" w:lineRule="auto"/>
              <w:jc w:val="center"/>
            </w:pPr>
            <w:r>
              <w:rPr>
                <w:rFonts w:ascii="Times New Roman" w:hAnsi="Times New Roman" w:cs="Times New Roman" w:eastAsia="Times New Roman"/>
                <w:sz w:val="20"/>
              </w:rPr>
              <w:t>35</w:t>
            </w:r>
          </w:p>
        </w:tc>
        <w:tc>
          <w:tcPr>
            <w:tcW w:type="dxa" w:w="2268"/>
            <w:vAlign w:val="center"/>
          </w:tcPr>
          <w:p>
            <w:pPr>
              <w:spacing w:before="20" w:after="20" w:line="264" w:lineRule="auto"/>
              <w:jc w:val="center"/>
            </w:pPr>
            <w:r>
              <w:rPr>
                <w:rFonts w:ascii="Times New Roman" w:hAnsi="Times New Roman" w:cs="Times New Roman" w:eastAsia="Times New Roman"/>
                <w:sz w:val="20"/>
              </w:rPr>
              <w:t>70</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sz w:val="20"/>
              </w:rPr>
              <w:t>Life satisfaction</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50</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sz w:val="20"/>
              </w:rPr>
              <w:t>72</w:t>
            </w:r>
          </w:p>
        </w:tc>
      </w:tr>
      <w:tr>
        <w:trPr>
          <w:cantSplit w:val="true"/>
        </w:trPr>
        <w:tc>
          <w:tcPr>
            <w:tcW w:type="dxa" w:w="4535"/>
            <w:vAlign w:val="center"/>
          </w:tcPr>
          <w:p>
            <w:pPr>
              <w:spacing w:before="20" w:after="20" w:line="264" w:lineRule="auto"/>
              <w:jc w:val="left"/>
            </w:pPr>
            <w:r>
              <w:rPr>
                <w:rFonts w:ascii="Times New Roman" w:hAnsi="Times New Roman" w:cs="Times New Roman" w:eastAsia="Times New Roman"/>
                <w:sz w:val="20"/>
              </w:rPr>
              <w:t>Leisure and work balance</w:t>
            </w:r>
          </w:p>
        </w:tc>
        <w:tc>
          <w:tcPr>
            <w:tcW w:type="dxa" w:w="2268"/>
            <w:vAlign w:val="center"/>
          </w:tcPr>
          <w:p>
            <w:pPr>
              <w:spacing w:before="20" w:after="20" w:line="264" w:lineRule="auto"/>
              <w:jc w:val="center"/>
            </w:pPr>
            <w:r>
              <w:rPr>
                <w:rFonts w:ascii="Times New Roman" w:hAnsi="Times New Roman" w:cs="Times New Roman" w:eastAsia="Times New Roman"/>
                <w:sz w:val="20"/>
              </w:rPr>
              <w:t>45</w:t>
            </w:r>
          </w:p>
        </w:tc>
        <w:tc>
          <w:tcPr>
            <w:tcW w:type="dxa" w:w="2268"/>
            <w:vAlign w:val="center"/>
          </w:tcPr>
          <w:p>
            <w:pPr>
              <w:spacing w:before="20" w:after="20" w:line="264" w:lineRule="auto"/>
              <w:jc w:val="center"/>
            </w:pPr>
            <w:r>
              <w:rPr>
                <w:rFonts w:ascii="Times New Roman" w:hAnsi="Times New Roman" w:cs="Times New Roman" w:eastAsia="Times New Roman"/>
                <w:sz w:val="20"/>
              </w:rPr>
              <w:t>70</w:t>
            </w:r>
          </w:p>
        </w:tc>
      </w:tr>
      <w:tr>
        <w:trPr>
          <w:cantSplit w:val="true"/>
        </w:trPr>
        <w:tc>
          <w:tcPr>
            <w:tcW w:type="dxa" w:w="4535"/>
            <w:shd w:val="clear" w:color="auto" w:fill="F2F5FA"/>
            <w:vAlign w:val="center"/>
          </w:tcPr>
          <w:p>
            <w:pPr>
              <w:spacing w:before="20" w:after="20" w:line="264" w:lineRule="auto"/>
              <w:jc w:val="left"/>
            </w:pPr>
            <w:r>
              <w:rPr>
                <w:rFonts w:ascii="Times New Roman" w:hAnsi="Times New Roman" w:cs="Times New Roman" w:eastAsia="Times New Roman"/>
                <w:b/>
                <w:sz w:val="20"/>
              </w:rPr>
              <w:t>Average of all seven dimensions</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b/>
                <w:sz w:val="20"/>
              </w:rPr>
              <w:t>53.6</w:t>
            </w:r>
          </w:p>
        </w:tc>
        <w:tc>
          <w:tcPr>
            <w:tcW w:type="dxa" w:w="2268"/>
            <w:shd w:val="clear" w:color="auto" w:fill="F2F5FA"/>
            <w:vAlign w:val="center"/>
          </w:tcPr>
          <w:p>
            <w:pPr>
              <w:spacing w:before="20" w:after="20" w:line="264" w:lineRule="auto"/>
              <w:jc w:val="center"/>
            </w:pPr>
            <w:r>
              <w:rPr>
                <w:rFonts w:ascii="Times New Roman" w:hAnsi="Times New Roman" w:cs="Times New Roman" w:eastAsia="Times New Roman"/>
                <w:b/>
                <w:sz w:val="20"/>
              </w:rPr>
              <w:t>71.7</w:t>
            </w:r>
          </w:p>
        </w:tc>
      </w:tr>
    </w:tbl>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Author's hypothetical example.</w:t>
      </w:r>
    </w:p>
    <w:p>
      <w:pPr>
        <w:keepNext/>
        <w:spacing w:before="120" w:after="0" w:line="240" w:lineRule="auto"/>
        <w:jc w:val="center"/>
      </w:pPr>
      <w:r>
        <w:drawing>
          <wp:inline xmlns:a="http://schemas.openxmlformats.org/drawingml/2006/main" xmlns:pic="http://schemas.openxmlformats.org/drawingml/2006/picture">
            <wp:extent cx="3568319" cy="3590055"/>
            <wp:docPr id="19" name="Picture 19"/>
            <wp:cNvGraphicFramePr>
              <a:graphicFrameLocks noChangeAspect="1"/>
            </wp:cNvGraphicFramePr>
            <a:graphic>
              <a:graphicData uri="http://schemas.openxmlformats.org/drawingml/2006/picture">
                <pic:pic>
                  <pic:nvPicPr>
                    <pic:cNvPr id="0" name="f15_radar.png"/>
                    <pic:cNvPicPr/>
                  </pic:nvPicPr>
                  <pic:blipFill>
                    <a:blip r:embed="rId31"/>
                    <a:stretch>
                      <a:fillRect/>
                    </a:stretch>
                  </pic:blipFill>
                  <pic:spPr>
                    <a:xfrm>
                      <a:off x="0" y="0"/>
                      <a:ext cx="3568319" cy="3590055"/>
                    </a:xfrm>
                    <a:prstGeom prst="rect"/>
                  </pic:spPr>
                </pic:pic>
              </a:graphicData>
            </a:graphic>
          </wp:inline>
        </w:drawing>
      </w:r>
    </w:p>
    <w:p>
      <w:pPr>
        <w:pStyle w:val="Caption"/>
        <w:spacing w:before="80" w:after="40" w:line="276" w:lineRule="auto"/>
        <w:jc w:val="center"/>
      </w:pPr>
      <w:r>
        <w:rPr>
          <w:rFonts w:ascii="Times New Roman" w:hAnsi="Times New Roman" w:cs="Times New Roman" w:eastAsia="Times New Roman"/>
          <w:b/>
          <w:color w:val="1F3864"/>
          <w:sz w:val="21"/>
        </w:rPr>
        <w:t xml:space="preserve">Figure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Figure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17</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Well-being dashboard for two hypothetical countries</w:t>
      </w:r>
    </w:p>
    <w:p>
      <w:pPr>
        <w:spacing w:before="0" w:after="240" w:line="264" w:lineRule="auto"/>
        <w:jc w:val="center"/>
      </w:pPr>
      <w:r>
        <w:rPr>
          <w:rFonts w:ascii="Times New Roman" w:hAnsi="Times New Roman" w:cs="Times New Roman" w:eastAsia="Times New Roman"/>
          <w:b/>
          <w:i/>
          <w:color w:val="595959"/>
          <w:sz w:val="19"/>
        </w:rPr>
        <w:t xml:space="preserve">Source: </w:t>
      </w:r>
      <w:r>
        <w:rPr>
          <w:rFonts w:ascii="Times New Roman" w:hAnsi="Times New Roman" w:cs="Times New Roman" w:eastAsia="Times New Roman"/>
          <w:i/>
          <w:color w:val="595959"/>
          <w:sz w:val="19"/>
        </w:rPr>
        <w:t>Author's hypothetical example (Demonstration 5).</w:t>
      </w:r>
    </w:p>
    <w:p>
      <w:pPr>
        <w:pStyle w:val="Heading1"/>
        <w:pBdr>
          <w:bottom w:val="single" w:sz="8" w:space="4" w:color="1F3864"/>
        </w:pBdr>
      </w:pPr>
      <w:r>
        <w:rPr>
          <w:rFonts w:ascii="Times New Roman" w:hAnsi="Times New Roman" w:cs="Times New Roman" w:eastAsia="Times New Roman"/>
          <w:b/>
          <w:i w:val="0"/>
          <w:color w:val="1F3864"/>
        </w:rPr>
        <w:t>9. Findings and Discussion</w:t>
      </w:r>
    </w:p>
    <w:p>
      <w:pPr>
        <w:pStyle w:val="Heading2"/>
      </w:pPr>
      <w:r>
        <w:rPr>
          <w:rFonts w:ascii="Times New Roman" w:hAnsi="Times New Roman" w:cs="Times New Roman" w:eastAsia="Times New Roman"/>
          <w:b/>
          <w:i w:val="0"/>
          <w:color w:val="1F3864"/>
        </w:rPr>
        <w:t>9.1 Key Findings</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1.</w:t>
        <w:tab/>
      </w:r>
      <w:r>
        <w:rPr>
          <w:rFonts w:ascii="Times New Roman" w:hAnsi="Times New Roman" w:cs="Times New Roman" w:eastAsia="Times New Roman"/>
          <w:b/>
        </w:rPr>
        <w:t>GDP growth matters most where incomes are low.</w:t>
      </w:r>
      <w:r>
        <w:rPr>
          <w:rFonts w:ascii="Times New Roman" w:hAnsi="Times New Roman" w:cs="Times New Roman" w:eastAsia="Times New Roman"/>
        </w:rPr>
        <w:t xml:space="preserve"> The Preston curve and Bangladesh's poverty record show that growth is strongly linked to better health and lower poverty in poor countries.</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2.</w:t>
        <w:tab/>
      </w:r>
      <w:r>
        <w:rPr>
          <w:rFonts w:ascii="Times New Roman" w:hAnsi="Times New Roman" w:cs="Times New Roman" w:eastAsia="Times New Roman"/>
          <w:b/>
        </w:rPr>
        <w:t>The link weakens as countries get richer.</w:t>
      </w:r>
      <w:r>
        <w:rPr>
          <w:rFonts w:ascii="Times New Roman" w:hAnsi="Times New Roman" w:cs="Times New Roman" w:eastAsia="Times New Roman"/>
        </w:rPr>
        <w:t xml:space="preserve"> Above a certain income level, extra GDP adds little to life expectancy or happiness (Figures 3, 12 and 13).</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3.</w:t>
        <w:tab/>
      </w:r>
      <w:r>
        <w:rPr>
          <w:rFonts w:ascii="Times New Roman" w:hAnsi="Times New Roman" w:cs="Times New Roman" w:eastAsia="Times New Roman"/>
          <w:b/>
        </w:rPr>
        <w:t>GDP hides distribution.</w:t>
      </w:r>
      <w:r>
        <w:rPr>
          <w:rFonts w:ascii="Times New Roman" w:hAnsi="Times New Roman" w:cs="Times New Roman" w:eastAsia="Times New Roman"/>
        </w:rPr>
        <w:t xml:space="preserve"> Two countries with the same GDP can have very different living standards for the poor (Demonstration 2). Inequality in Bangladesh has risen even during rapid growth.</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4.</w:t>
        <w:tab/>
      </w:r>
      <w:r>
        <w:rPr>
          <w:rFonts w:ascii="Times New Roman" w:hAnsi="Times New Roman" w:cs="Times New Roman" w:eastAsia="Times New Roman"/>
          <w:b/>
        </w:rPr>
        <w:t>GDP counts some harms as gains.</w:t>
      </w:r>
      <w:r>
        <w:rPr>
          <w:rFonts w:ascii="Times New Roman" w:hAnsi="Times New Roman" w:cs="Times New Roman" w:eastAsia="Times New Roman"/>
        </w:rPr>
        <w:t xml:space="preserve"> Disasters, pollution-related illness and defensive spending can raise GDP while lowering well-being (Demonstration 3).</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5.</w:t>
        <w:tab/>
      </w:r>
      <w:r>
        <w:rPr>
          <w:rFonts w:ascii="Times New Roman" w:hAnsi="Times New Roman" w:cs="Times New Roman" w:eastAsia="Times New Roman"/>
          <w:b/>
        </w:rPr>
        <w:t>GDP ignores sustainability.</w:t>
      </w:r>
      <w:r>
        <w:rPr>
          <w:rFonts w:ascii="Times New Roman" w:hAnsi="Times New Roman" w:cs="Times New Roman" w:eastAsia="Times New Roman"/>
        </w:rPr>
        <w:t xml:space="preserve"> It counts the depletion of natural resources as income and does not subtract environmental damage (Figure 9).</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6.</w:t>
        <w:tab/>
      </w:r>
      <w:r>
        <w:rPr>
          <w:rFonts w:ascii="Times New Roman" w:hAnsi="Times New Roman" w:cs="Times New Roman" w:eastAsia="Times New Roman"/>
          <w:b/>
        </w:rPr>
        <w:t>GDP excludes unpaid and under-records informal work,</w:t>
      </w:r>
      <w:r>
        <w:rPr>
          <w:rFonts w:ascii="Times New Roman" w:hAnsi="Times New Roman" w:cs="Times New Roman" w:eastAsia="Times New Roman"/>
        </w:rPr>
        <w:t xml:space="preserve"> which is especially large in Bangladesh and falls mainly on women.</w:t>
      </w:r>
    </w:p>
    <w:p>
      <w:pPr>
        <w:tabs>
          <w:tab w:pos="510" w:val="left"/>
        </w:tabs>
        <w:spacing w:before="0" w:after="160" w:line="276" w:lineRule="auto"/>
        <w:ind w:left="510" w:hanging="340"/>
        <w:jc w:val="both"/>
      </w:pPr>
      <w:r>
        <w:rPr>
          <w:rFonts w:ascii="Times New Roman" w:hAnsi="Times New Roman" w:cs="Times New Roman" w:eastAsia="Times New Roman"/>
          <w:b/>
          <w:color w:val="1F3864"/>
          <w:sz w:val="24"/>
        </w:rPr>
        <w:t>7.</w:t>
        <w:tab/>
      </w:r>
      <w:r>
        <w:rPr>
          <w:rFonts w:ascii="Times New Roman" w:hAnsi="Times New Roman" w:cs="Times New Roman" w:eastAsia="Times New Roman"/>
          <w:b/>
        </w:rPr>
        <w:t>Alternative measures change the picture.</w:t>
      </w:r>
      <w:r>
        <w:rPr>
          <w:rFonts w:ascii="Times New Roman" w:hAnsi="Times New Roman" w:cs="Times New Roman" w:eastAsia="Times New Roman"/>
        </w:rPr>
        <w:t xml:space="preserve"> The HDI, GPI and life-evaluation data rank countries differently from GDP, and the GPI suggests that well-being stopped rising decades before GDP did.</w:t>
      </w:r>
    </w:p>
    <w:p>
      <w:pPr>
        <w:pStyle w:val="Heading2"/>
      </w:pPr>
      <w:r>
        <w:rPr>
          <w:rFonts w:ascii="Times New Roman" w:hAnsi="Times New Roman" w:cs="Times New Roman" w:eastAsia="Times New Roman"/>
          <w:b/>
          <w:i w:val="0"/>
          <w:color w:val="1F3864"/>
        </w:rPr>
        <w:t>9.2 Discussion</w:t>
      </w:r>
    </w:p>
    <w:p>
      <w:pPr>
        <w:spacing w:before="0" w:after="120" w:line="276" w:lineRule="auto"/>
        <w:jc w:val="both"/>
      </w:pPr>
      <w:r>
        <w:rPr>
          <w:rFonts w:ascii="Times New Roman" w:hAnsi="Times New Roman" w:cs="Times New Roman" w:eastAsia="Times New Roman"/>
        </w:rPr>
        <w:t xml:space="preserve">The findings show that the answer to the research question depends on what we expect from GDP. As a measure of </w:t>
      </w:r>
      <w:r>
        <w:rPr>
          <w:rFonts w:ascii="Times New Roman" w:hAnsi="Times New Roman" w:cs="Times New Roman" w:eastAsia="Times New Roman"/>
          <w:b/>
        </w:rPr>
        <w:t>market production</w:t>
      </w:r>
      <w:r>
        <w:rPr>
          <w:rFonts w:ascii="Times New Roman" w:hAnsi="Times New Roman" w:cs="Times New Roman" w:eastAsia="Times New Roman"/>
        </w:rPr>
        <w:t xml:space="preserve">, GDP does exactly what it was designed to do, and it does so in a consistent and comparable way. Problems arise when GDP growth is used as a measure of </w:t>
      </w:r>
      <w:r>
        <w:rPr>
          <w:rFonts w:ascii="Times New Roman" w:hAnsi="Times New Roman" w:cs="Times New Roman" w:eastAsia="Times New Roman"/>
          <w:b/>
        </w:rPr>
        <w:t>well-being</w:t>
      </w:r>
      <w:r>
        <w:rPr>
          <w:rFonts w:ascii="Times New Roman" w:hAnsi="Times New Roman" w:cs="Times New Roman" w:eastAsia="Times New Roman"/>
        </w:rPr>
        <w:t xml:space="preserve"> and becomes the main goal of policy. In that role, it gives an incomplete and sometimes misleading signal.</w:t>
      </w:r>
    </w:p>
    <w:p>
      <w:pPr>
        <w:spacing w:before="0" w:after="120" w:line="276" w:lineRule="auto"/>
        <w:jc w:val="both"/>
      </w:pPr>
      <w:r>
        <w:rPr>
          <w:rFonts w:ascii="Times New Roman" w:hAnsi="Times New Roman" w:cs="Times New Roman" w:eastAsia="Times New Roman"/>
        </w:rPr>
        <w:t>It is also important not to swing to the opposite extreme. For a country like Bangladesh, where millions of people still live close to the poverty line, faster growth remains essential. The more useful question is not “growth or well-being?” but “what kind of growth?” Growth that creates decent jobs, is shared widely, invests in people and protects the environment will raise well-being. Growth that is concentrated, polluting or based on running down natural capital may raise GDP without improving lives, or may borrow well-being from the future.</w:t>
      </w:r>
    </w:p>
    <w:p>
      <w:pPr>
        <w:pStyle w:val="Heading1"/>
        <w:pBdr>
          <w:bottom w:val="single" w:sz="8" w:space="4" w:color="1F3864"/>
        </w:pBdr>
      </w:pPr>
      <w:r>
        <w:rPr>
          <w:rFonts w:ascii="Times New Roman" w:hAnsi="Times New Roman" w:cs="Times New Roman" w:eastAsia="Times New Roman"/>
          <w:b/>
          <w:i w:val="0"/>
          <w:color w:val="1F3864"/>
        </w:rPr>
        <w:t>10. Conclusion and Recommendations</w:t>
      </w:r>
    </w:p>
    <w:p>
      <w:pPr>
        <w:pStyle w:val="Heading2"/>
      </w:pPr>
      <w:r>
        <w:rPr>
          <w:rFonts w:ascii="Times New Roman" w:hAnsi="Times New Roman" w:cs="Times New Roman" w:eastAsia="Times New Roman"/>
          <w:b/>
          <w:i w:val="0"/>
          <w:color w:val="1F3864"/>
        </w:rPr>
        <w:t>10.1 Conclusion</w:t>
      </w:r>
    </w:p>
    <w:p>
      <w:pPr>
        <w:spacing w:before="0" w:after="120" w:line="276" w:lineRule="auto"/>
        <w:jc w:val="both"/>
      </w:pPr>
      <w:r>
        <w:rPr>
          <w:rFonts w:ascii="Times New Roman" w:hAnsi="Times New Roman" w:cs="Times New Roman" w:eastAsia="Times New Roman"/>
        </w:rPr>
        <w:t xml:space="preserve">This assignment asked whether GDP growth is an adequate measure of economic well-being. The evidence reviewed shows that GDP growth is </w:t>
      </w:r>
      <w:r>
        <w:rPr>
          <w:rFonts w:ascii="Times New Roman" w:hAnsi="Times New Roman" w:cs="Times New Roman" w:eastAsia="Times New Roman"/>
          <w:b/>
        </w:rPr>
        <w:t>a necessary but not a sufficient</w:t>
      </w:r>
      <w:r>
        <w:rPr>
          <w:rFonts w:ascii="Times New Roman" w:hAnsi="Times New Roman" w:cs="Times New Roman" w:eastAsia="Times New Roman"/>
        </w:rPr>
        <w:t xml:space="preserve"> indicator. It captures the expansion of market production, which in poorer countries is closely tied to falling poverty and better health. But it does not show who benefits from growth, it leaves out unpaid and much informal work, it ignores environmental damage and the loss of leisure, it can rise because of disasters and defensive spending, and it is only weakly related to how satisfied people are with their lives in richer countries.</w:t>
      </w:r>
    </w:p>
    <w:p>
      <w:pPr>
        <w:spacing w:before="0" w:after="120" w:line="276" w:lineRule="auto"/>
        <w:jc w:val="both"/>
      </w:pPr>
      <w:r>
        <w:rPr>
          <w:rFonts w:ascii="Times New Roman" w:hAnsi="Times New Roman" w:cs="Times New Roman" w:eastAsia="Times New Roman"/>
        </w:rPr>
        <w:t xml:space="preserve">Therefore, GDP growth is </w:t>
      </w:r>
      <w:r>
        <w:rPr>
          <w:rFonts w:ascii="Times New Roman" w:hAnsi="Times New Roman" w:cs="Times New Roman" w:eastAsia="Times New Roman"/>
          <w:b/>
        </w:rPr>
        <w:t>not an adequate measure of economic well-being on its own</w:t>
      </w:r>
      <w:r>
        <w:rPr>
          <w:rFonts w:ascii="Times New Roman" w:hAnsi="Times New Roman" w:cs="Times New Roman" w:eastAsia="Times New Roman"/>
        </w:rPr>
        <w:t>. It should be kept as one important indicator in a wider set that includes measures of distribution, human development, sustainability and subjective well-being. As Kuznets warned almost a century ago, the welfare of a nation cannot be read from national income alone.</w:t>
      </w:r>
    </w:p>
    <w:p>
      <w:pPr>
        <w:pStyle w:val="Heading2"/>
      </w:pPr>
      <w:r>
        <w:rPr>
          <w:rFonts w:ascii="Times New Roman" w:hAnsi="Times New Roman" w:cs="Times New Roman" w:eastAsia="Times New Roman"/>
          <w:b/>
          <w:i w:val="0"/>
          <w:color w:val="1F3864"/>
        </w:rPr>
        <w:t>10.2 Recommendations</w:t>
      </w:r>
    </w:p>
    <w:p>
      <w:pPr>
        <w:spacing w:before="0" w:after="120" w:line="276" w:lineRule="auto"/>
        <w:jc w:val="both"/>
      </w:pPr>
      <w:r>
        <w:rPr>
          <w:rFonts w:ascii="Times New Roman" w:hAnsi="Times New Roman" w:cs="Times New Roman" w:eastAsia="Times New Roman"/>
        </w:rPr>
        <w:t>Based on the findings, the following recommendations are made, with special reference to Bangladesh:</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1.</w:t>
        <w:tab/>
      </w:r>
      <w:r>
        <w:rPr>
          <w:rFonts w:ascii="Times New Roman" w:hAnsi="Times New Roman" w:cs="Times New Roman" w:eastAsia="Times New Roman"/>
          <w:b/>
        </w:rPr>
        <w:t>Adopt a well-being dashboard.</w:t>
      </w:r>
      <w:r>
        <w:rPr>
          <w:rFonts w:ascii="Times New Roman" w:hAnsi="Times New Roman" w:cs="Times New Roman" w:eastAsia="Times New Roman"/>
        </w:rPr>
        <w:t xml:space="preserve"> The government should report GDP growth together with median household income, the Gini coefficient, poverty, HDI, informal employment and environmental indicators in the annual budget and the Bangladesh Economic Review.</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2.</w:t>
        <w:tab/>
      </w:r>
      <w:r>
        <w:rPr>
          <w:rFonts w:ascii="Times New Roman" w:hAnsi="Times New Roman" w:cs="Times New Roman" w:eastAsia="Times New Roman"/>
          <w:b/>
        </w:rPr>
        <w:t>Focus on median, not only average, income.</w:t>
      </w:r>
      <w:r>
        <w:rPr>
          <w:rFonts w:ascii="Times New Roman" w:hAnsi="Times New Roman" w:cs="Times New Roman" w:eastAsia="Times New Roman"/>
        </w:rPr>
        <w:t xml:space="preserve"> Median household income and the income of the bottom 40 per cent better reflect what typical families experience.</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3.</w:t>
        <w:tab/>
      </w:r>
      <w:r>
        <w:rPr>
          <w:rFonts w:ascii="Times New Roman" w:hAnsi="Times New Roman" w:cs="Times New Roman" w:eastAsia="Times New Roman"/>
          <w:b/>
        </w:rPr>
        <w:t>Develop environmental accounts.</w:t>
      </w:r>
      <w:r>
        <w:rPr>
          <w:rFonts w:ascii="Times New Roman" w:hAnsi="Times New Roman" w:cs="Times New Roman" w:eastAsia="Times New Roman"/>
        </w:rPr>
        <w:t xml:space="preserve"> BBS should expand work under the UN SEEA framework to estimate the depletion of natural resources and the cost of pollution.</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4.</w:t>
        <w:tab/>
      </w:r>
      <w:r>
        <w:rPr>
          <w:rFonts w:ascii="Times New Roman" w:hAnsi="Times New Roman" w:cs="Times New Roman" w:eastAsia="Times New Roman"/>
          <w:b/>
        </w:rPr>
        <w:t>Value unpaid work.</w:t>
      </w:r>
      <w:r>
        <w:rPr>
          <w:rFonts w:ascii="Times New Roman" w:hAnsi="Times New Roman" w:cs="Times New Roman" w:eastAsia="Times New Roman"/>
        </w:rPr>
        <w:t xml:space="preserve"> Regular time-use surveys and satellite accounts for household work would make women's contribution visible in policy.</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5.</w:t>
        <w:tab/>
      </w:r>
      <w:r>
        <w:rPr>
          <w:rFonts w:ascii="Times New Roman" w:hAnsi="Times New Roman" w:cs="Times New Roman" w:eastAsia="Times New Roman"/>
          <w:b/>
        </w:rPr>
        <w:t>Strengthen data quality and independence.</w:t>
      </w:r>
      <w:r>
        <w:rPr>
          <w:rFonts w:ascii="Times New Roman" w:hAnsi="Times New Roman" w:cs="Times New Roman" w:eastAsia="Times New Roman"/>
        </w:rPr>
        <w:t xml:space="preserve"> Transparent methods and independent review of national accounts would increase trust in official statistics.</w:t>
      </w:r>
    </w:p>
    <w:p>
      <w:pPr>
        <w:tabs>
          <w:tab w:pos="510" w:val="left"/>
        </w:tabs>
        <w:spacing w:before="0" w:after="40" w:line="276" w:lineRule="auto"/>
        <w:ind w:left="510" w:hanging="340"/>
        <w:jc w:val="both"/>
      </w:pPr>
      <w:r>
        <w:rPr>
          <w:rFonts w:ascii="Times New Roman" w:hAnsi="Times New Roman" w:cs="Times New Roman" w:eastAsia="Times New Roman"/>
          <w:b/>
          <w:color w:val="1F3864"/>
          <w:sz w:val="24"/>
        </w:rPr>
        <w:t>6.</w:t>
        <w:tab/>
      </w:r>
      <w:r>
        <w:rPr>
          <w:rFonts w:ascii="Times New Roman" w:hAnsi="Times New Roman" w:cs="Times New Roman" w:eastAsia="Times New Roman"/>
          <w:b/>
        </w:rPr>
        <w:t>Link the dashboard to the SDGs.</w:t>
      </w:r>
      <w:r>
        <w:rPr>
          <w:rFonts w:ascii="Times New Roman" w:hAnsi="Times New Roman" w:cs="Times New Roman" w:eastAsia="Times New Roman"/>
        </w:rPr>
        <w:t xml:space="preserve"> Bangladesh already reports on the Sustainable Development Goals; these indicators can form the basis of a national well-being framework.</w:t>
      </w:r>
    </w:p>
    <w:p>
      <w:pPr>
        <w:tabs>
          <w:tab w:pos="510" w:val="left"/>
        </w:tabs>
        <w:spacing w:before="0" w:after="160" w:line="276" w:lineRule="auto"/>
        <w:ind w:left="510" w:hanging="340"/>
        <w:jc w:val="both"/>
      </w:pPr>
      <w:r>
        <w:rPr>
          <w:rFonts w:ascii="Times New Roman" w:hAnsi="Times New Roman" w:cs="Times New Roman" w:eastAsia="Times New Roman"/>
          <w:b/>
          <w:color w:val="1F3864"/>
          <w:sz w:val="24"/>
        </w:rPr>
        <w:t>7.</w:t>
        <w:tab/>
      </w:r>
      <w:r>
        <w:rPr>
          <w:rFonts w:ascii="Times New Roman" w:hAnsi="Times New Roman" w:cs="Times New Roman" w:eastAsia="Times New Roman"/>
          <w:b/>
        </w:rPr>
        <w:t>Teach beyond GDP.</w:t>
      </w:r>
      <w:r>
        <w:rPr>
          <w:rFonts w:ascii="Times New Roman" w:hAnsi="Times New Roman" w:cs="Times New Roman" w:eastAsia="Times New Roman"/>
        </w:rPr>
        <w:t xml:space="preserve"> Universities and the media should present GDP as a measure of economic activity, not as a scorecard of national success.</w:t>
      </w:r>
    </w:p>
    <w:p>
      <w:pPr>
        <w:spacing w:after="0"/>
      </w:pPr>
      <w:r>
        <w:br w:type="page"/>
      </w:r>
    </w:p>
    <w:p>
      <w:pPr>
        <w:pStyle w:val="Heading1"/>
        <w:pBdr>
          <w:bottom w:val="single" w:sz="8" w:space="4" w:color="1F3864"/>
        </w:pBdr>
      </w:pPr>
      <w:r>
        <w:rPr>
          <w:rFonts w:ascii="Times New Roman" w:hAnsi="Times New Roman" w:cs="Times New Roman" w:eastAsia="Times New Roman"/>
          <w:b/>
          <w:i w:val="0"/>
          <w:color w:val="1F3864"/>
        </w:rPr>
        <w:t>References</w:t>
      </w:r>
    </w:p>
    <w:p>
      <w:pPr>
        <w:spacing w:before="0" w:after="120" w:line="288" w:lineRule="auto"/>
        <w:ind w:left="567" w:hanging="567"/>
        <w:jc w:val="left"/>
      </w:pPr>
      <w:r>
        <w:rPr>
          <w:rFonts w:ascii="Times New Roman" w:hAnsi="Times New Roman" w:cs="Times New Roman" w:eastAsia="Times New Roman"/>
          <w:sz w:val="22"/>
        </w:rPr>
        <w:t xml:space="preserve">Bangladesh Bureau of Statistics. (2023a). </w:t>
      </w:r>
      <w:r>
        <w:rPr>
          <w:rFonts w:ascii="Times New Roman" w:hAnsi="Times New Roman" w:cs="Times New Roman" w:eastAsia="Times New Roman"/>
          <w:i/>
          <w:sz w:val="22"/>
        </w:rPr>
        <w:t>Household Income and Expenditure Survey (HIES) 2022: Final report</w:t>
      </w:r>
      <w:r>
        <w:rPr>
          <w:rFonts w:ascii="Times New Roman" w:hAnsi="Times New Roman" w:cs="Times New Roman" w:eastAsia="Times New Roman"/>
          <w:sz w:val="22"/>
        </w:rPr>
        <w:t>. BBS.</w:t>
      </w:r>
    </w:p>
    <w:p>
      <w:pPr>
        <w:spacing w:before="0" w:after="120" w:line="288" w:lineRule="auto"/>
        <w:ind w:left="567" w:hanging="567"/>
        <w:jc w:val="left"/>
      </w:pPr>
      <w:r>
        <w:rPr>
          <w:rFonts w:ascii="Times New Roman" w:hAnsi="Times New Roman" w:cs="Times New Roman" w:eastAsia="Times New Roman"/>
          <w:sz w:val="22"/>
        </w:rPr>
        <w:t xml:space="preserve">Bangladesh Bureau of Statistics. (2023b). </w:t>
      </w:r>
      <w:r>
        <w:rPr>
          <w:rFonts w:ascii="Times New Roman" w:hAnsi="Times New Roman" w:cs="Times New Roman" w:eastAsia="Times New Roman"/>
          <w:i/>
          <w:sz w:val="22"/>
        </w:rPr>
        <w:t>Labour Force Survey 2022</w:t>
      </w:r>
      <w:r>
        <w:rPr>
          <w:rFonts w:ascii="Times New Roman" w:hAnsi="Times New Roman" w:cs="Times New Roman" w:eastAsia="Times New Roman"/>
          <w:sz w:val="22"/>
        </w:rPr>
        <w:t>. BBS.</w:t>
      </w:r>
    </w:p>
    <w:p>
      <w:pPr>
        <w:spacing w:before="0" w:after="120" w:line="288" w:lineRule="auto"/>
        <w:ind w:left="567" w:hanging="567"/>
        <w:jc w:val="left"/>
      </w:pPr>
      <w:r>
        <w:rPr>
          <w:rFonts w:ascii="Times New Roman" w:hAnsi="Times New Roman" w:cs="Times New Roman" w:eastAsia="Times New Roman"/>
          <w:sz w:val="22"/>
        </w:rPr>
        <w:t xml:space="preserve">Centre for Policy Dialogue. (2015). </w:t>
      </w:r>
      <w:r>
        <w:rPr>
          <w:rFonts w:ascii="Times New Roman" w:hAnsi="Times New Roman" w:cs="Times New Roman" w:eastAsia="Times New Roman"/>
          <w:i/>
          <w:sz w:val="22"/>
        </w:rPr>
        <w:t>Estimating women's contribution to the economy: The case of Bangladesh</w:t>
      </w:r>
      <w:r>
        <w:rPr>
          <w:rFonts w:ascii="Times New Roman" w:hAnsi="Times New Roman" w:cs="Times New Roman" w:eastAsia="Times New Roman"/>
          <w:sz w:val="22"/>
        </w:rPr>
        <w:t>. CPD.</w:t>
      </w:r>
    </w:p>
    <w:p>
      <w:pPr>
        <w:spacing w:before="0" w:after="120" w:line="288" w:lineRule="auto"/>
        <w:ind w:left="567" w:hanging="567"/>
        <w:jc w:val="left"/>
      </w:pPr>
      <w:r>
        <w:rPr>
          <w:rFonts w:ascii="Times New Roman" w:hAnsi="Times New Roman" w:cs="Times New Roman" w:eastAsia="Times New Roman"/>
          <w:sz w:val="22"/>
        </w:rPr>
        <w:t xml:space="preserve">Chancel, L., Piketty, T., Saez, E., &amp; Zucman, G. (2022). </w:t>
      </w:r>
      <w:r>
        <w:rPr>
          <w:rFonts w:ascii="Times New Roman" w:hAnsi="Times New Roman" w:cs="Times New Roman" w:eastAsia="Times New Roman"/>
          <w:i/>
          <w:sz w:val="22"/>
        </w:rPr>
        <w:t>World inequality report 2022</w:t>
      </w:r>
      <w:r>
        <w:rPr>
          <w:rFonts w:ascii="Times New Roman" w:hAnsi="Times New Roman" w:cs="Times New Roman" w:eastAsia="Times New Roman"/>
          <w:sz w:val="22"/>
        </w:rPr>
        <w:t>. World Inequality Lab.</w:t>
      </w:r>
    </w:p>
    <w:p>
      <w:pPr>
        <w:spacing w:before="0" w:after="120" w:line="288" w:lineRule="auto"/>
        <w:ind w:left="567" w:hanging="567"/>
        <w:jc w:val="left"/>
      </w:pPr>
      <w:r>
        <w:rPr>
          <w:rFonts w:ascii="Times New Roman" w:hAnsi="Times New Roman" w:cs="Times New Roman" w:eastAsia="Times New Roman"/>
          <w:sz w:val="22"/>
        </w:rPr>
        <w:t xml:space="preserve">Easterlin, R. A. (1974). Does economic growth improve the human lot? Some empirical evidence. In P. A. David &amp; M. W. Reder (Eds.), </w:t>
      </w:r>
      <w:r>
        <w:rPr>
          <w:rFonts w:ascii="Times New Roman" w:hAnsi="Times New Roman" w:cs="Times New Roman" w:eastAsia="Times New Roman"/>
          <w:i/>
          <w:sz w:val="22"/>
        </w:rPr>
        <w:t>Nations and households in economic growth</w:t>
      </w:r>
      <w:r>
        <w:rPr>
          <w:rFonts w:ascii="Times New Roman" w:hAnsi="Times New Roman" w:cs="Times New Roman" w:eastAsia="Times New Roman"/>
          <w:sz w:val="22"/>
        </w:rPr>
        <w:t xml:space="preserve"> (pp. 89-125). Academic Press.</w:t>
      </w:r>
    </w:p>
    <w:p>
      <w:pPr>
        <w:spacing w:before="0" w:after="120" w:line="288" w:lineRule="auto"/>
        <w:ind w:left="567" w:hanging="567"/>
        <w:jc w:val="left"/>
      </w:pPr>
      <w:r>
        <w:rPr>
          <w:rFonts w:ascii="Times New Roman" w:hAnsi="Times New Roman" w:cs="Times New Roman" w:eastAsia="Times New Roman"/>
          <w:sz w:val="22"/>
        </w:rPr>
        <w:t xml:space="preserve">Global Carbon Project. (2023). </w:t>
      </w:r>
      <w:r>
        <w:rPr>
          <w:rFonts w:ascii="Times New Roman" w:hAnsi="Times New Roman" w:cs="Times New Roman" w:eastAsia="Times New Roman"/>
          <w:i/>
          <w:sz w:val="22"/>
        </w:rPr>
        <w:t>Global carbon budget 2023</w:t>
      </w:r>
      <w:r>
        <w:rPr>
          <w:rFonts w:ascii="Times New Roman" w:hAnsi="Times New Roman" w:cs="Times New Roman" w:eastAsia="Times New Roman"/>
          <w:sz w:val="22"/>
        </w:rPr>
        <w:t>. https://globalcarbonbudget.org</w:t>
      </w:r>
    </w:p>
    <w:p>
      <w:pPr>
        <w:spacing w:before="0" w:after="120" w:line="288" w:lineRule="auto"/>
        <w:ind w:left="567" w:hanging="567"/>
        <w:jc w:val="left"/>
      </w:pPr>
      <w:r>
        <w:rPr>
          <w:rFonts w:ascii="Times New Roman" w:hAnsi="Times New Roman" w:cs="Times New Roman" w:eastAsia="Times New Roman"/>
          <w:sz w:val="22"/>
        </w:rPr>
        <w:t xml:space="preserve">Helliwell, J. F., Layard, R., Sachs, J. D., De Neve, J.-E., Aknin, L. B., &amp; Wang, S. (Eds.). (2024). </w:t>
      </w:r>
      <w:r>
        <w:rPr>
          <w:rFonts w:ascii="Times New Roman" w:hAnsi="Times New Roman" w:cs="Times New Roman" w:eastAsia="Times New Roman"/>
          <w:i/>
          <w:sz w:val="22"/>
        </w:rPr>
        <w:t>World happiness report 2024</w:t>
      </w:r>
      <w:r>
        <w:rPr>
          <w:rFonts w:ascii="Times New Roman" w:hAnsi="Times New Roman" w:cs="Times New Roman" w:eastAsia="Times New Roman"/>
          <w:sz w:val="22"/>
        </w:rPr>
        <w:t>. Wellbeing Research Centre, University of Oxford.</w:t>
      </w:r>
    </w:p>
    <w:p>
      <w:pPr>
        <w:spacing w:before="0" w:after="120" w:line="288" w:lineRule="auto"/>
        <w:ind w:left="567" w:hanging="567"/>
        <w:jc w:val="left"/>
      </w:pPr>
      <w:r>
        <w:rPr>
          <w:rFonts w:ascii="Times New Roman" w:hAnsi="Times New Roman" w:cs="Times New Roman" w:eastAsia="Times New Roman"/>
          <w:sz w:val="22"/>
        </w:rPr>
        <w:t xml:space="preserve">International Labour Organization. (2018). </w:t>
      </w:r>
      <w:r>
        <w:rPr>
          <w:rFonts w:ascii="Times New Roman" w:hAnsi="Times New Roman" w:cs="Times New Roman" w:eastAsia="Times New Roman"/>
          <w:i/>
          <w:sz w:val="22"/>
        </w:rPr>
        <w:t>Care work and care jobs for the future of decent work</w:t>
      </w:r>
      <w:r>
        <w:rPr>
          <w:rFonts w:ascii="Times New Roman" w:hAnsi="Times New Roman" w:cs="Times New Roman" w:eastAsia="Times New Roman"/>
          <w:sz w:val="22"/>
        </w:rPr>
        <w:t>. ILO.</w:t>
      </w:r>
    </w:p>
    <w:p>
      <w:pPr>
        <w:spacing w:before="0" w:after="120" w:line="288" w:lineRule="auto"/>
        <w:ind w:left="567" w:hanging="567"/>
        <w:jc w:val="left"/>
      </w:pPr>
      <w:r>
        <w:rPr>
          <w:rFonts w:ascii="Times New Roman" w:hAnsi="Times New Roman" w:cs="Times New Roman" w:eastAsia="Times New Roman"/>
          <w:sz w:val="22"/>
        </w:rPr>
        <w:t xml:space="preserve">Kennedy, R. F. (1968, March 18). </w:t>
      </w:r>
      <w:r>
        <w:rPr>
          <w:rFonts w:ascii="Times New Roman" w:hAnsi="Times New Roman" w:cs="Times New Roman" w:eastAsia="Times New Roman"/>
          <w:i/>
          <w:sz w:val="22"/>
        </w:rPr>
        <w:t>Remarks at the University of Kansas</w:t>
      </w:r>
      <w:r>
        <w:rPr>
          <w:rFonts w:ascii="Times New Roman" w:hAnsi="Times New Roman" w:cs="Times New Roman" w:eastAsia="Times New Roman"/>
          <w:sz w:val="22"/>
        </w:rPr>
        <w:t xml:space="preserve"> [Speech]. Lawrence, Kansas.</w:t>
      </w:r>
    </w:p>
    <w:p>
      <w:pPr>
        <w:spacing w:before="0" w:after="120" w:line="288" w:lineRule="auto"/>
        <w:ind w:left="567" w:hanging="567"/>
        <w:jc w:val="left"/>
      </w:pPr>
      <w:r>
        <w:rPr>
          <w:rFonts w:ascii="Times New Roman" w:hAnsi="Times New Roman" w:cs="Times New Roman" w:eastAsia="Times New Roman"/>
          <w:sz w:val="22"/>
        </w:rPr>
        <w:t xml:space="preserve">Kubiszewski, I., Costanza, R., Franco, C., Lawn, P., Talberth, J., Jackson, T., &amp; Aylmer, C. (2013). Beyond GDP: Measuring and achieving global genuine progress. </w:t>
      </w:r>
      <w:r>
        <w:rPr>
          <w:rFonts w:ascii="Times New Roman" w:hAnsi="Times New Roman" w:cs="Times New Roman" w:eastAsia="Times New Roman"/>
          <w:i/>
          <w:sz w:val="22"/>
        </w:rPr>
        <w:t>Ecological Economics, 93</w:t>
      </w:r>
      <w:r>
        <w:rPr>
          <w:rFonts w:ascii="Times New Roman" w:hAnsi="Times New Roman" w:cs="Times New Roman" w:eastAsia="Times New Roman"/>
          <w:sz w:val="22"/>
        </w:rPr>
        <w:t>, 57-68.</w:t>
      </w:r>
    </w:p>
    <w:p>
      <w:pPr>
        <w:spacing w:before="0" w:after="120" w:line="288" w:lineRule="auto"/>
        <w:ind w:left="567" w:hanging="567"/>
        <w:jc w:val="left"/>
      </w:pPr>
      <w:r>
        <w:rPr>
          <w:rFonts w:ascii="Times New Roman" w:hAnsi="Times New Roman" w:cs="Times New Roman" w:eastAsia="Times New Roman"/>
          <w:sz w:val="22"/>
        </w:rPr>
        <w:t xml:space="preserve">Kuznets, S. (1934). </w:t>
      </w:r>
      <w:r>
        <w:rPr>
          <w:rFonts w:ascii="Times New Roman" w:hAnsi="Times New Roman" w:cs="Times New Roman" w:eastAsia="Times New Roman"/>
          <w:i/>
          <w:sz w:val="22"/>
        </w:rPr>
        <w:t>National income, 1929-1932</w:t>
      </w:r>
      <w:r>
        <w:rPr>
          <w:rFonts w:ascii="Times New Roman" w:hAnsi="Times New Roman" w:cs="Times New Roman" w:eastAsia="Times New Roman"/>
          <w:sz w:val="22"/>
        </w:rPr>
        <w:t xml:space="preserve"> (Senate Document No. 124). US Government Printing Office.</w:t>
      </w:r>
    </w:p>
    <w:p>
      <w:pPr>
        <w:spacing w:before="0" w:after="120" w:line="288" w:lineRule="auto"/>
        <w:ind w:left="567" w:hanging="567"/>
        <w:jc w:val="left"/>
      </w:pPr>
      <w:r>
        <w:rPr>
          <w:rFonts w:ascii="Times New Roman" w:hAnsi="Times New Roman" w:cs="Times New Roman" w:eastAsia="Times New Roman"/>
          <w:sz w:val="22"/>
        </w:rPr>
        <w:t xml:space="preserve">Mankiw, N. G. (2021). </w:t>
      </w:r>
      <w:r>
        <w:rPr>
          <w:rFonts w:ascii="Times New Roman" w:hAnsi="Times New Roman" w:cs="Times New Roman" w:eastAsia="Times New Roman"/>
          <w:i/>
          <w:sz w:val="22"/>
        </w:rPr>
        <w:t>Principles of economics</w:t>
      </w:r>
      <w:r>
        <w:rPr>
          <w:rFonts w:ascii="Times New Roman" w:hAnsi="Times New Roman" w:cs="Times New Roman" w:eastAsia="Times New Roman"/>
          <w:sz w:val="22"/>
        </w:rPr>
        <w:t xml:space="preserve"> (9th ed.). Cengage Learning.</w:t>
      </w:r>
    </w:p>
    <w:p>
      <w:pPr>
        <w:spacing w:before="0" w:after="120" w:line="288" w:lineRule="auto"/>
        <w:ind w:left="567" w:hanging="567"/>
        <w:jc w:val="left"/>
      </w:pPr>
      <w:r>
        <w:rPr>
          <w:rFonts w:ascii="Times New Roman" w:hAnsi="Times New Roman" w:cs="Times New Roman" w:eastAsia="Times New Roman"/>
          <w:sz w:val="22"/>
        </w:rPr>
        <w:t xml:space="preserve">OECD. (2011). </w:t>
      </w:r>
      <w:r>
        <w:rPr>
          <w:rFonts w:ascii="Times New Roman" w:hAnsi="Times New Roman" w:cs="Times New Roman" w:eastAsia="Times New Roman"/>
          <w:i/>
          <w:sz w:val="22"/>
        </w:rPr>
        <w:t>How's life? Measuring well-being</w:t>
      </w:r>
      <w:r>
        <w:rPr>
          <w:rFonts w:ascii="Times New Roman" w:hAnsi="Times New Roman" w:cs="Times New Roman" w:eastAsia="Times New Roman"/>
          <w:sz w:val="22"/>
        </w:rPr>
        <w:t>. OECD Publishing.</w:t>
      </w:r>
    </w:p>
    <w:p>
      <w:pPr>
        <w:spacing w:before="0" w:after="120" w:line="288" w:lineRule="auto"/>
        <w:ind w:left="567" w:hanging="567"/>
        <w:jc w:val="left"/>
      </w:pPr>
      <w:r>
        <w:rPr>
          <w:rFonts w:ascii="Times New Roman" w:hAnsi="Times New Roman" w:cs="Times New Roman" w:eastAsia="Times New Roman"/>
          <w:sz w:val="22"/>
        </w:rPr>
        <w:t xml:space="preserve">Osberg, L., &amp; Sharpe, A. (2002). An index of economic well-being for selected OECD countries. </w:t>
      </w:r>
      <w:r>
        <w:rPr>
          <w:rFonts w:ascii="Times New Roman" w:hAnsi="Times New Roman" w:cs="Times New Roman" w:eastAsia="Times New Roman"/>
          <w:i/>
          <w:sz w:val="22"/>
        </w:rPr>
        <w:t>Review of Income and Wealth, 48</w:t>
      </w:r>
      <w:r>
        <w:rPr>
          <w:rFonts w:ascii="Times New Roman" w:hAnsi="Times New Roman" w:cs="Times New Roman" w:eastAsia="Times New Roman"/>
          <w:sz w:val="22"/>
        </w:rPr>
        <w:t>(3), 291-316.</w:t>
      </w:r>
    </w:p>
    <w:p>
      <w:pPr>
        <w:spacing w:before="0" w:after="120" w:line="288" w:lineRule="auto"/>
        <w:ind w:left="567" w:hanging="567"/>
        <w:jc w:val="left"/>
      </w:pPr>
      <w:r>
        <w:rPr>
          <w:rFonts w:ascii="Times New Roman" w:hAnsi="Times New Roman" w:cs="Times New Roman" w:eastAsia="Times New Roman"/>
          <w:sz w:val="22"/>
        </w:rPr>
        <w:t xml:space="preserve">Preston, S. H. (1975). The changing relation between mortality and level of economic development. </w:t>
      </w:r>
      <w:r>
        <w:rPr>
          <w:rFonts w:ascii="Times New Roman" w:hAnsi="Times New Roman" w:cs="Times New Roman" w:eastAsia="Times New Roman"/>
          <w:i/>
          <w:sz w:val="22"/>
        </w:rPr>
        <w:t>Population Studies, 29</w:t>
      </w:r>
      <w:r>
        <w:rPr>
          <w:rFonts w:ascii="Times New Roman" w:hAnsi="Times New Roman" w:cs="Times New Roman" w:eastAsia="Times New Roman"/>
          <w:sz w:val="22"/>
        </w:rPr>
        <w:t>(2), 231-248.</w:t>
      </w:r>
    </w:p>
    <w:p>
      <w:pPr>
        <w:spacing w:before="0" w:after="120" w:line="288" w:lineRule="auto"/>
        <w:ind w:left="567" w:hanging="567"/>
        <w:jc w:val="left"/>
      </w:pPr>
      <w:r>
        <w:rPr>
          <w:rFonts w:ascii="Times New Roman" w:hAnsi="Times New Roman" w:cs="Times New Roman" w:eastAsia="Times New Roman"/>
          <w:sz w:val="22"/>
        </w:rPr>
        <w:t xml:space="preserve">Sen, A. (1999). </w:t>
      </w:r>
      <w:r>
        <w:rPr>
          <w:rFonts w:ascii="Times New Roman" w:hAnsi="Times New Roman" w:cs="Times New Roman" w:eastAsia="Times New Roman"/>
          <w:i/>
          <w:sz w:val="22"/>
        </w:rPr>
        <w:t>Development as freedom</w:t>
      </w:r>
      <w:r>
        <w:rPr>
          <w:rFonts w:ascii="Times New Roman" w:hAnsi="Times New Roman" w:cs="Times New Roman" w:eastAsia="Times New Roman"/>
          <w:sz w:val="22"/>
        </w:rPr>
        <w:t>. Oxford University Press.</w:t>
      </w:r>
    </w:p>
    <w:p>
      <w:pPr>
        <w:spacing w:before="0" w:after="120" w:line="288" w:lineRule="auto"/>
        <w:ind w:left="567" w:hanging="567"/>
        <w:jc w:val="left"/>
      </w:pPr>
      <w:r>
        <w:rPr>
          <w:rFonts w:ascii="Times New Roman" w:hAnsi="Times New Roman" w:cs="Times New Roman" w:eastAsia="Times New Roman"/>
          <w:sz w:val="22"/>
        </w:rPr>
        <w:t xml:space="preserve">Stevenson, B., &amp; Wolfers, J. (2008). Economic growth and subjective well-being: Reassessing the Easterlin paradox. </w:t>
      </w:r>
      <w:r>
        <w:rPr>
          <w:rFonts w:ascii="Times New Roman" w:hAnsi="Times New Roman" w:cs="Times New Roman" w:eastAsia="Times New Roman"/>
          <w:i/>
          <w:sz w:val="22"/>
        </w:rPr>
        <w:t>Brookings Papers on Economic Activity, 2008</w:t>
      </w:r>
      <w:r>
        <w:rPr>
          <w:rFonts w:ascii="Times New Roman" w:hAnsi="Times New Roman" w:cs="Times New Roman" w:eastAsia="Times New Roman"/>
          <w:sz w:val="22"/>
        </w:rPr>
        <w:t>(1), 1-87.</w:t>
      </w:r>
    </w:p>
    <w:p>
      <w:pPr>
        <w:spacing w:before="0" w:after="120" w:line="288" w:lineRule="auto"/>
        <w:ind w:left="567" w:hanging="567"/>
        <w:jc w:val="left"/>
      </w:pPr>
      <w:r>
        <w:rPr>
          <w:rFonts w:ascii="Times New Roman" w:hAnsi="Times New Roman" w:cs="Times New Roman" w:eastAsia="Times New Roman"/>
          <w:sz w:val="22"/>
        </w:rPr>
        <w:t xml:space="preserve">Stiglitz, J. E., Sen, A., &amp; Fitoussi, J.-P. (2009). </w:t>
      </w:r>
      <w:r>
        <w:rPr>
          <w:rFonts w:ascii="Times New Roman" w:hAnsi="Times New Roman" w:cs="Times New Roman" w:eastAsia="Times New Roman"/>
          <w:i/>
          <w:sz w:val="22"/>
        </w:rPr>
        <w:t>Report by the Commission on the Measurement of Economic Performance and Social Progress</w:t>
      </w:r>
      <w:r>
        <w:rPr>
          <w:rFonts w:ascii="Times New Roman" w:hAnsi="Times New Roman" w:cs="Times New Roman" w:eastAsia="Times New Roman"/>
          <w:sz w:val="22"/>
        </w:rPr>
        <w:t>. Paris.</w:t>
      </w:r>
    </w:p>
    <w:p>
      <w:pPr>
        <w:spacing w:before="0" w:after="120" w:line="288" w:lineRule="auto"/>
        <w:ind w:left="567" w:hanging="567"/>
        <w:jc w:val="left"/>
      </w:pPr>
      <w:r>
        <w:rPr>
          <w:rFonts w:ascii="Times New Roman" w:hAnsi="Times New Roman" w:cs="Times New Roman" w:eastAsia="Times New Roman"/>
          <w:sz w:val="22"/>
        </w:rPr>
        <w:t xml:space="preserve">Talberth, J., Cobb, C., &amp; Slattery, N. (2007). </w:t>
      </w:r>
      <w:r>
        <w:rPr>
          <w:rFonts w:ascii="Times New Roman" w:hAnsi="Times New Roman" w:cs="Times New Roman" w:eastAsia="Times New Roman"/>
          <w:i/>
          <w:sz w:val="22"/>
        </w:rPr>
        <w:t>The Genuine Progress Indicator 2006: A tool for sustainable development</w:t>
      </w:r>
      <w:r>
        <w:rPr>
          <w:rFonts w:ascii="Times New Roman" w:hAnsi="Times New Roman" w:cs="Times New Roman" w:eastAsia="Times New Roman"/>
          <w:sz w:val="22"/>
        </w:rPr>
        <w:t>. Redefining Progress.</w:t>
      </w:r>
    </w:p>
    <w:p>
      <w:pPr>
        <w:spacing w:before="0" w:after="120" w:line="288" w:lineRule="auto"/>
        <w:ind w:left="567" w:hanging="567"/>
        <w:jc w:val="left"/>
      </w:pPr>
      <w:r>
        <w:rPr>
          <w:rFonts w:ascii="Times New Roman" w:hAnsi="Times New Roman" w:cs="Times New Roman" w:eastAsia="Times New Roman"/>
          <w:sz w:val="22"/>
        </w:rPr>
        <w:t xml:space="preserve">United Nations. (2021). </w:t>
      </w:r>
      <w:r>
        <w:rPr>
          <w:rFonts w:ascii="Times New Roman" w:hAnsi="Times New Roman" w:cs="Times New Roman" w:eastAsia="Times New Roman"/>
          <w:i/>
          <w:sz w:val="22"/>
        </w:rPr>
        <w:t>System of Environmental-Economic Accounting: Ecosystem accounting (SEEA EA)</w:t>
      </w:r>
      <w:r>
        <w:rPr>
          <w:rFonts w:ascii="Times New Roman" w:hAnsi="Times New Roman" w:cs="Times New Roman" w:eastAsia="Times New Roman"/>
          <w:sz w:val="22"/>
        </w:rPr>
        <w:t>. United Nations.</w:t>
      </w:r>
    </w:p>
    <w:p>
      <w:pPr>
        <w:spacing w:before="0" w:after="120" w:line="288" w:lineRule="auto"/>
        <w:ind w:left="567" w:hanging="567"/>
        <w:jc w:val="left"/>
      </w:pPr>
      <w:r>
        <w:rPr>
          <w:rFonts w:ascii="Times New Roman" w:hAnsi="Times New Roman" w:cs="Times New Roman" w:eastAsia="Times New Roman"/>
          <w:sz w:val="22"/>
        </w:rPr>
        <w:t xml:space="preserve">United Nations Development Programme. (2024). </w:t>
      </w:r>
      <w:r>
        <w:rPr>
          <w:rFonts w:ascii="Times New Roman" w:hAnsi="Times New Roman" w:cs="Times New Roman" w:eastAsia="Times New Roman"/>
          <w:i/>
          <w:sz w:val="22"/>
        </w:rPr>
        <w:t>Human development report 2023/2024: Breaking the gridlock</w:t>
      </w:r>
      <w:r>
        <w:rPr>
          <w:rFonts w:ascii="Times New Roman" w:hAnsi="Times New Roman" w:cs="Times New Roman" w:eastAsia="Times New Roman"/>
          <w:sz w:val="22"/>
        </w:rPr>
        <w:t>. UNDP.</w:t>
      </w:r>
    </w:p>
    <w:p>
      <w:pPr>
        <w:spacing w:before="0" w:after="120" w:line="288" w:lineRule="auto"/>
        <w:ind w:left="567" w:hanging="567"/>
        <w:jc w:val="left"/>
      </w:pPr>
      <w:r>
        <w:rPr>
          <w:rFonts w:ascii="Times New Roman" w:hAnsi="Times New Roman" w:cs="Times New Roman" w:eastAsia="Times New Roman"/>
          <w:sz w:val="22"/>
        </w:rPr>
        <w:t xml:space="preserve">World Bank. (2018). </w:t>
      </w:r>
      <w:r>
        <w:rPr>
          <w:rFonts w:ascii="Times New Roman" w:hAnsi="Times New Roman" w:cs="Times New Roman" w:eastAsia="Times New Roman"/>
          <w:i/>
          <w:sz w:val="22"/>
        </w:rPr>
        <w:t>Enhancing opportunities for clean and resilient growth in urban Bangladesh: Country environmental analysis 2018</w:t>
      </w:r>
      <w:r>
        <w:rPr>
          <w:rFonts w:ascii="Times New Roman" w:hAnsi="Times New Roman" w:cs="Times New Roman" w:eastAsia="Times New Roman"/>
          <w:sz w:val="22"/>
        </w:rPr>
        <w:t>. World Bank.</w:t>
      </w:r>
    </w:p>
    <w:p>
      <w:pPr>
        <w:spacing w:before="0" w:after="120" w:line="288" w:lineRule="auto"/>
        <w:ind w:left="567" w:hanging="567"/>
        <w:jc w:val="left"/>
      </w:pPr>
      <w:r>
        <w:rPr>
          <w:rFonts w:ascii="Times New Roman" w:hAnsi="Times New Roman" w:cs="Times New Roman" w:eastAsia="Times New Roman"/>
          <w:sz w:val="22"/>
        </w:rPr>
        <w:t xml:space="preserve">World Bank. (2024). </w:t>
      </w:r>
      <w:r>
        <w:rPr>
          <w:rFonts w:ascii="Times New Roman" w:hAnsi="Times New Roman" w:cs="Times New Roman" w:eastAsia="Times New Roman"/>
          <w:i/>
          <w:sz w:val="22"/>
        </w:rPr>
        <w:t>World development indicators</w:t>
      </w:r>
      <w:r>
        <w:rPr>
          <w:rFonts w:ascii="Times New Roman" w:hAnsi="Times New Roman" w:cs="Times New Roman" w:eastAsia="Times New Roman"/>
          <w:sz w:val="22"/>
        </w:rPr>
        <w:t>. https://databank.worldbank.org</w:t>
      </w:r>
    </w:p>
    <w:p>
      <w:pPr>
        <w:spacing w:after="0"/>
      </w:pPr>
      <w:r>
        <w:br w:type="page"/>
      </w:r>
    </w:p>
    <w:p>
      <w:pPr>
        <w:pStyle w:val="Heading1"/>
        <w:pBdr>
          <w:bottom w:val="single" w:sz="8" w:space="4" w:color="1F3864"/>
        </w:pBdr>
      </w:pPr>
      <w:r>
        <w:rPr>
          <w:rFonts w:ascii="Times New Roman" w:hAnsi="Times New Roman" w:cs="Times New Roman" w:eastAsia="Times New Roman"/>
          <w:b/>
          <w:i w:val="0"/>
          <w:color w:val="1F3864"/>
        </w:rPr>
        <w:t>Appendix A: Glossary of Key Terms</w:t>
      </w:r>
    </w:p>
    <w:p>
      <w:pPr>
        <w:pStyle w:val="Caption"/>
        <w:keepNext/>
        <w:spacing w:before="160" w:after="80" w:line="276" w:lineRule="auto"/>
        <w:jc w:val="center"/>
      </w:pPr>
      <w:r>
        <w:rPr>
          <w:rFonts w:ascii="Times New Roman" w:hAnsi="Times New Roman" w:cs="Times New Roman" w:eastAsia="Times New Roman"/>
          <w:b/>
          <w:color w:val="1F3864"/>
          <w:sz w:val="21"/>
        </w:rPr>
        <w:t xml:space="preserve">Table </w:t>
      </w:r>
      <w:r>
        <w:rPr>
          <w:rFonts w:ascii="Times New Roman" w:hAnsi="Times New Roman" w:cs="Times New Roman" w:eastAsia="Times New Roman"/>
          <w:b/>
          <w:color w:val="1F3864"/>
          <w:sz w:val="21"/>
        </w:rPr>
        <w:fldChar w:fldCharType="begin"/>
      </w:r>
      <w:r>
        <w:rPr>
          <w:rFonts w:ascii="Times New Roman" w:hAnsi="Times New Roman" w:cs="Times New Roman" w:eastAsia="Times New Roman"/>
          <w:b/>
          <w:color w:val="1F3864"/>
          <w:sz w:val="21"/>
        </w:rPr>
        <w:instrText xml:space="preserve"> SEQ Table \* ARABIC </w:instrText>
      </w:r>
      <w:r>
        <w:rPr>
          <w:rFonts w:ascii="Times New Roman" w:hAnsi="Times New Roman" w:cs="Times New Roman" w:eastAsia="Times New Roman"/>
          <w:b/>
          <w:color w:val="1F3864"/>
          <w:sz w:val="21"/>
        </w:rPr>
        <w:fldChar w:fldCharType="separate"/>
      </w:r>
      <w:r>
        <w:rPr>
          <w:rFonts w:ascii="Times New Roman" w:hAnsi="Times New Roman" w:cs="Times New Roman" w:eastAsia="Times New Roman"/>
          <w:b/>
          <w:color w:val="1F3864"/>
          <w:sz w:val="21"/>
        </w:rPr>
        <w:t>13</w:t>
      </w:r>
      <w:r>
        <w:rPr>
          <w:rFonts w:ascii="Times New Roman" w:hAnsi="Times New Roman" w:cs="Times New Roman" w:eastAsia="Times New Roman"/>
          <w:b/>
          <w:color w:val="1F3864"/>
          <w:sz w:val="21"/>
        </w:rPr>
        <w:fldChar w:fldCharType="end"/>
      </w:r>
      <w:r>
        <w:rPr>
          <w:rFonts w:ascii="Times New Roman" w:hAnsi="Times New Roman" w:cs="Times New Roman" w:eastAsia="Times New Roman"/>
          <w:b/>
          <w:color w:val="1F3864"/>
          <w:sz w:val="21"/>
        </w:rPr>
        <w:t>: Glossary of key terms used in the assignment</w:t>
      </w:r>
    </w:p>
    <w:tbl>
      <w:tblPr>
        <w:tblW w:type="dxa" w:w="9072"/>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90" w:type="dxa"/>
          <w:bottom w:w="50" w:type="dxa"/>
          <w:right w:w="90" w:type="dxa"/>
        </w:tblCellMar>
      </w:tblPr>
      <w:tblGrid>
        <w:gridCol w:w="2381"/>
        <w:gridCol w:w="6690"/>
      </w:tblGrid>
      <w:tr>
        <w:trPr>
          <w:tblHeader w:val="true"/>
        </w:trPr>
        <w:tc>
          <w:tcPr>
            <w:tcW w:type="dxa" w:w="2381"/>
            <w:shd w:val="clear" w:color="auto" w:fill="1F3864"/>
            <w:vAlign w:val="center"/>
          </w:tcPr>
          <w:p>
            <w:pPr>
              <w:spacing w:before="20" w:after="20" w:line="264" w:lineRule="auto"/>
              <w:jc w:val="center"/>
            </w:pPr>
            <w:r>
              <w:rPr>
                <w:rFonts w:ascii="Times New Roman" w:hAnsi="Times New Roman" w:cs="Times New Roman" w:eastAsia="Times New Roman"/>
                <w:b/>
                <w:color w:val="FFFFFF"/>
                <w:sz w:val="21"/>
              </w:rPr>
              <w:t>Term</w:t>
            </w:r>
          </w:p>
        </w:tc>
        <w:tc>
          <w:tcPr>
            <w:tcW w:type="dxa" w:w="6690"/>
            <w:shd w:val="clear" w:color="auto" w:fill="1F3864"/>
            <w:vAlign w:val="center"/>
          </w:tcPr>
          <w:p>
            <w:pPr>
              <w:spacing w:before="20" w:after="20" w:line="264" w:lineRule="auto"/>
              <w:jc w:val="center"/>
            </w:pPr>
            <w:r>
              <w:rPr>
                <w:rFonts w:ascii="Times New Roman" w:hAnsi="Times New Roman" w:cs="Times New Roman" w:eastAsia="Times New Roman"/>
                <w:b/>
                <w:color w:val="FFFFFF"/>
                <w:sz w:val="21"/>
              </w:rPr>
              <w:t>Meaning</w:t>
            </w:r>
          </w:p>
        </w:tc>
      </w:tr>
      <w:tr>
        <w:trPr>
          <w:cantSplit w:val="true"/>
        </w:trPr>
        <w:tc>
          <w:tcPr>
            <w:tcW w:type="dxa" w:w="2381"/>
            <w:vAlign w:val="center"/>
          </w:tcPr>
          <w:p>
            <w:pPr>
              <w:spacing w:before="20" w:after="20" w:line="264" w:lineRule="auto"/>
              <w:jc w:val="left"/>
            </w:pPr>
            <w:r>
              <w:rPr>
                <w:rFonts w:ascii="Times New Roman" w:hAnsi="Times New Roman" w:cs="Times New Roman" w:eastAsia="Times New Roman"/>
                <w:b/>
                <w:sz w:val="21"/>
              </w:rPr>
              <w:t>Defensive expenditure</w:t>
            </w:r>
          </w:p>
        </w:tc>
        <w:tc>
          <w:tcPr>
            <w:tcW w:type="dxa" w:w="6690"/>
            <w:vAlign w:val="center"/>
          </w:tcPr>
          <w:p>
            <w:pPr>
              <w:spacing w:before="20" w:after="20" w:line="264" w:lineRule="auto"/>
              <w:jc w:val="left"/>
            </w:pPr>
            <w:r>
              <w:rPr>
                <w:rFonts w:ascii="Times New Roman" w:hAnsi="Times New Roman" w:cs="Times New Roman" w:eastAsia="Times New Roman"/>
                <w:sz w:val="21"/>
              </w:rPr>
              <w:t>Spending that protects against or repairs harm (e.g. flood repair) rather than adding new welfare.</w:t>
            </w:r>
          </w:p>
        </w:tc>
      </w:tr>
      <w:tr>
        <w:trPr>
          <w:cantSplit w:val="true"/>
        </w:trPr>
        <w:tc>
          <w:tcPr>
            <w:tcW w:type="dxa" w:w="2381"/>
            <w:shd w:val="clear" w:color="auto" w:fill="F2F5FA"/>
            <w:vAlign w:val="center"/>
          </w:tcPr>
          <w:p>
            <w:pPr>
              <w:spacing w:before="20" w:after="20" w:line="264" w:lineRule="auto"/>
              <w:jc w:val="left"/>
            </w:pPr>
            <w:r>
              <w:rPr>
                <w:rFonts w:ascii="Times New Roman" w:hAnsi="Times New Roman" w:cs="Times New Roman" w:eastAsia="Times New Roman"/>
                <w:b/>
                <w:sz w:val="21"/>
              </w:rPr>
              <w:t>Easterlin paradox</w:t>
            </w:r>
          </w:p>
        </w:tc>
        <w:tc>
          <w:tcPr>
            <w:tcW w:type="dxa" w:w="6690"/>
            <w:shd w:val="clear" w:color="auto" w:fill="F2F5FA"/>
            <w:vAlign w:val="center"/>
          </w:tcPr>
          <w:p>
            <w:pPr>
              <w:spacing w:before="20" w:after="20" w:line="264" w:lineRule="auto"/>
              <w:jc w:val="left"/>
            </w:pPr>
            <w:r>
              <w:rPr>
                <w:rFonts w:ascii="Times New Roman" w:hAnsi="Times New Roman" w:cs="Times New Roman" w:eastAsia="Times New Roman"/>
                <w:sz w:val="21"/>
              </w:rPr>
              <w:t>The finding that average happiness in a country may not rise as its income per person grows over time.</w:t>
            </w:r>
          </w:p>
        </w:tc>
      </w:tr>
      <w:tr>
        <w:trPr>
          <w:cantSplit w:val="true"/>
        </w:trPr>
        <w:tc>
          <w:tcPr>
            <w:tcW w:type="dxa" w:w="2381"/>
            <w:vAlign w:val="center"/>
          </w:tcPr>
          <w:p>
            <w:pPr>
              <w:spacing w:before="20" w:after="20" w:line="264" w:lineRule="auto"/>
              <w:jc w:val="left"/>
            </w:pPr>
            <w:r>
              <w:rPr>
                <w:rFonts w:ascii="Times New Roman" w:hAnsi="Times New Roman" w:cs="Times New Roman" w:eastAsia="Times New Roman"/>
                <w:b/>
                <w:sz w:val="21"/>
              </w:rPr>
              <w:t>Economic well-being</w:t>
            </w:r>
          </w:p>
        </w:tc>
        <w:tc>
          <w:tcPr>
            <w:tcW w:type="dxa" w:w="6690"/>
            <w:vAlign w:val="center"/>
          </w:tcPr>
          <w:p>
            <w:pPr>
              <w:spacing w:before="20" w:after="20" w:line="264" w:lineRule="auto"/>
              <w:jc w:val="left"/>
            </w:pPr>
            <w:r>
              <w:rPr>
                <w:rFonts w:ascii="Times New Roman" w:hAnsi="Times New Roman" w:cs="Times New Roman" w:eastAsia="Times New Roman"/>
                <w:sz w:val="21"/>
              </w:rPr>
              <w:t>People's command over resources needed for a good life now and in the future, including income, security, equality and wealth.</w:t>
            </w:r>
          </w:p>
        </w:tc>
      </w:tr>
      <w:tr>
        <w:trPr>
          <w:cantSplit w:val="true"/>
        </w:trPr>
        <w:tc>
          <w:tcPr>
            <w:tcW w:type="dxa" w:w="2381"/>
            <w:shd w:val="clear" w:color="auto" w:fill="F2F5FA"/>
            <w:vAlign w:val="center"/>
          </w:tcPr>
          <w:p>
            <w:pPr>
              <w:spacing w:before="20" w:after="20" w:line="264" w:lineRule="auto"/>
              <w:jc w:val="left"/>
            </w:pPr>
            <w:r>
              <w:rPr>
                <w:rFonts w:ascii="Times New Roman" w:hAnsi="Times New Roman" w:cs="Times New Roman" w:eastAsia="Times New Roman"/>
                <w:b/>
                <w:sz w:val="21"/>
              </w:rPr>
              <w:t>GDP per capita</w:t>
            </w:r>
          </w:p>
        </w:tc>
        <w:tc>
          <w:tcPr>
            <w:tcW w:type="dxa" w:w="6690"/>
            <w:shd w:val="clear" w:color="auto" w:fill="F2F5FA"/>
            <w:vAlign w:val="center"/>
          </w:tcPr>
          <w:p>
            <w:pPr>
              <w:spacing w:before="20" w:after="20" w:line="264" w:lineRule="auto"/>
              <w:jc w:val="left"/>
            </w:pPr>
            <w:r>
              <w:rPr>
                <w:rFonts w:ascii="Times New Roman" w:hAnsi="Times New Roman" w:cs="Times New Roman" w:eastAsia="Times New Roman"/>
                <w:sz w:val="21"/>
              </w:rPr>
              <w:t>GDP divided by population; a rough indicator of average income.</w:t>
            </w:r>
          </w:p>
        </w:tc>
      </w:tr>
      <w:tr>
        <w:trPr>
          <w:cantSplit w:val="true"/>
        </w:trPr>
        <w:tc>
          <w:tcPr>
            <w:tcW w:type="dxa" w:w="2381"/>
            <w:vAlign w:val="center"/>
          </w:tcPr>
          <w:p>
            <w:pPr>
              <w:spacing w:before="20" w:after="20" w:line="264" w:lineRule="auto"/>
              <w:jc w:val="left"/>
            </w:pPr>
            <w:r>
              <w:rPr>
                <w:rFonts w:ascii="Times New Roman" w:hAnsi="Times New Roman" w:cs="Times New Roman" w:eastAsia="Times New Roman"/>
                <w:b/>
                <w:sz w:val="21"/>
              </w:rPr>
              <w:t>Gini coefficient</w:t>
            </w:r>
          </w:p>
        </w:tc>
        <w:tc>
          <w:tcPr>
            <w:tcW w:type="dxa" w:w="6690"/>
            <w:vAlign w:val="center"/>
          </w:tcPr>
          <w:p>
            <w:pPr>
              <w:spacing w:before="20" w:after="20" w:line="264" w:lineRule="auto"/>
              <w:jc w:val="left"/>
            </w:pPr>
            <w:r>
              <w:rPr>
                <w:rFonts w:ascii="Times New Roman" w:hAnsi="Times New Roman" w:cs="Times New Roman" w:eastAsia="Times New Roman"/>
                <w:sz w:val="21"/>
              </w:rPr>
              <w:t>A measure of inequality from 0 (everyone has the same income) to 1 or 100 (one person has everything).</w:t>
            </w:r>
          </w:p>
        </w:tc>
      </w:tr>
      <w:tr>
        <w:trPr>
          <w:cantSplit w:val="true"/>
        </w:trPr>
        <w:tc>
          <w:tcPr>
            <w:tcW w:type="dxa" w:w="2381"/>
            <w:shd w:val="clear" w:color="auto" w:fill="F2F5FA"/>
            <w:vAlign w:val="center"/>
          </w:tcPr>
          <w:p>
            <w:pPr>
              <w:spacing w:before="20" w:after="20" w:line="264" w:lineRule="auto"/>
              <w:jc w:val="left"/>
            </w:pPr>
            <w:r>
              <w:rPr>
                <w:rFonts w:ascii="Times New Roman" w:hAnsi="Times New Roman" w:cs="Times New Roman" w:eastAsia="Times New Roman"/>
                <w:b/>
                <w:sz w:val="21"/>
              </w:rPr>
              <w:t>Informal sector</w:t>
            </w:r>
          </w:p>
        </w:tc>
        <w:tc>
          <w:tcPr>
            <w:tcW w:type="dxa" w:w="6690"/>
            <w:shd w:val="clear" w:color="auto" w:fill="F2F5FA"/>
            <w:vAlign w:val="center"/>
          </w:tcPr>
          <w:p>
            <w:pPr>
              <w:spacing w:before="20" w:after="20" w:line="264" w:lineRule="auto"/>
              <w:jc w:val="left"/>
            </w:pPr>
            <w:r>
              <w:rPr>
                <w:rFonts w:ascii="Times New Roman" w:hAnsi="Times New Roman" w:cs="Times New Roman" w:eastAsia="Times New Roman"/>
                <w:sz w:val="21"/>
              </w:rPr>
              <w:t>Economic activity that is not registered or regulated and usually offers no social protection.</w:t>
            </w:r>
          </w:p>
        </w:tc>
      </w:tr>
      <w:tr>
        <w:trPr>
          <w:cantSplit w:val="true"/>
        </w:trPr>
        <w:tc>
          <w:tcPr>
            <w:tcW w:type="dxa" w:w="2381"/>
            <w:vAlign w:val="center"/>
          </w:tcPr>
          <w:p>
            <w:pPr>
              <w:spacing w:before="20" w:after="20" w:line="264" w:lineRule="auto"/>
              <w:jc w:val="left"/>
            </w:pPr>
            <w:r>
              <w:rPr>
                <w:rFonts w:ascii="Times New Roman" w:hAnsi="Times New Roman" w:cs="Times New Roman" w:eastAsia="Times New Roman"/>
                <w:b/>
                <w:sz w:val="21"/>
              </w:rPr>
              <w:t>Natural capital</w:t>
            </w:r>
          </w:p>
        </w:tc>
        <w:tc>
          <w:tcPr>
            <w:tcW w:type="dxa" w:w="6690"/>
            <w:vAlign w:val="center"/>
          </w:tcPr>
          <w:p>
            <w:pPr>
              <w:spacing w:before="20" w:after="20" w:line="264" w:lineRule="auto"/>
              <w:jc w:val="left"/>
            </w:pPr>
            <w:r>
              <w:rPr>
                <w:rFonts w:ascii="Times New Roman" w:hAnsi="Times New Roman" w:cs="Times New Roman" w:eastAsia="Times New Roman"/>
                <w:sz w:val="21"/>
              </w:rPr>
              <w:t>The stock of natural resources (forests, water, soil, minerals, clean air) that supports the economy.</w:t>
            </w:r>
          </w:p>
        </w:tc>
      </w:tr>
      <w:tr>
        <w:trPr>
          <w:cantSplit w:val="true"/>
        </w:trPr>
        <w:tc>
          <w:tcPr>
            <w:tcW w:type="dxa" w:w="2381"/>
            <w:shd w:val="clear" w:color="auto" w:fill="F2F5FA"/>
            <w:vAlign w:val="center"/>
          </w:tcPr>
          <w:p>
            <w:pPr>
              <w:spacing w:before="20" w:after="20" w:line="264" w:lineRule="auto"/>
              <w:jc w:val="left"/>
            </w:pPr>
            <w:r>
              <w:rPr>
                <w:rFonts w:ascii="Times New Roman" w:hAnsi="Times New Roman" w:cs="Times New Roman" w:eastAsia="Times New Roman"/>
                <w:b/>
                <w:sz w:val="21"/>
              </w:rPr>
              <w:t>Nominal GDP</w:t>
            </w:r>
          </w:p>
        </w:tc>
        <w:tc>
          <w:tcPr>
            <w:tcW w:type="dxa" w:w="6690"/>
            <w:shd w:val="clear" w:color="auto" w:fill="F2F5FA"/>
            <w:vAlign w:val="center"/>
          </w:tcPr>
          <w:p>
            <w:pPr>
              <w:spacing w:before="20" w:after="20" w:line="264" w:lineRule="auto"/>
              <w:jc w:val="left"/>
            </w:pPr>
            <w:r>
              <w:rPr>
                <w:rFonts w:ascii="Times New Roman" w:hAnsi="Times New Roman" w:cs="Times New Roman" w:eastAsia="Times New Roman"/>
                <w:sz w:val="21"/>
              </w:rPr>
              <w:t>GDP measured at current prices.</w:t>
            </w:r>
          </w:p>
        </w:tc>
      </w:tr>
      <w:tr>
        <w:trPr>
          <w:cantSplit w:val="true"/>
        </w:trPr>
        <w:tc>
          <w:tcPr>
            <w:tcW w:type="dxa" w:w="2381"/>
            <w:vAlign w:val="center"/>
          </w:tcPr>
          <w:p>
            <w:pPr>
              <w:spacing w:before="20" w:after="20" w:line="264" w:lineRule="auto"/>
              <w:jc w:val="left"/>
            </w:pPr>
            <w:r>
              <w:rPr>
                <w:rFonts w:ascii="Times New Roman" w:hAnsi="Times New Roman" w:cs="Times New Roman" w:eastAsia="Times New Roman"/>
                <w:b/>
                <w:sz w:val="21"/>
              </w:rPr>
              <w:t>Preston curve</w:t>
            </w:r>
          </w:p>
        </w:tc>
        <w:tc>
          <w:tcPr>
            <w:tcW w:type="dxa" w:w="6690"/>
            <w:vAlign w:val="center"/>
          </w:tcPr>
          <w:p>
            <w:pPr>
              <w:spacing w:before="20" w:after="20" w:line="264" w:lineRule="auto"/>
              <w:jc w:val="left"/>
            </w:pPr>
            <w:r>
              <w:rPr>
                <w:rFonts w:ascii="Times New Roman" w:hAnsi="Times New Roman" w:cs="Times New Roman" w:eastAsia="Times New Roman"/>
                <w:sz w:val="21"/>
              </w:rPr>
              <w:t>The relationship between income per person and life expectancy, steep at low incomes and flat at high incomes.</w:t>
            </w:r>
          </w:p>
        </w:tc>
      </w:tr>
      <w:tr>
        <w:trPr>
          <w:cantSplit w:val="true"/>
        </w:trPr>
        <w:tc>
          <w:tcPr>
            <w:tcW w:type="dxa" w:w="2381"/>
            <w:shd w:val="clear" w:color="auto" w:fill="F2F5FA"/>
            <w:vAlign w:val="center"/>
          </w:tcPr>
          <w:p>
            <w:pPr>
              <w:spacing w:before="20" w:after="20" w:line="264" w:lineRule="auto"/>
              <w:jc w:val="left"/>
            </w:pPr>
            <w:r>
              <w:rPr>
                <w:rFonts w:ascii="Times New Roman" w:hAnsi="Times New Roman" w:cs="Times New Roman" w:eastAsia="Times New Roman"/>
                <w:b/>
                <w:sz w:val="21"/>
              </w:rPr>
              <w:t>Purchasing power parity</w:t>
            </w:r>
          </w:p>
        </w:tc>
        <w:tc>
          <w:tcPr>
            <w:tcW w:type="dxa" w:w="6690"/>
            <w:shd w:val="clear" w:color="auto" w:fill="F2F5FA"/>
            <w:vAlign w:val="center"/>
          </w:tcPr>
          <w:p>
            <w:pPr>
              <w:spacing w:before="20" w:after="20" w:line="264" w:lineRule="auto"/>
              <w:jc w:val="left"/>
            </w:pPr>
            <w:r>
              <w:rPr>
                <w:rFonts w:ascii="Times New Roman" w:hAnsi="Times New Roman" w:cs="Times New Roman" w:eastAsia="Times New Roman"/>
                <w:sz w:val="21"/>
              </w:rPr>
              <w:t>An exchange rate that adjusts for differences in price levels between countries.</w:t>
            </w:r>
          </w:p>
        </w:tc>
      </w:tr>
      <w:tr>
        <w:trPr>
          <w:cantSplit w:val="true"/>
        </w:trPr>
        <w:tc>
          <w:tcPr>
            <w:tcW w:type="dxa" w:w="2381"/>
            <w:vAlign w:val="center"/>
          </w:tcPr>
          <w:p>
            <w:pPr>
              <w:spacing w:before="20" w:after="20" w:line="264" w:lineRule="auto"/>
              <w:jc w:val="left"/>
            </w:pPr>
            <w:r>
              <w:rPr>
                <w:rFonts w:ascii="Times New Roman" w:hAnsi="Times New Roman" w:cs="Times New Roman" w:eastAsia="Times New Roman"/>
                <w:b/>
                <w:sz w:val="21"/>
              </w:rPr>
              <w:t>Real GDP</w:t>
            </w:r>
          </w:p>
        </w:tc>
        <w:tc>
          <w:tcPr>
            <w:tcW w:type="dxa" w:w="6690"/>
            <w:vAlign w:val="center"/>
          </w:tcPr>
          <w:p>
            <w:pPr>
              <w:spacing w:before="20" w:after="20" w:line="264" w:lineRule="auto"/>
              <w:jc w:val="left"/>
            </w:pPr>
            <w:r>
              <w:rPr>
                <w:rFonts w:ascii="Times New Roman" w:hAnsi="Times New Roman" w:cs="Times New Roman" w:eastAsia="Times New Roman"/>
                <w:sz w:val="21"/>
              </w:rPr>
              <w:t>GDP measured at constant prices, showing changes in quantity rather than prices.</w:t>
            </w:r>
          </w:p>
        </w:tc>
      </w:tr>
      <w:tr>
        <w:trPr>
          <w:cantSplit w:val="true"/>
        </w:trPr>
        <w:tc>
          <w:tcPr>
            <w:tcW w:type="dxa" w:w="2381"/>
            <w:shd w:val="clear" w:color="auto" w:fill="F2F5FA"/>
            <w:vAlign w:val="center"/>
          </w:tcPr>
          <w:p>
            <w:pPr>
              <w:spacing w:before="20" w:after="20" w:line="264" w:lineRule="auto"/>
              <w:jc w:val="left"/>
            </w:pPr>
            <w:r>
              <w:rPr>
                <w:rFonts w:ascii="Times New Roman" w:hAnsi="Times New Roman" w:cs="Times New Roman" w:eastAsia="Times New Roman"/>
                <w:b/>
                <w:sz w:val="21"/>
              </w:rPr>
              <w:t>Satellite account</w:t>
            </w:r>
          </w:p>
        </w:tc>
        <w:tc>
          <w:tcPr>
            <w:tcW w:type="dxa" w:w="6690"/>
            <w:shd w:val="clear" w:color="auto" w:fill="F2F5FA"/>
            <w:vAlign w:val="center"/>
          </w:tcPr>
          <w:p>
            <w:pPr>
              <w:spacing w:before="20" w:after="20" w:line="264" w:lineRule="auto"/>
              <w:jc w:val="left"/>
            </w:pPr>
            <w:r>
              <w:rPr>
                <w:rFonts w:ascii="Times New Roman" w:hAnsi="Times New Roman" w:cs="Times New Roman" w:eastAsia="Times New Roman"/>
                <w:sz w:val="21"/>
              </w:rPr>
              <w:t>An extension of the national accounts that covers an area such as unpaid work or the environment.</w:t>
            </w:r>
          </w:p>
        </w:tc>
      </w:tr>
    </w:tbl>
    <w:p>
      <w:pPr>
        <w:spacing w:before="0" w:after="160" w:line="240" w:lineRule="auto"/>
      </w:pPr>
    </w:p>
    <w:sectPr w:rsidR="00FC693F" w:rsidRPr="0006063C" w:rsidSect="00034616">
      <w:footerReference w:type="default" r:id="rId13"/>
      <w:headerReference w:type="default" r:id="rId14"/>
      <w:pgSz w:w="11906" w:h="16838"/>
      <w:pgMar w:top="1417" w:right="1417" w:bottom="1247" w:left="1417" w:header="624" w:footer="62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95959"/>
        <w:sz w:val="21"/>
      </w:rPr>
      <w:fldChar w:fldCharType="begin"/>
    </w:r>
    <w:r>
      <w:rPr>
        <w:rFonts w:ascii="Times New Roman" w:hAnsi="Times New Roman" w:cs="Times New Roman" w:eastAsia="Times New Roman"/>
        <w:color w:val="595959"/>
        <w:sz w:val="21"/>
      </w:rPr>
      <w:instrText xml:space="preserve">PAGE</w:instrText>
    </w:r>
    <w:r>
      <w:rPr>
        <w:rFonts w:ascii="Times New Roman" w:hAnsi="Times New Roman" w:cs="Times New Roman" w:eastAsia="Times New Roman"/>
        <w:color w:val="595959"/>
        <w:sz w:val="21"/>
      </w:rPr>
      <w:fldChar w:fldCharType="separate"/>
    </w:r>
    <w:r>
      <w:rPr>
        <w:rFonts w:ascii="Times New Roman" w:hAnsi="Times New Roman" w:cs="Times New Roman" w:eastAsia="Times New Roman"/>
        <w:color w:val="595959"/>
        <w:sz w:val="21"/>
      </w:rPr>
      <w:t>1</w:t>
    </w:r>
    <w:r>
      <w:rPr>
        <w:rFonts w:ascii="Times New Roman" w:hAnsi="Times New Roman" w:cs="Times New Roman" w:eastAsia="Times New Roman"/>
        <w:color w:val="595959"/>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95959"/>
        <w:sz w:val="21"/>
      </w:rPr>
      <w:fldChar w:fldCharType="begin"/>
    </w:r>
    <w:r>
      <w:rPr>
        <w:rFonts w:ascii="Times New Roman" w:hAnsi="Times New Roman" w:cs="Times New Roman" w:eastAsia="Times New Roman"/>
        <w:color w:val="595959"/>
        <w:sz w:val="21"/>
      </w:rPr>
      <w:instrText xml:space="preserve">PAGE</w:instrText>
    </w:r>
    <w:r>
      <w:rPr>
        <w:rFonts w:ascii="Times New Roman" w:hAnsi="Times New Roman" w:cs="Times New Roman" w:eastAsia="Times New Roman"/>
        <w:color w:val="595959"/>
        <w:sz w:val="21"/>
      </w:rPr>
      <w:fldChar w:fldCharType="separate"/>
    </w:r>
    <w:r>
      <w:rPr>
        <w:rFonts w:ascii="Times New Roman" w:hAnsi="Times New Roman" w:cs="Times New Roman" w:eastAsia="Times New Roman"/>
        <w:color w:val="595959"/>
        <w:sz w:val="21"/>
      </w:rPr>
      <w:t>1</w:t>
    </w:r>
    <w:r>
      <w:rPr>
        <w:rFonts w:ascii="Times New Roman" w:hAnsi="Times New Roman" w:cs="Times New Roman" w:eastAsia="Times New Roman"/>
        <w:color w:val="595959"/>
        <w:sz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A6A6A6"/>
      </w:pBdr>
    </w:pPr>
    <w:r>
      <w:rPr>
        <w:rFonts w:ascii="Times New Roman" w:hAnsi="Times New Roman" w:cs="Times New Roman" w:eastAsia="Times New Roman"/>
        <w:i/>
        <w:color w:val="595959"/>
        <w:sz w:val="19"/>
      </w:rPr>
      <w:t>GDP Growth and Economic Well-Being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imes New Roman" w:hAnsi="Times New Roman" w:eastAsia="Times New Roman" w:cs="Times New Roman"/>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imes New Roman" w:hAnsi="Times New Roman" w:eastAsia="Times New Roman" w:cs="Times New Roman"/>
      <w:b/>
      <w:bCs/>
      <w:i w:val="0"/>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eastAsia="Times New Roman" w:cs="Times New Roman"/>
      <w:b/>
      <w:bCs/>
      <w:i/>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1F3864"/>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071" w:val="right" w:leader="dot"/>
      </w:tabs>
      <w:spacing w:before="40" w:after="0" w:line="240" w:lineRule="auto"/>
      <w:ind w:left="0"/>
    </w:pPr>
    <w:rPr>
      <w:rFonts w:ascii="Times New Roman" w:hAnsi="Times New Roman"/>
      <w:b/>
      <w:sz w:val="23"/>
    </w:rPr>
  </w:style>
  <w:style w:type="paragraph" w:customStyle="1" w:styleId="toc2">
    <w:name w:val="toc 2"/>
    <w:basedOn w:val="Normal"/>
    <w:pPr>
      <w:tabs>
        <w:tab w:pos="9071" w:val="right" w:leader="dot"/>
      </w:tabs>
      <w:spacing w:before="0" w:after="0" w:line="240" w:lineRule="auto"/>
      <w:ind w:left="340"/>
    </w:pPr>
    <w:rPr>
      <w:rFonts w:ascii="Times New Roman" w:hAnsi="Times New Roman"/>
      <w:b w:val="0"/>
      <w:sz w:val="23"/>
    </w:rPr>
  </w:style>
  <w:style w:type="paragraph" w:customStyle="1" w:styleId="tableoffigures">
    <w:name w:val="table of figures"/>
    <w:basedOn w:val="Normal"/>
    <w:pPr>
      <w:tabs>
        <w:tab w:pos="9071" w:val="right" w:leader="dot"/>
      </w:tabs>
      <w:spacing w:before="0" w:after="0" w:line="240" w:lineRule="auto"/>
      <w:ind w:left="0"/>
    </w:pPr>
    <w:rPr>
      <w:rFonts w:ascii="Times New Roman" w:hAnsi="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