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5CB5"/>
          <w:sz w:val="44"/>
        </w:rPr>
        <w:t>Presenter Scripts — CLIM-715 Final Presentation (v2 deck)</w:t>
      </w:r>
    </w:p>
    <w:p>
      <w:r>
        <w:rPr>
          <w:i/>
          <w:color w:val="2C3142"/>
          <w:sz w:val="22"/>
        </w:rPr>
        <w:t>Compiled speaker notes for slides 10–19 of the 19-slide v2 deck.</w:t>
      </w:r>
    </w:p>
    <w:p>
      <w:pPr>
        <w:spacing w:after="360"/>
      </w:pPr>
      <w:r>
        <w:rPr>
          <w:color w:val="2C3142"/>
          <w:sz w:val="21"/>
        </w:rPr>
        <w:t>Slides 1–9 are intro/setup framing (Title, UHI hook, column anatomy, governing equation, SEB closure, three substrates, BCs, IC, θ-method family) and do not need narrated scripts. The ten scripts below cover the results arc — five report figures, two report tables, the κ_top mechanism slide, the SHAP attribution result, and the Conclusions. Each script is sized for 60–90 seconds of spoken delivery; total run time across slides 10–19 is approximately 11–13 minutes. Bolded phrases are speaker-emphasis cues. Δt = 600 s is consistently framed as a coarse stress-test value rather than a 'typical climate-model time step,' matching the report's revised wording.</w:t>
      </w:r>
    </w:p>
    <w:p>
      <w:pPr>
        <w:spacing w:before="280" w:after="40"/>
      </w:pPr>
      <w:r>
        <w:rPr>
          <w:b/>
          <w:color w:val="C2492A"/>
          <w:sz w:val="34"/>
        </w:rPr>
        <w:t>Slide 10</w:t>
      </w:r>
    </w:p>
    <w:p>
      <w:pPr>
        <w:spacing w:after="120"/>
      </w:pPr>
      <w:r>
        <w:rPr>
          <w:b/>
          <w:color w:val="6B5CB5"/>
          <w:sz w:val="25"/>
        </w:rPr>
        <w:t>Figure 1 — Von Neumann amplification (|A| vs k·Δz, three schemes)</w:t>
      </w:r>
    </w:p>
    <w:p>
      <w:pPr>
        <w:spacing w:after="400" w:line="336" w:lineRule="auto"/>
      </w:pPr>
      <w:r>
        <w:rPr>
          <w:sz w:val="23"/>
        </w:rPr>
        <w:t xml:space="preserve">This figure is the von Neumann stability analysis — we drop one sine wave into the column and ask what each scheme does to it in a single time step. The x-axis is the wavelength of that wave measured in grid cells, with the right edge being the shortest wave the grid can resolve, two cells across. The y-axis is the amplification factor — anything above the dashed line at 1 means the wave grows each step, which is instability. The four coloured curves are values of ν, the diffusion number — a single dial that combines the time step, the grid spacing, and the substrate's diffusivity. </w:t>
      </w:r>
      <w:r>
        <w:rPr>
          <w:b/>
          <w:sz w:val="23"/>
        </w:rPr>
        <w:t>Look at FTCS on the left</w:t>
      </w:r>
      <w:r>
        <w:rPr>
          <w:sz w:val="23"/>
        </w:rPr>
        <w:t xml:space="preserve"> — at ν = 0.5 the worst wave sits right on the bound, and at ν = 5 it explodes to |A| ≈ 19, the textbook explicit-scheme instability. </w:t>
      </w:r>
      <w:r>
        <w:rPr>
          <w:b/>
          <w:sz w:val="23"/>
        </w:rPr>
        <w:t>BTCS in the middle</w:t>
      </w:r>
      <w:r>
        <w:rPr>
          <w:sz w:val="23"/>
        </w:rPr>
        <w:t xml:space="preserve"> stays below 1 for every ν — that's unconditional stability — but at large ν it damps too aggressively, which is the source of its over-amplification bias on coarse Δt. </w:t>
      </w:r>
      <w:r>
        <w:rPr>
          <w:b/>
          <w:sz w:val="23"/>
        </w:rPr>
        <w:t>Crank–Nicolson on the right</w:t>
      </w:r>
      <w:r>
        <w:rPr>
          <w:sz w:val="23"/>
        </w:rPr>
        <w:t xml:space="preserve"> also stays at or below 1, but at ν = 5 it barely damps the shortest wave, dropping only to about 0.82 — the noise mode is preserved, not killed. So three panels, three different failure modes — FTCS blows up, BTCS over-damps, CN can't damp the noise mode at large ν — and everything we see in the rest of the deck is a downstream consequence of these three trade-offs.</w:t>
      </w:r>
    </w:p>
    <w:p>
      <w:pPr>
        <w:spacing w:before="280" w:after="40"/>
      </w:pPr>
      <w:r>
        <w:rPr>
          <w:b/>
          <w:color w:val="C2492A"/>
          <w:sz w:val="34"/>
        </w:rPr>
        <w:t>Slide 11</w:t>
      </w:r>
    </w:p>
    <w:p>
      <w:pPr>
        <w:spacing w:after="120"/>
      </w:pPr>
      <w:r>
        <w:rPr>
          <w:b/>
          <w:color w:val="6B5CB5"/>
          <w:sz w:val="25"/>
        </w:rPr>
        <w:t>Figure 2 — Damping-depth verification (Test 1, three panels)</w:t>
      </w:r>
    </w:p>
    <w:p>
      <w:pPr>
        <w:spacing w:after="400" w:line="336" w:lineRule="auto"/>
      </w:pPr>
      <w:r>
        <w:rPr>
          <w:sz w:val="23"/>
        </w:rPr>
        <w:t>This is the verification test — Test 1 — where we run all three schemes against a problem that has a known analytical answer. The setup is a uniform sandy-loam column with a prescribed sinusoidal temperature at the top, and the Carslaw–Jaeger analytical solution gives us the closed-form benchmark, shown as the black line in every panel. Panel (a) is the vertical temperature profile at peak surface forcing — you see the daily wave decaying exponentially with depth and dying out by about 50 cm, and all three numerical schemes lie on top of the analytical curve. Panel (b) is the surface temperature over 24 hours — a clean sinusoid that the schemes reproduce to within fractions of a kelvin. Panel (c) is the surface ground heat flux, and the key feature is that G peaks about three hours before T does — that's the π/4 phase lead from the analytical solution, and all schemes capture it correctly. So before we touch the urban substrates or the prognostic energy balance, this slide confirms the heat-conduction kernel itself is implemented correctly — any differences we see between schemes from here on are real numerical effects, not bugs.</w:t>
      </w:r>
    </w:p>
    <w:p>
      <w:pPr>
        <w:spacing w:before="280" w:after="40"/>
      </w:pPr>
      <w:r>
        <w:rPr>
          <w:b/>
          <w:color w:val="C2492A"/>
          <w:sz w:val="34"/>
        </w:rPr>
        <w:t>Slide 12</w:t>
      </w:r>
    </w:p>
    <w:p>
      <w:pPr>
        <w:spacing w:after="120"/>
      </w:pPr>
      <w:r>
        <w:rPr>
          <w:b/>
          <w:color w:val="6B5CB5"/>
          <w:sz w:val="25"/>
        </w:rPr>
        <w:t>Figure 3 — Day-2 Tₛ at Δt = 15 s, three substrates, three schemes</w:t>
      </w:r>
    </w:p>
    <w:p>
      <w:pPr>
        <w:spacing w:after="400" w:line="336" w:lineRule="auto"/>
      </w:pPr>
      <w:r>
        <w:rPr>
          <w:sz w:val="23"/>
        </w:rPr>
        <w:t>We're now in Test 2, the prognostic experiment — the surface temperature is no longer prescribed, it emerges from balancing radiation, sensible heat, and ground flux. Three panels, three substrates: asphalt road, concrete roof, bare soil. Δt is 15 seconds in every panel, which is below the FTCS stability bound on all three substrates, so the three schemes overlap to plotting precision — at small Δt the time-stepping choice doesn't matter. What does matter is the substrate: asphalt peaks at 50 °C, concrete at 45 °C, and — slightly surprisingly — bare soil at 51 °C, the hottest of the three. The soil is hottest because its low thermal diffusivity traps absorbed heat near the surface, and we've assumed LE = 0 so there's no evaporative cooling to take that heat away. These curves are the high-resolution reference: every Δt = 600 s run on the next slide will be measured against this truth.</w:t>
      </w:r>
    </w:p>
    <w:p>
      <w:pPr>
        <w:spacing w:before="280" w:after="40"/>
      </w:pPr>
      <w:r>
        <w:rPr>
          <w:b/>
          <w:color w:val="C2492A"/>
          <w:sz w:val="34"/>
        </w:rPr>
        <w:t>Slide 13</w:t>
      </w:r>
    </w:p>
    <w:p>
      <w:pPr>
        <w:spacing w:after="120"/>
      </w:pPr>
      <w:r>
        <w:rPr>
          <w:b/>
          <w:color w:val="6B5CB5"/>
          <w:sz w:val="25"/>
        </w:rPr>
        <w:t>Figure 4 — Day-2 G at Δt = 600 s vs the FTCS-15 s reference</w:t>
      </w:r>
    </w:p>
    <w:p>
      <w:pPr>
        <w:spacing w:after="400" w:line="336" w:lineRule="auto"/>
      </w:pPr>
      <w:r>
        <w:rPr>
          <w:sz w:val="23"/>
        </w:rPr>
        <w:t>This is the headline result of the whole project — we've cranked Δt up from 15 seconds to 600 seconds, a coarse stress-test value approaching the time steps used in climate-model land-surface coupling, and the question is which scheme can survive it. The thick black line in every panel is the FTCS-at-15-seconds reference from the previous slide — that's our truth. On asphalt and concrete, FTCS blows up immediately — you can see the 'BLEW UP' labels — because ν exceeds the stability bound by 18 and 35 times respectively. BTCS doesn't blow up, but it systematically overshoots the daytime G peak by 40 % on both stiff substrates — stable, but quantitatively very wrong. Crank–Nicolson is the only scheme that tracks the reference within a few watts per square metre on every substrate — the practical winner at coarse Δt on urban substrates. On bare soil, even FTCS barely survives because the low diffusivity keeps ν close to the bound — that's why traditional rural land-surface schemes have gotten away with explicit time stepping, and why urban substrates are the harder problem.</w:t>
      </w:r>
    </w:p>
    <w:p>
      <w:pPr>
        <w:spacing w:before="280" w:after="40"/>
      </w:pPr>
      <w:r>
        <w:rPr>
          <w:b/>
          <w:color w:val="C2492A"/>
          <w:sz w:val="34"/>
        </w:rPr>
        <w:t>Slide 14</w:t>
      </w:r>
    </w:p>
    <w:p>
      <w:pPr>
        <w:spacing w:after="120"/>
      </w:pPr>
      <w:r>
        <w:rPr>
          <w:b/>
          <w:color w:val="6B5CB5"/>
          <w:sz w:val="25"/>
        </w:rPr>
        <w:t>Figure 5 — Where the error lives: vertical Tₛ(z) in the asphalt column</w:t>
      </w:r>
    </w:p>
    <w:p>
      <w:pPr>
        <w:spacing w:after="400" w:line="336" w:lineRule="auto"/>
      </w:pPr>
      <w:r>
        <w:rPr>
          <w:sz w:val="23"/>
        </w:rPr>
        <w:t>Figure 4 showed BTCS overshooting the asphalt's daytime G peak by 40 % — this figure zooms into the column to see where in the depth that error actually lives. We plot vertical T profiles in the asphalt road, top 50 cm only, at three times on day 2 — 6 AM, noon, and 6 PM — with the FTCS-at-15-seconds reference in thick black. At 6 AM during the slow nighttime cooling, the schemes overlap to plotting precision — nothing fast is happening, BTCS handles it fine. At noon, peak forcing, BTCS and CN sit about half a kelvin warmer than the reference in the top centimetre — the first sign of error. At 6 PM right after sunset, when the surface is cooling fast, BTCS holds the top of the column 2 kelvin above the truth, and the deviation is entirely concentrated in the top 5 cm — exactly the asphalt layer. So the 40 % G error from the previous slide isn't a column-wide problem — it's a thin near-surface problem in a single material layer, and CN with its second-order accuracy follows the rapid cooling far better than BTCS can.</w:t>
      </w:r>
    </w:p>
    <w:p>
      <w:pPr>
        <w:spacing w:before="280" w:after="40"/>
      </w:pPr>
      <w:r>
        <w:rPr>
          <w:b/>
          <w:color w:val="C2492A"/>
          <w:sz w:val="34"/>
        </w:rPr>
        <w:t>Slide 15</w:t>
      </w:r>
    </w:p>
    <w:p>
      <w:pPr>
        <w:spacing w:after="120"/>
      </w:pPr>
      <w:r>
        <w:rPr>
          <w:b/>
          <w:color w:val="6B5CB5"/>
          <w:sz w:val="25"/>
        </w:rPr>
        <w:t>Table 2 — Cross-substrate quantitative summary (the 27-cell matrix)</w:t>
      </w:r>
    </w:p>
    <w:p>
      <w:pPr>
        <w:spacing w:after="400" w:line="336" w:lineRule="auto"/>
      </w:pPr>
      <w:r>
        <w:rPr>
          <w:sz w:val="23"/>
        </w:rPr>
        <w:t>This table is the entire Test 2 experiment condensed into one place — 27 cells, three substrates by three schemes by three time steps. Each cell has three numbers separated by slashes: the diurnal G amplitude relative to the truth, the surface-temperature RMSE in kelvins, and the daily storage ratio. The blank cells say 'BLEW UP' because that's FTCS at 60 s on the concrete roof and FTCS at 600 s on every impervious substrate — those runs literally can't finish. Three patterns to take home from the table. First, at the 600-second column the cross-substrate ordering of RMSE is consistent: soil errors are about a third of asphalt, which are about two-thirds of roof — exactly the κ_top story we'll see on the mechanism slide. Second, in every single cell, CN errors are about half of BTCS — that's second-order versus first-order temporal accuracy showing up directly. Third, look at the rightmost number in every cell: every storage ratio is within five per cent of unity, even where the amplitude is inflated by 40 % — the error is symmetric day-and-night, so the daily mean is preserved. So the bottom line: BTCS and CN both get the daily energy budget right at any time step, but only CN delivers a usable diurnal amplitude at coarse Δt on urban substrates.</w:t>
      </w:r>
    </w:p>
    <w:p>
      <w:pPr>
        <w:spacing w:before="280" w:after="40"/>
      </w:pPr>
      <w:r>
        <w:rPr>
          <w:b/>
          <w:color w:val="C2492A"/>
          <w:sz w:val="34"/>
        </w:rPr>
        <w:t>Slide 16</w:t>
      </w:r>
    </w:p>
    <w:p>
      <w:pPr>
        <w:spacing w:after="120"/>
      </w:pPr>
      <w:r>
        <w:rPr>
          <w:b/>
          <w:color w:val="6B5CB5"/>
          <w:sz w:val="25"/>
        </w:rPr>
        <w:t>Table 3 — Δt-refinement ratios (smoking gun for operator splitting)</w:t>
      </w:r>
    </w:p>
    <w:p>
      <w:pPr>
        <w:spacing w:after="400" w:line="336" w:lineRule="auto"/>
      </w:pPr>
      <w:r>
        <w:rPr>
          <w:sz w:val="23"/>
        </w:rPr>
        <w:t xml:space="preserve">Table 3 is the most important diagnostic in the whole project — it tells us what kind of error we're actually dealing with. The two RMSE columns are the temperature errors at Δt = 60 seconds and Δt = 600 seconds; the rightmost column is just the ratio of the two. When you change Δt by a factor of 10 and the error changes by a factor of 10, that's the textbook signature of a first-order error in Δt. Look down that column: every single value is close to 10 — between 8.2 and 10.2 — for both BTCS and CN, on every substrate. For BTCS that's expected: BTCS is intrinsically a first-order scheme. </w:t>
      </w:r>
      <w:r>
        <w:rPr>
          <w:b/>
          <w:sz w:val="23"/>
        </w:rPr>
        <w:t>But Crank–Nicolson is intrinsically second-order — its own truncation error would have given a ratio of 100, not 10.</w:t>
      </w:r>
      <w:r>
        <w:rPr>
          <w:sz w:val="23"/>
        </w:rPr>
        <w:t xml:space="preserve"> So CN showing a ratio of 10 means CN's second-order accuracy is being masked by a separate first-order error that both schemes see — and that error is the operator splitting between the column update and the surface energy balance update. This is the empirical evidence that licenses the next slide's κ_top argument and the SHAP confirmation that follows.</w:t>
      </w:r>
    </w:p>
    <w:p>
      <w:pPr>
        <w:spacing w:before="280" w:after="40"/>
      </w:pPr>
      <w:r>
        <w:rPr>
          <w:b/>
          <w:color w:val="C2492A"/>
          <w:sz w:val="34"/>
        </w:rPr>
        <w:t>Slide 17</w:t>
      </w:r>
    </w:p>
    <w:p>
      <w:pPr>
        <w:spacing w:after="120"/>
      </w:pPr>
      <w:r>
        <w:rPr>
          <w:b/>
          <w:color w:val="6B5CB5"/>
          <w:sz w:val="25"/>
        </w:rPr>
        <w:t>Mechanism — why κ_top should dominate the BTCS coarse-Δt error</w:t>
      </w:r>
    </w:p>
    <w:p>
      <w:pPr>
        <w:spacing w:after="400" w:line="336" w:lineRule="auto"/>
      </w:pPr>
      <w:r>
        <w:rPr>
          <w:sz w:val="23"/>
        </w:rPr>
        <w:t xml:space="preserve">We've seen what the BTCS error looks like in the figures; this slide argues from the mechanism — operator splitting plus stability theory — that the error should scale with one specific substrate parameter, κ_top, so the SHAP attribution on the next slide is a test of a physically motivated prediction, not an after-the-fact data exercise. Card 1 has the smoking gun: the Δt-refinement ratios from Section 5.2 — RMSE grows by a factor of about ten when Δt grows by a factor of ten, for both BTCS and CN, on every substrate. A ratio of ten when Δt scales by ten is the textbook signature of a first-order error — expected for BTCS, but </w:t>
      </w:r>
      <w:r>
        <w:rPr>
          <w:b/>
          <w:sz w:val="23"/>
        </w:rPr>
        <w:t>Crank–Nicolson is intrinsically second-order, so CN by itself would have given a ratio near a hundred; observing ten means CN's own truncation is being masked by a separate first-order error.</w:t>
      </w:r>
      <w:r>
        <w:rPr>
          <w:sz w:val="23"/>
        </w:rPr>
        <w:t xml:space="preserve"> That separate error is the column-first-then-SEB </w:t>
      </w:r>
      <w:r>
        <w:rPr>
          <w:b/>
          <w:sz w:val="23"/>
        </w:rPr>
        <w:t>Lie operator splitting</w:t>
      </w:r>
      <w:r>
        <w:rPr>
          <w:sz w:val="23"/>
        </w:rPr>
        <w:t xml:space="preserve"> — the column relaxes implicitly toward equilibrium with the OLD surface temperature, then the surface jumps to a new value: Notes #10 Section 8 calls this 'equilibrium with respect to only one process,' and the gap is first-order in Δt regardless of what scheme sits inside each sub-step. Card 2 gives the prefactor: the size of that per-step equilibrium gap depends on how fast the top cell can re-equilibrate within one Δt — the relaxation timescale is </w:t>
      </w:r>
      <w:r>
        <w:rPr>
          <w:b/>
          <w:sz w:val="23"/>
        </w:rPr>
        <w:t>τ_top equals Δz squared over κ_top</w:t>
      </w:r>
      <w:r>
        <w:rPr>
          <w:sz w:val="23"/>
        </w:rPr>
        <w:t xml:space="preserve"> — so high-κ_top substrates can't keep up with the SEB swing at coarse Δt and accumulate larger errors. Card 3 is the unifying statement from Section 5.1: the </w:t>
      </w:r>
      <w:r>
        <w:rPr>
          <w:b/>
          <w:sz w:val="23"/>
        </w:rPr>
        <w:t>same κ_top that sets the FTCS stability bound, Δt_crit equals Δz squared over 2κ_top, also sets the BTCS splitting-error prefactor</w:t>
      </w:r>
      <w:r>
        <w:rPr>
          <w:sz w:val="23"/>
        </w:rPr>
        <w:t xml:space="preserve"> — a single substrate parameter governs both failure modes, and that is why §5.3 argues that bulk admittance alone cannot explain the cross-substrate ranking, since the asphalt-to-roof admittance ratio is 1-to-1.5 but the observed error ratio is 1-to-1.75. So the bottom band states the </w:t>
      </w:r>
      <w:r>
        <w:rPr>
          <w:b/>
          <w:sz w:val="23"/>
        </w:rPr>
        <w:t>testable a-priori prediction</w:t>
      </w:r>
      <w:r>
        <w:rPr>
          <w:sz w:val="23"/>
        </w:rPr>
        <w:t>: across an ensemble of urban substrates, the top predictor of BTCS coarse-Δt error should be κ_top, with admittance as a clear second and layer-structure descriptors as a distant third — and the next slide puts exactly that prediction to the test on 150 random columns.</w:t>
      </w:r>
    </w:p>
    <w:p>
      <w:pPr>
        <w:spacing w:before="280" w:after="40"/>
      </w:pPr>
      <w:r>
        <w:rPr>
          <w:b/>
          <w:color w:val="C2492A"/>
          <w:sz w:val="34"/>
        </w:rPr>
        <w:t>Slide 18</w:t>
      </w:r>
    </w:p>
    <w:p>
      <w:pPr>
        <w:spacing w:after="120"/>
      </w:pPr>
      <w:r>
        <w:rPr>
          <w:b/>
          <w:color w:val="6B5CB5"/>
          <w:sz w:val="25"/>
        </w:rPr>
        <w:t>Figure 6 — SHAP attribution result (four panels, κ_top dominates)</w:t>
      </w:r>
    </w:p>
    <w:p>
      <w:pPr>
        <w:spacing w:after="400" w:line="336" w:lineRule="auto"/>
      </w:pPr>
      <w:r>
        <w:rPr>
          <w:sz w:val="23"/>
        </w:rPr>
        <w:t xml:space="preserve">The previous slide made a prediction — that κ_top, the diffusivity of the top centimetre of the substrate, should be the main thing that controls how big the BTCS error gets. This slide is the test of that prediction, and it uses a completely different method. We made up 150 random urban substrates on the computer — each one has three layers with different conductivity and heat capacity, covering a wide range of materials you might find in a city, from soft soils to dense pavements. For every one of those 150 substrates, we ran two simulations: BTCS at the coarse Δt of 600 seconds, and a reference run at 15 seconds — and the error between them is our score for how badly that substrate suffers from BTCS. Then we used a machine-learning tool called SHAP to ask: out of six substrate properties, which one best predicts the error? </w:t>
      </w:r>
      <w:r>
        <w:rPr>
          <w:b/>
          <w:sz w:val="23"/>
        </w:rPr>
        <w:t>Panel (a) on the top-left is the headline</w:t>
      </w:r>
      <w:r>
        <w:rPr>
          <w:sz w:val="23"/>
        </w:rPr>
        <w:t xml:space="preserve"> — each bar shows one property's importance, and κ_top is the longest bar by a wide margin, three to four times longer than anything else, exactly what the previous slide predicted from physics. Panel (b) on the top-right zooms into that κ_top story — every dot is one of our 150 substrates, and the pattern is clean: higher κ_top, bigger error, with admittance shown in colour shifting the slope a little. </w:t>
      </w:r>
      <w:r>
        <w:rPr>
          <w:b/>
          <w:sz w:val="23"/>
        </w:rPr>
        <w:t>Panel (c) on the bottom-left is a clever follow-up</w:t>
      </w:r>
      <w:r>
        <w:rPr>
          <w:sz w:val="23"/>
        </w:rPr>
        <w:t xml:space="preserve"> — we hide κ_top from the model and ask which of the remaining five properties matters most now, and admittance jumps to the top, exactly the second-place finish the physics argument predicted. Panel (d) on the bottom-right is the sanity check on the model itself — the dots sit close to the 1-to-1 line for the training data, but when we test on data the model hasn't seen the score drops, so the ranking of features is trustworthy, but 150 substrates isn't enough to predict the exact size of each error. </w:t>
      </w:r>
      <w:r>
        <w:rPr>
          <w:b/>
          <w:sz w:val="23"/>
        </w:rPr>
        <w:t>Here's the punchline:</w:t>
      </w:r>
      <w:r>
        <w:rPr>
          <w:sz w:val="23"/>
        </w:rPr>
        <w:t xml:space="preserve"> the previous slide picked κ_top using physics, this slide picks κ_top using machine learning on 150 random substrates — two completely different methods with nothing in common, and they give the same answer, which is the strongest kind of evidence science offers.</w:t>
      </w:r>
    </w:p>
    <w:p>
      <w:pPr>
        <w:spacing w:before="280" w:after="40"/>
      </w:pPr>
      <w:r>
        <w:rPr>
          <w:b/>
          <w:color w:val="C2492A"/>
          <w:sz w:val="34"/>
        </w:rPr>
        <w:t>Slide 19</w:t>
      </w:r>
    </w:p>
    <w:p>
      <w:pPr>
        <w:spacing w:after="120"/>
      </w:pPr>
      <w:r>
        <w:rPr>
          <w:b/>
          <w:color w:val="6B5CB5"/>
          <w:sz w:val="25"/>
        </w:rPr>
        <w:t>Conclusions — four findings and what they mean for urban climate models</w:t>
      </w:r>
    </w:p>
    <w:p>
      <w:pPr>
        <w:spacing w:after="400" w:line="336" w:lineRule="auto"/>
      </w:pPr>
      <w:r>
        <w:rPr>
          <w:sz w:val="23"/>
        </w:rPr>
        <w:t xml:space="preserve">Let me close by pulling the four findings together — and what they mean for anyone building an urban land-surface scheme. </w:t>
      </w:r>
      <w:r>
        <w:rPr>
          <w:b/>
          <w:sz w:val="23"/>
        </w:rPr>
        <w:t>First</w:t>
      </w:r>
      <w:r>
        <w:rPr>
          <w:sz w:val="23"/>
        </w:rPr>
        <w:t xml:space="preserve">, FTCS is structurally out — the stability bound is 17 seconds on the concrete deck and 33 seconds on asphalt, both below any time step a real model uses, so explicit time-stepping is ruled out by physics, not by tuning. </w:t>
      </w:r>
      <w:r>
        <w:rPr>
          <w:b/>
          <w:sz w:val="23"/>
        </w:rPr>
        <w:t>Second</w:t>
      </w:r>
      <w:r>
        <w:rPr>
          <w:sz w:val="23"/>
        </w:rPr>
        <w:t xml:space="preserve">, the implicit schemes survive every run but they're not equally accurate — at coarse Δt, BTCS over-amplifies the daytime ground heat flux by 40 percent on asphalt and concrete, while Crank–Nicolson cuts that to about 21 percent, half the error for the same Δt. </w:t>
      </w:r>
      <w:r>
        <w:rPr>
          <w:b/>
          <w:sz w:val="23"/>
        </w:rPr>
        <w:t>Third</w:t>
      </w:r>
      <w:r>
        <w:rPr>
          <w:sz w:val="23"/>
        </w:rPr>
        <w:t xml:space="preserve">, the error isn't BTCS's own truncation — refinement ratios of about 10 for both BTCS and CN tell us the dominant error is the operator splitting between the column update and the surface energy balance, and the SHAP attribution identifies κ_top, the top-cell diffusivity, as the substrate parameter that sets its magnitude. </w:t>
      </w:r>
      <w:r>
        <w:rPr>
          <w:b/>
          <w:sz w:val="23"/>
        </w:rPr>
        <w:t>Fourth</w:t>
      </w:r>
      <w:r>
        <w:rPr>
          <w:sz w:val="23"/>
        </w:rPr>
        <w:t xml:space="preserve">, the daily-mean ground heat storage is preserved across schemes within plus-or-minus 5 percent, so the bias isn't in the daily mean of the urban heat island — it's in the diurnal range, with simulated nights too warm and mornings too sharp. </w:t>
      </w:r>
      <w:r>
        <w:rPr>
          <w:b/>
          <w:sz w:val="23"/>
        </w:rPr>
        <w:t>The practical takeaway</w:t>
      </w:r>
      <w:r>
        <w:rPr>
          <w:sz w:val="23"/>
        </w:rPr>
        <w:t xml:space="preserve"> is simple: at coarse Δt on urban substrates, use Crank–Nicolson over BTCS — it cuts the error in half — and if you can afford it, replace the column-then-SEB splitting with a fully coupled solve, which removes the splitting error entirely. </w:t>
      </w:r>
      <w:r>
        <w:rPr>
          <w:b/>
          <w:sz w:val="23"/>
        </w:rPr>
        <w:t>We're aware of the limitations</w:t>
      </w:r>
      <w:r>
        <w:rPr>
          <w:sz w:val="23"/>
        </w:rPr>
        <w:t xml:space="preserve"> — strict-impervious surfaces with no latent flux, symmetric synthetic forcing, single columns rather than facet-weighted urban canopies — and the natural next step is to couple this diagnostic framework to a real urban canopy scheme like WRF-SLUCM with city-specific substrate composition. </w:t>
      </w:r>
      <w:r>
        <w:rPr>
          <w:b/>
          <w:sz w:val="23"/>
        </w:rPr>
        <w:t>The one-sentence summary</w:t>
      </w:r>
      <w:r>
        <w:rPr>
          <w:sz w:val="23"/>
        </w:rPr>
        <w:t>: the time-integration scheme matters as much as the substrate physics, and once you control for it, κ_top alone tells you most of what you need to know about how badly each scheme will fail.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