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5CB5"/>
          <w:sz w:val="44"/>
        </w:rPr>
        <w:t>CLIM-715 Ground Flux Experiment</w:t>
      </w:r>
    </w:p>
    <w:p>
      <w:r>
        <w:rPr>
          <w:i/>
          <w:color w:val="4A5066"/>
          <w:sz w:val="24"/>
        </w:rPr>
        <w:t>Everything you need to explain the experiment in one sitting.</w:t>
      </w:r>
    </w:p>
    <w:p>
      <w:r>
        <w:rPr>
          <w:i/>
          <w:color w:val="4A5066"/>
          <w:sz w:val="18"/>
        </w:rPr>
        <w:t>Source: run_experiments.py + modified_full_report_1.docx. Built 2026-05-11.</w:t>
      </w:r>
    </w:p>
    <w:p>
      <w:pPr>
        <w:spacing w:before="280" w:after="120"/>
      </w:pPr>
      <w:r>
        <w:rPr>
          <w:b/>
          <w:color w:val="6B5CB5"/>
          <w:sz w:val="32"/>
        </w:rPr>
        <w:t>1. The Big Picture (30-second version)</w:t>
      </w:r>
    </w:p>
    <w:p>
      <w:pPr>
        <w:spacing w:after="120"/>
      </w:pPr>
      <w:r>
        <w:t>We simulate one-dimensional heat conduction through three urban substrate columns (asphalt road, concrete roof, bare soil), each 2 metres deep, driven by a synthetic diurnal cycle of solar radiation and air temperature. We solve the heat equation using three different finite-difference schemes (FTCS, BTCS, Crank-Nicolson) at three different time steps (15 s, 60 s, 600 s). The surface temperature is computed at every step by solving the surface energy balance with Newton iteration. We then measure how the schemes' surface ground heat flux deviates from a fine-Δt reference.</w:t>
      </w:r>
    </w:p>
    <w:p>
      <w:pPr>
        <w:spacing w:before="160" w:after="160"/>
        <w:ind w:left="432" w:right="432"/>
      </w:pPr>
      <w:r>
        <w:rPr>
          <w:i/>
          <w:color w:val="2C8A83"/>
        </w:rPr>
        <w:t>Headline finding: at Δt = 600 s, BTCS over-amplifies the diurnal G amplitude by 40 % on asphalt and concrete, 19 % on bare soil; Crank-Nicolson halves these errors. The dominant error is operator-splitting between the column and SEB updates.</w:t>
      </w:r>
    </w:p>
    <w:p>
      <w:pPr>
        <w:spacing w:before="280" w:after="120"/>
      </w:pPr>
      <w:r>
        <w:rPr>
          <w:b/>
          <w:color w:val="6B5CB5"/>
          <w:sz w:val="32"/>
        </w:rPr>
        <w:t>2. Sequence of Steps — How the Experiment Runs</w:t>
      </w:r>
    </w:p>
    <w:p>
      <w:pPr>
        <w:spacing w:after="120"/>
      </w:pPr>
      <w:r>
        <w:t>The whole project follows this order; everything else is detail.</w:t>
      </w:r>
    </w:p>
    <w:p>
      <w:pPr>
        <w:pStyle w:val="ListNumber"/>
        <w:spacing w:after="60"/>
      </w:pPr>
      <w:r>
        <w:rPr>
          <w:b/>
          <w:color w:val="2C3142"/>
        </w:rPr>
        <w:t xml:space="preserve">Define substrates. </w:t>
      </w:r>
      <w:r>
        <w:t>Define three substrates as layered stacks of (depth, λ, C).</w:t>
      </w:r>
    </w:p>
    <w:p>
      <w:pPr>
        <w:pStyle w:val="ListNumber"/>
        <w:spacing w:after="60"/>
      </w:pPr>
      <w:r>
        <w:rPr>
          <w:b/>
          <w:color w:val="2C3142"/>
        </w:rPr>
        <w:t xml:space="preserve">Build the grid. </w:t>
      </w:r>
      <w:r>
        <w:t>Build a stretched vertical grid for each substrate (top cell 0.5 cm for asphalt and concrete, 1 cm for bare soil; geometric stretch 1.18-1.25 down to bottom cell ≈ 30 cm at z = 2 m).</w:t>
      </w:r>
    </w:p>
    <w:p>
      <w:pPr>
        <w:pStyle w:val="ListNumber"/>
        <w:spacing w:after="60"/>
      </w:pPr>
      <w:r>
        <w:rPr>
          <w:b/>
          <w:color w:val="2C3142"/>
        </w:rPr>
        <w:t xml:space="preserve">Initialize. </w:t>
      </w:r>
      <w:r>
        <w:t>Initialize substrate temperatures from the analytical damping-depth profile.</w:t>
      </w:r>
    </w:p>
    <w:p>
      <w:pPr>
        <w:pStyle w:val="ListNumber"/>
        <w:spacing w:after="60"/>
      </w:pPr>
      <w:r>
        <w:rPr>
          <w:b/>
          <w:color w:val="2C3142"/>
        </w:rPr>
        <w:t xml:space="preserve">Time-step loop. </w:t>
      </w:r>
      <w:r>
        <w:t>Loop over time steps. For each step:</w:t>
      </w:r>
    </w:p>
    <w:p>
      <w:pPr>
        <w:pStyle w:val="ListBullet2"/>
        <w:spacing w:after="40"/>
      </w:pPr>
      <w:r>
        <w:t>Sub-step A: advance the column from time n to n+1 using the θ-method, holding Tₛ⁰ fixed.</w:t>
      </w:r>
    </w:p>
    <w:p>
      <w:pPr>
        <w:pStyle w:val="ListBullet2"/>
        <w:spacing w:after="40"/>
      </w:pPr>
      <w:r>
        <w:t>Sub-step B: solve the surface energy balance for new Tₛ⁰ via Newton iteration, holding the column fixed.</w:t>
      </w:r>
    </w:p>
    <w:p>
      <w:pPr>
        <w:pStyle w:val="ListBullet2"/>
        <w:spacing w:after="40"/>
      </w:pPr>
      <w:r>
        <w:t>Apply bottom BC: T[N-1] = T[N-2] (zero-flux Neumann).</w:t>
      </w:r>
    </w:p>
    <w:p>
      <w:pPr>
        <w:pStyle w:val="ListNumber"/>
        <w:spacing w:after="60"/>
      </w:pPr>
      <w:r>
        <w:rPr>
          <w:b/>
          <w:color w:val="2C3142"/>
        </w:rPr>
        <w:t xml:space="preserve">Integration period. </w:t>
      </w:r>
      <w:r>
        <w:t>Run for 2 diurnal cycles. Use day-2 (after 1-day spin-up) for all diagnostics.</w:t>
      </w:r>
    </w:p>
    <w:p>
      <w:pPr>
        <w:pStyle w:val="ListNumber"/>
        <w:spacing w:after="60"/>
      </w:pPr>
      <w:r>
        <w:rPr>
          <w:b/>
          <w:color w:val="2C3142"/>
        </w:rPr>
        <w:t xml:space="preserve">Compare. </w:t>
      </w:r>
      <w:r>
        <w:t>Compare each scheme's day-2 surface ground heat flux G(t) and surface temperature Tₛ⁰(t) against the reference run (FTCS at Δt = 15 s).</w:t>
      </w:r>
    </w:p>
    <w:p>
      <w:pPr>
        <w:pStyle w:val="ListNumber"/>
        <w:spacing w:after="60"/>
      </w:pPr>
      <w:r>
        <w:rPr>
          <w:b/>
          <w:color w:val="2C3142"/>
        </w:rPr>
        <w:t xml:space="preserve">Diagnose. </w:t>
      </w:r>
      <w:r>
        <w:t>Report: RMSE of Tₛ⁰, peak-amplitude ratio of G, daily-storage ratio.</w:t>
      </w:r>
    </w:p>
    <w:p>
      <w:pPr>
        <w:spacing w:before="280" w:after="120"/>
      </w:pPr>
      <w:r>
        <w:rPr>
          <w:b/>
          <w:color w:val="6B5CB5"/>
          <w:sz w:val="32"/>
        </w:rPr>
        <w:t>3. The Three Substrates</w:t>
      </w:r>
    </w:p>
    <w:p>
      <w:pPr>
        <w:spacing w:after="120"/>
      </w:pPr>
      <w:r>
        <w:t>Each substrate is a 2 m deep column of layered material with prescribed albedo at the top.</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shd w:fill="6B5CB5"/>
          </w:tcPr>
          <w:p>
            <w:pPr>
              <w:spacing w:after="40"/>
            </w:pPr>
            <w:r>
              <w:rPr>
                <w:b/>
                <w:color w:val="FFFFFF"/>
                <w:sz w:val="20"/>
              </w:rPr>
              <w:t>Substrate</w:t>
            </w:r>
          </w:p>
        </w:tc>
        <w:tc>
          <w:tcPr>
            <w:tcW w:type="dxa" w:w="2448"/>
            <w:shd w:fill="6B5CB5"/>
          </w:tcPr>
          <w:p>
            <w:pPr>
              <w:spacing w:after="40"/>
            </w:pPr>
            <w:r>
              <w:rPr>
                <w:b/>
                <w:color w:val="FFFFFF"/>
                <w:sz w:val="20"/>
              </w:rPr>
              <w:t>Layers (depth, λ W/m/K, C ×10⁶ J/m³/K)</w:t>
            </w:r>
          </w:p>
        </w:tc>
        <w:tc>
          <w:tcPr>
            <w:tcW w:type="dxa" w:w="2448"/>
            <w:shd w:fill="6B5CB5"/>
          </w:tcPr>
          <w:p>
            <w:pPr>
              <w:spacing w:after="40"/>
            </w:pPr>
            <w:r>
              <w:rPr>
                <w:b/>
                <w:color w:val="FFFFFF"/>
                <w:sz w:val="20"/>
              </w:rPr>
              <w:t>Albedo α_s</w:t>
            </w:r>
          </w:p>
        </w:tc>
        <w:tc>
          <w:tcPr>
            <w:tcW w:type="dxa" w:w="2448"/>
            <w:shd w:fill="6B5CB5"/>
          </w:tcPr>
          <w:p>
            <w:pPr>
              <w:spacing w:after="40"/>
            </w:pPr>
            <w:r>
              <w:rPr>
                <w:b/>
                <w:color w:val="FFFFFF"/>
                <w:sz w:val="20"/>
              </w:rPr>
              <w:t>d (cm)</w:t>
            </w:r>
          </w:p>
        </w:tc>
      </w:tr>
      <w:tr>
        <w:tc>
          <w:tcPr>
            <w:tcW w:type="dxa" w:w="2448"/>
          </w:tcPr>
          <w:p>
            <w:pPr>
              <w:spacing w:after="40"/>
            </w:pPr>
            <w:r>
              <w:rPr>
                <w:color w:val="2C3142"/>
                <w:sz w:val="20"/>
              </w:rPr>
              <w:t>Asphalt road (4 layers)</w:t>
            </w:r>
          </w:p>
        </w:tc>
        <w:tc>
          <w:tcPr>
            <w:tcW w:type="dxa" w:w="2448"/>
          </w:tcPr>
          <w:p>
            <w:pPr>
              <w:spacing w:after="40"/>
            </w:pPr>
            <w:r>
              <w:rPr>
                <w:color w:val="2C3142"/>
                <w:sz w:val="20"/>
              </w:rPr>
              <w:t>Asphalt 0-5 cm (0.75, 2.0); aggregate 5-25 cm (1.40, 2.4); dry soil 25-100 cm (0.30, 1.3); subsoil 100-200 cm (0.50, 1.8)</w:t>
            </w:r>
          </w:p>
        </w:tc>
        <w:tc>
          <w:tcPr>
            <w:tcW w:type="dxa" w:w="2448"/>
          </w:tcPr>
          <w:p>
            <w:pPr>
              <w:spacing w:after="40"/>
            </w:pPr>
            <w:r>
              <w:rPr>
                <w:color w:val="2C3142"/>
                <w:sz w:val="20"/>
              </w:rPr>
              <w:t>0.10</w:t>
            </w:r>
          </w:p>
        </w:tc>
        <w:tc>
          <w:tcPr>
            <w:tcW w:type="dxa" w:w="2448"/>
          </w:tcPr>
          <w:p>
            <w:pPr>
              <w:spacing w:after="40"/>
            </w:pPr>
            <w:r>
              <w:rPr>
                <w:color w:val="2C3142"/>
                <w:sz w:val="20"/>
              </w:rPr>
              <w:t>10.2</w:t>
            </w:r>
          </w:p>
        </w:tc>
      </w:tr>
      <w:tr>
        <w:tc>
          <w:tcPr>
            <w:tcW w:type="dxa" w:w="2448"/>
          </w:tcPr>
          <w:p>
            <w:pPr>
              <w:spacing w:after="40"/>
            </w:pPr>
            <w:r>
              <w:rPr>
                <w:color w:val="2C3142"/>
                <w:sz w:val="20"/>
              </w:rPr>
              <w:t>Concrete roof (3 layers)</w:t>
            </w:r>
          </w:p>
        </w:tc>
        <w:tc>
          <w:tcPr>
            <w:tcW w:type="dxa" w:w="2448"/>
          </w:tcPr>
          <w:p>
            <w:pPr>
              <w:spacing w:after="40"/>
            </w:pPr>
            <w:r>
              <w:rPr>
                <w:color w:val="2C3142"/>
                <w:sz w:val="20"/>
              </w:rPr>
              <w:t>Concrete deck 0-10 cm (1.50, 2.1); mineral-wool insulation 10-20 cm (0.04, 0.08); drywall/wood 20-200 cm (0.15, 1.5)</w:t>
            </w:r>
          </w:p>
        </w:tc>
        <w:tc>
          <w:tcPr>
            <w:tcW w:type="dxa" w:w="2448"/>
          </w:tcPr>
          <w:p>
            <w:pPr>
              <w:spacing w:after="40"/>
            </w:pPr>
            <w:r>
              <w:rPr>
                <w:color w:val="2C3142"/>
                <w:sz w:val="20"/>
              </w:rPr>
              <w:t>0.30</w:t>
            </w:r>
          </w:p>
        </w:tc>
        <w:tc>
          <w:tcPr>
            <w:tcW w:type="dxa" w:w="2448"/>
          </w:tcPr>
          <w:p>
            <w:pPr>
              <w:spacing w:after="40"/>
            </w:pPr>
            <w:r>
              <w:rPr>
                <w:color w:val="2C3142"/>
                <w:sz w:val="20"/>
              </w:rPr>
              <w:t>14.0</w:t>
            </w:r>
          </w:p>
        </w:tc>
      </w:tr>
      <w:tr>
        <w:tc>
          <w:tcPr>
            <w:tcW w:type="dxa" w:w="2448"/>
          </w:tcPr>
          <w:p>
            <w:pPr>
              <w:spacing w:after="40"/>
            </w:pPr>
            <w:r>
              <w:rPr>
                <w:color w:val="2C3142"/>
                <w:sz w:val="20"/>
              </w:rPr>
              <w:t>Bare soil (uniform)</w:t>
            </w:r>
          </w:p>
        </w:tc>
        <w:tc>
          <w:tcPr>
            <w:tcW w:type="dxa" w:w="2448"/>
          </w:tcPr>
          <w:p>
            <w:pPr>
              <w:spacing w:after="40"/>
            </w:pPr>
            <w:r>
              <w:rPr>
                <w:color w:val="2C3142"/>
                <w:sz w:val="20"/>
              </w:rPr>
              <w:t>Sandy loam 0-200 cm (0.30, 1.3)</w:t>
            </w:r>
          </w:p>
        </w:tc>
        <w:tc>
          <w:tcPr>
            <w:tcW w:type="dxa" w:w="2448"/>
          </w:tcPr>
          <w:p>
            <w:pPr>
              <w:spacing w:after="40"/>
            </w:pPr>
            <w:r>
              <w:rPr>
                <w:color w:val="2C3142"/>
                <w:sz w:val="20"/>
              </w:rPr>
              <w:t>0.20</w:t>
            </w:r>
          </w:p>
        </w:tc>
        <w:tc>
          <w:tcPr>
            <w:tcW w:type="dxa" w:w="2448"/>
          </w:tcPr>
          <w:p>
            <w:pPr>
              <w:spacing w:after="40"/>
            </w:pPr>
            <w:r>
              <w:rPr>
                <w:color w:val="2C3142"/>
                <w:sz w:val="20"/>
              </w:rPr>
              <w:t>8.0</w:t>
            </w:r>
          </w:p>
        </w:tc>
      </w:tr>
    </w:tbl>
    <w:p>
      <w:pPr>
        <w:spacing w:before="160" w:after="160"/>
        <w:ind w:left="432" w:right="432"/>
      </w:pPr>
      <w:r>
        <w:rPr>
          <w:i/>
          <w:color w:val="2C8A83"/>
        </w:rPr>
        <w:t>d = √(2κ/ω) is the diurnal damping depth, the e-folding depth of the daily wave. Computed from each substrate's top-layer κ = λ/C.</w:t>
      </w:r>
    </w:p>
    <w:p>
      <w:pPr>
        <w:spacing w:before="280" w:after="120"/>
      </w:pPr>
      <w:r>
        <w:rPr>
          <w:b/>
          <w:color w:val="6B5CB5"/>
          <w:sz w:val="32"/>
        </w:rPr>
        <w:t>4. The Governing Equation (the physics)</w:t>
      </w:r>
    </w:p>
    <w:p>
      <w:pPr>
        <w:spacing w:after="120"/>
      </w:pPr>
      <w:r>
        <w:t>The heat equation in conductivity form (preserves discrete heat conservation across layer interfaces):</w:t>
      </w:r>
    </w:p>
    <w:p>
      <w:pPr>
        <w:spacing w:before="80" w:after="160"/>
        <w:jc w:val="center"/>
      </w:pPr>
      <w:r>
        <w:rPr>
          <w:rFonts w:ascii="Cambria Math" w:hAnsi="Cambria Math"/>
          <w:color w:val="2C3142"/>
          <w:sz w:val="26"/>
        </w:rPr>
        <w:t>C_s(z) · ∂T_s/∂t  =  ∂/∂z [ λ_s(z) · ∂T_s/∂z ]</w:t>
      </w:r>
    </w:p>
    <w:p>
      <w:pPr>
        <w:spacing w:after="120"/>
      </w:pPr>
      <w:r>
        <w:t>In words: the volumetric heat capacity times the rate of temperature change at depth z equals the spatial divergence of the conductive heat flux. Heat piles up wherever more flux enters from above than exits below.</w:t>
      </w:r>
    </w:p>
    <w:p>
      <w:pPr>
        <w:spacing w:before="280" w:after="120"/>
      </w:pPr>
      <w:r>
        <w:rPr>
          <w:b/>
          <w:color w:val="6B5CB5"/>
          <w:sz w:val="32"/>
        </w:rPr>
        <w:t>5. The Three Schemes — One Equation, Three α Values</w:t>
      </w:r>
    </w:p>
    <w:p>
      <w:pPr>
        <w:spacing w:after="120"/>
      </w:pPr>
      <w:r>
        <w:t>All three time-stepping schemes are special cases of a single θ-method update equation:</w:t>
      </w:r>
    </w:p>
    <w:p>
      <w:pPr>
        <w:spacing w:before="80" w:after="160"/>
        <w:jc w:val="center"/>
      </w:pPr>
      <w:r>
        <w:rPr>
          <w:rFonts w:ascii="Cambria Math" w:hAnsi="Cambria Math"/>
          <w:color w:val="2C3142"/>
          <w:sz w:val="26"/>
        </w:rPr>
        <w:t>C_j Δz_j (T_j^(n+1) − T_j^n) / Δt = α [−∂G/∂z]^(n+1) + (1−α) [−∂G/∂z]^n</w:t>
      </w:r>
    </w:p>
    <w:p>
      <w:pPr>
        <w:spacing w:after="120"/>
      </w:pPr>
      <w:r>
        <w:t>where the flux-divergence at cell j is computed from G_{j±1/2} = λ_{j±1/2} (T_j − T_{j±1}) / (centre-to-centre spacing). Choose α; get a scheme:</w:t>
      </w:r>
    </w:p>
    <w:tbl>
      <w:tblPr>
        <w:tblStyle w:val="LightGrid-Accent1"/>
        <w:tblW w:type="auto" w:w="0"/>
        <w:tblLayout w:type="autofit"/>
        <w:tblLook w:firstColumn="1" w:firstRow="1" w:lastColumn="0" w:lastRow="0" w:noHBand="0" w:noVBand="1" w:val="04A0"/>
      </w:tblPr>
      <w:tblGrid>
        <w:gridCol w:w="1958"/>
        <w:gridCol w:w="1958"/>
        <w:gridCol w:w="1958"/>
        <w:gridCol w:w="1958"/>
        <w:gridCol w:w="1958"/>
      </w:tblGrid>
      <w:tr>
        <w:tc>
          <w:tcPr>
            <w:tcW w:type="dxa" w:w="1958"/>
            <w:shd w:fill="6B5CB5"/>
          </w:tcPr>
          <w:p>
            <w:pPr>
              <w:spacing w:after="40"/>
            </w:pPr>
            <w:r>
              <w:rPr>
                <w:b/>
                <w:color w:val="FFFFFF"/>
                <w:sz w:val="20"/>
              </w:rPr>
              <w:t>α</w:t>
            </w:r>
          </w:p>
        </w:tc>
        <w:tc>
          <w:tcPr>
            <w:tcW w:type="dxa" w:w="1958"/>
            <w:shd w:fill="6B5CB5"/>
          </w:tcPr>
          <w:p>
            <w:pPr>
              <w:spacing w:after="40"/>
            </w:pPr>
            <w:r>
              <w:rPr>
                <w:b/>
                <w:color w:val="FFFFFF"/>
                <w:sz w:val="20"/>
              </w:rPr>
              <w:t>Scheme</w:t>
            </w:r>
          </w:p>
        </w:tc>
        <w:tc>
          <w:tcPr>
            <w:tcW w:type="dxa" w:w="1958"/>
            <w:shd w:fill="6B5CB5"/>
          </w:tcPr>
          <w:p>
            <w:pPr>
              <w:spacing w:after="40"/>
            </w:pPr>
            <w:r>
              <w:rPr>
                <w:b/>
                <w:color w:val="FFFFFF"/>
                <w:sz w:val="20"/>
              </w:rPr>
              <w:t>Stability</w:t>
            </w:r>
          </w:p>
        </w:tc>
        <w:tc>
          <w:tcPr>
            <w:tcW w:type="dxa" w:w="1958"/>
            <w:shd w:fill="6B5CB5"/>
          </w:tcPr>
          <w:p>
            <w:pPr>
              <w:spacing w:after="40"/>
            </w:pPr>
            <w:r>
              <w:rPr>
                <w:b/>
                <w:color w:val="FFFFFF"/>
                <w:sz w:val="20"/>
              </w:rPr>
              <w:t>Order in Δt</w:t>
            </w:r>
          </w:p>
        </w:tc>
        <w:tc>
          <w:tcPr>
            <w:tcW w:type="dxa" w:w="1958"/>
            <w:shd w:fill="6B5CB5"/>
          </w:tcPr>
          <w:p>
            <w:pPr>
              <w:spacing w:after="40"/>
            </w:pPr>
            <w:r>
              <w:rPr>
                <w:b/>
                <w:color w:val="FFFFFF"/>
                <w:sz w:val="20"/>
              </w:rPr>
              <w:t>Per-step cost</w:t>
            </w:r>
          </w:p>
        </w:tc>
      </w:tr>
      <w:tr>
        <w:tc>
          <w:tcPr>
            <w:tcW w:type="dxa" w:w="1958"/>
          </w:tcPr>
          <w:p>
            <w:pPr>
              <w:spacing w:after="40"/>
            </w:pPr>
            <w:r>
              <w:rPr>
                <w:color w:val="2C3142"/>
                <w:sz w:val="20"/>
              </w:rPr>
              <w:t>0</w:t>
            </w:r>
          </w:p>
        </w:tc>
        <w:tc>
          <w:tcPr>
            <w:tcW w:type="dxa" w:w="1958"/>
          </w:tcPr>
          <w:p>
            <w:pPr>
              <w:spacing w:after="40"/>
            </w:pPr>
            <w:r>
              <w:rPr>
                <w:color w:val="2C3142"/>
                <w:sz w:val="20"/>
              </w:rPr>
              <w:t>FTCS  (Forward in Time)</w:t>
            </w:r>
          </w:p>
        </w:tc>
        <w:tc>
          <w:tcPr>
            <w:tcW w:type="dxa" w:w="1958"/>
          </w:tcPr>
          <w:p>
            <w:pPr>
              <w:spacing w:after="40"/>
            </w:pPr>
            <w:r>
              <w:rPr>
                <w:color w:val="2C3142"/>
                <w:sz w:val="20"/>
              </w:rPr>
              <w:t>Conditionally stable: ν ≤ 1/2</w:t>
            </w:r>
          </w:p>
        </w:tc>
        <w:tc>
          <w:tcPr>
            <w:tcW w:type="dxa" w:w="1958"/>
          </w:tcPr>
          <w:p>
            <w:pPr>
              <w:spacing w:after="40"/>
            </w:pPr>
            <w:r>
              <w:rPr>
                <w:color w:val="2C3142"/>
                <w:sz w:val="20"/>
              </w:rPr>
              <w:t>1st</w:t>
            </w:r>
          </w:p>
        </w:tc>
        <w:tc>
          <w:tcPr>
            <w:tcW w:type="dxa" w:w="1958"/>
          </w:tcPr>
          <w:p>
            <w:pPr>
              <w:spacing w:after="40"/>
            </w:pPr>
            <w:r>
              <w:rPr>
                <w:color w:val="2C3142"/>
                <w:sz w:val="20"/>
              </w:rPr>
              <w:t>Cheap (vectorised arithmetic)</w:t>
            </w:r>
          </w:p>
        </w:tc>
      </w:tr>
      <w:tr>
        <w:tc>
          <w:tcPr>
            <w:tcW w:type="dxa" w:w="1958"/>
          </w:tcPr>
          <w:p>
            <w:pPr>
              <w:spacing w:after="40"/>
            </w:pPr>
            <w:r>
              <w:rPr>
                <w:color w:val="2C3142"/>
                <w:sz w:val="20"/>
              </w:rPr>
              <w:t>1/2</w:t>
            </w:r>
          </w:p>
        </w:tc>
        <w:tc>
          <w:tcPr>
            <w:tcW w:type="dxa" w:w="1958"/>
          </w:tcPr>
          <w:p>
            <w:pPr>
              <w:spacing w:after="40"/>
            </w:pPr>
            <w:r>
              <w:rPr>
                <w:color w:val="2C3142"/>
                <w:sz w:val="20"/>
              </w:rPr>
              <w:t>Crank-Nicolson</w:t>
            </w:r>
          </w:p>
        </w:tc>
        <w:tc>
          <w:tcPr>
            <w:tcW w:type="dxa" w:w="1958"/>
          </w:tcPr>
          <w:p>
            <w:pPr>
              <w:spacing w:after="40"/>
            </w:pPr>
            <w:r>
              <w:rPr>
                <w:color w:val="2C3142"/>
                <w:sz w:val="20"/>
              </w:rPr>
              <w:t>Unconditionally stable</w:t>
            </w:r>
          </w:p>
        </w:tc>
        <w:tc>
          <w:tcPr>
            <w:tcW w:type="dxa" w:w="1958"/>
          </w:tcPr>
          <w:p>
            <w:pPr>
              <w:spacing w:after="40"/>
            </w:pPr>
            <w:r>
              <w:rPr>
                <w:color w:val="2C3142"/>
                <w:sz w:val="20"/>
              </w:rPr>
              <w:t>2nd</w:t>
            </w:r>
          </w:p>
        </w:tc>
        <w:tc>
          <w:tcPr>
            <w:tcW w:type="dxa" w:w="1958"/>
          </w:tcPr>
          <w:p>
            <w:pPr>
              <w:spacing w:after="40"/>
            </w:pPr>
            <w:r>
              <w:rPr>
                <w:color w:val="2C3142"/>
                <w:sz w:val="20"/>
              </w:rPr>
              <w:t>Tridiagonal solve, O(N)</w:t>
            </w:r>
          </w:p>
        </w:tc>
      </w:tr>
      <w:tr>
        <w:tc>
          <w:tcPr>
            <w:tcW w:type="dxa" w:w="1958"/>
          </w:tcPr>
          <w:p>
            <w:pPr>
              <w:spacing w:after="40"/>
            </w:pPr>
            <w:r>
              <w:rPr>
                <w:color w:val="2C3142"/>
                <w:sz w:val="20"/>
              </w:rPr>
              <w:t>1</w:t>
            </w:r>
          </w:p>
        </w:tc>
        <w:tc>
          <w:tcPr>
            <w:tcW w:type="dxa" w:w="1958"/>
          </w:tcPr>
          <w:p>
            <w:pPr>
              <w:spacing w:after="40"/>
            </w:pPr>
            <w:r>
              <w:rPr>
                <w:color w:val="2C3142"/>
                <w:sz w:val="20"/>
              </w:rPr>
              <w:t>BTCS  (Backward in Time)</w:t>
            </w:r>
          </w:p>
        </w:tc>
        <w:tc>
          <w:tcPr>
            <w:tcW w:type="dxa" w:w="1958"/>
          </w:tcPr>
          <w:p>
            <w:pPr>
              <w:spacing w:after="40"/>
            </w:pPr>
            <w:r>
              <w:rPr>
                <w:color w:val="2C3142"/>
                <w:sz w:val="20"/>
              </w:rPr>
              <w:t>Unconditionally stable, damping</w:t>
            </w:r>
          </w:p>
        </w:tc>
        <w:tc>
          <w:tcPr>
            <w:tcW w:type="dxa" w:w="1958"/>
          </w:tcPr>
          <w:p>
            <w:pPr>
              <w:spacing w:after="40"/>
            </w:pPr>
            <w:r>
              <w:rPr>
                <w:color w:val="2C3142"/>
                <w:sz w:val="20"/>
              </w:rPr>
              <w:t>1st</w:t>
            </w:r>
          </w:p>
        </w:tc>
        <w:tc>
          <w:tcPr>
            <w:tcW w:type="dxa" w:w="1958"/>
          </w:tcPr>
          <w:p>
            <w:pPr>
              <w:spacing w:after="40"/>
            </w:pPr>
            <w:r>
              <w:rPr>
                <w:color w:val="2C3142"/>
                <w:sz w:val="20"/>
              </w:rPr>
              <w:t>Tridiagonal solve, O(N)</w:t>
            </w:r>
          </w:p>
        </w:tc>
      </w:tr>
    </w:tbl>
    <w:p>
      <w:pPr>
        <w:spacing w:before="160" w:after="160"/>
        <w:ind w:left="432" w:right="432"/>
      </w:pPr>
      <w:r>
        <w:rPr>
          <w:i/>
          <w:color w:val="2C8A83"/>
        </w:rPr>
        <w:t>ν = κ Δt / Δz² is the dimensionless diffusion number — the diffusion analogue of the Courant-Friedrichs-Lewy number.</w:t>
      </w:r>
    </w:p>
    <w:p>
      <w:pPr>
        <w:spacing w:before="280" w:after="120"/>
      </w:pPr>
      <w:r>
        <w:rPr>
          <w:b/>
          <w:color w:val="6B5CB5"/>
          <w:sz w:val="32"/>
        </w:rPr>
        <w:t>6. Boundary Conditions — What Closes the System</w:t>
      </w:r>
    </w:p>
    <w:p>
      <w:pPr>
        <w:spacing w:after="120"/>
      </w:pPr>
      <w:r>
        <w:t>The heat equation is second-order in z, so we need two BCs (one at each end of the column).</w:t>
      </w:r>
    </w:p>
    <w:p>
      <w:pPr>
        <w:spacing w:before="280" w:after="120"/>
      </w:pPr>
      <w:r>
        <w:rPr>
          <w:b/>
          <w:color w:val="6B5CB5"/>
          <w:sz w:val="26"/>
        </w:rPr>
        <w:t>6a. Top BC — Surface Energy Balance (SEB) closure</w:t>
      </w:r>
    </w:p>
    <w:p>
      <w:pPr>
        <w:spacing w:after="120"/>
      </w:pPr>
      <w:r>
        <w:t>The top of the column is closed by the requirement that the four surface fluxes balance to zero:</w:t>
      </w:r>
    </w:p>
    <w:p>
      <w:pPr>
        <w:spacing w:before="80" w:after="160"/>
        <w:jc w:val="center"/>
      </w:pPr>
      <w:r>
        <w:rPr>
          <w:rFonts w:ascii="Cambria Math" w:hAnsi="Cambria Math"/>
          <w:color w:val="2C3142"/>
          <w:sz w:val="26"/>
        </w:rPr>
        <w:t>R_n − H − LE − G = 0   (solved for T_s⁰)</w:t>
      </w:r>
    </w:p>
    <w:p>
      <w:pPr>
        <w:spacing w:after="120"/>
      </w:pPr>
      <w:r>
        <w:t>with each flux evaluated at the surface temperature T_s⁰:</w:t>
      </w:r>
    </w:p>
    <w:p>
      <w:pPr>
        <w:pStyle w:val="ListBullet"/>
        <w:spacing w:after="40"/>
      </w:pPr>
      <w:r>
        <w:rPr>
          <w:b/>
          <w:color w:val="2C3142"/>
        </w:rPr>
        <w:t xml:space="preserve">Net radiation. </w:t>
      </w:r>
      <w:r>
        <w:t>R_n = (1 − α_s) S↓ + ε_s L↓ − ε_s σ (T_s⁰)⁴   (net radiation; σ = 5.67×10⁻⁸ W/m²/K⁴)</w:t>
      </w:r>
    </w:p>
    <w:p>
      <w:pPr>
        <w:pStyle w:val="ListBullet"/>
        <w:spacing w:after="40"/>
      </w:pPr>
      <w:r>
        <w:rPr>
          <w:b/>
          <w:color w:val="2C3142"/>
        </w:rPr>
        <w:t xml:space="preserve">Sensible. </w:t>
      </w:r>
      <w:r>
        <w:t>H = ρ c_p (T_s⁰ − T_a) / r_a    where r_a = 1 / (C_H U) ≈ 67 s/m   (sensible heat flux)</w:t>
      </w:r>
    </w:p>
    <w:p>
      <w:pPr>
        <w:pStyle w:val="ListBullet"/>
        <w:spacing w:after="40"/>
      </w:pPr>
      <w:r>
        <w:rPr>
          <w:b/>
          <w:color w:val="2C3142"/>
        </w:rPr>
        <w:t xml:space="preserve">Latent. </w:t>
      </w:r>
      <w:r>
        <w:t>LE = 0   (strict-impervious assumption — no evaporation)</w:t>
      </w:r>
    </w:p>
    <w:p>
      <w:pPr>
        <w:pStyle w:val="ListBullet"/>
        <w:spacing w:after="40"/>
      </w:pPr>
      <w:r>
        <w:rPr>
          <w:b/>
          <w:color w:val="2C3142"/>
        </w:rPr>
        <w:t xml:space="preserve">Ground. </w:t>
      </w:r>
      <w:r>
        <w:t>G = λ_{1/2} (T_s⁰ − T_1) / (z_1 − z_0)   (ground heat flux, from the top half-level)</w:t>
      </w:r>
    </w:p>
    <w:p>
      <w:pPr>
        <w:spacing w:after="120"/>
      </w:pPr>
      <w:r>
        <w:t>The (T_s⁰)⁴ term makes this equation nonlinear in T_s⁰. We solve it by Newton iteration:</w:t>
      </w:r>
    </w:p>
    <w:p>
      <w:pPr>
        <w:spacing w:before="80" w:after="160"/>
        <w:jc w:val="center"/>
      </w:pPr>
      <w:r>
        <w:rPr>
          <w:rFonts w:ascii="Cambria Math" w:hAnsi="Cambria Math"/>
          <w:color w:val="2C3142"/>
          <w:sz w:val="26"/>
        </w:rPr>
        <w:t>T_s⁰_new = T_s⁰_old − F(T_s⁰_old) / F′(T_s⁰_old)</w:t>
      </w:r>
    </w:p>
    <w:p>
      <w:pPr>
        <w:spacing w:after="120"/>
      </w:pPr>
      <w:r>
        <w:t>where F = R_n − H − LE − G. Typically converges in 3-4 iterations to |ΔT| &lt; 10⁻⁴ K.</w:t>
      </w:r>
    </w:p>
    <w:p>
      <w:pPr>
        <w:spacing w:before="280" w:after="120"/>
      </w:pPr>
      <w:r>
        <w:rPr>
          <w:b/>
          <w:color w:val="6B5CB5"/>
          <w:sz w:val="26"/>
        </w:rPr>
        <w:t>6b. Bottom BC — Zero-flux Neumann at z = 2 m</w:t>
      </w:r>
    </w:p>
    <w:p>
      <w:pPr>
        <w:spacing w:after="120"/>
      </w:pPr>
      <w:r>
        <w:t>At the deepest face, the temperature gradient is set to zero:</w:t>
      </w:r>
    </w:p>
    <w:p>
      <w:pPr>
        <w:spacing w:before="80" w:after="160"/>
        <w:jc w:val="center"/>
      </w:pPr>
      <w:r>
        <w:rPr>
          <w:rFonts w:ascii="Cambria Math" w:hAnsi="Cambria Math"/>
          <w:color w:val="2C3142"/>
          <w:sz w:val="26"/>
        </w:rPr>
        <w:t>∂T_s/∂z |_{z=2m} = 0    ⟺    G|_{z=2m} = 0    ⟺    T_{N-1} = T_{N-2}</w:t>
      </w:r>
    </w:p>
    <w:p>
      <w:pPr>
        <w:spacing w:after="120"/>
      </w:pPr>
      <w:r>
        <w:t>Discretely, one line of code: the deepest cell mirrors the one above it. Justified because z = 2 m is 14-25 damping depths down, where the diurnal amplitude is already negligible (~10⁻⁶ of the surface value).</w:t>
      </w:r>
    </w:p>
    <w:p>
      <w:pPr>
        <w:spacing w:before="280" w:after="120"/>
      </w:pPr>
      <w:r>
        <w:rPr>
          <w:b/>
          <w:color w:val="6B5CB5"/>
          <w:sz w:val="32"/>
        </w:rPr>
        <w:t>7. Von Neumann Stability Analysis — How We Used It</w:t>
      </w:r>
    </w:p>
    <w:p>
      <w:pPr>
        <w:spacing w:after="120"/>
      </w:pPr>
      <w:r>
        <w:t>We used von Neumann analysis to PREDICT which (scheme, Δt, substrate) combinations would blow up, then VERIFIED the prediction empirically in Test 1 and Test 2.</w:t>
      </w:r>
    </w:p>
    <w:p>
      <w:pPr>
        <w:spacing w:before="280" w:after="120"/>
      </w:pPr>
      <w:r>
        <w:rPr>
          <w:b/>
          <w:color w:val="6B5CB5"/>
          <w:sz w:val="26"/>
        </w:rPr>
        <w:t>7a. The procedure (four steps)</w:t>
      </w:r>
    </w:p>
    <w:p>
      <w:pPr>
        <w:pStyle w:val="ListNumber"/>
        <w:spacing w:after="60"/>
      </w:pPr>
      <w:r>
        <w:t>Substitute a Fourier mode  T_j^n = A^n · e^(ikjΔz)  into each scheme's update equation.</w:t>
      </w:r>
    </w:p>
    <w:p>
      <w:pPr>
        <w:pStyle w:val="ListNumber"/>
        <w:spacing w:after="60"/>
      </w:pPr>
      <w:r>
        <w:t>Cancel common factors and solve for the per-step amplification factor A as a function of ν and kΔz.</w:t>
      </w:r>
    </w:p>
    <w:p>
      <w:pPr>
        <w:pStyle w:val="ListNumber"/>
        <w:spacing w:after="60"/>
      </w:pPr>
      <w:r>
        <w:t>Demand |A| ≤ 1 for every resolvable wavenumber, i.e., kΔz ∈ [0, π].</w:t>
      </w:r>
    </w:p>
    <w:p>
      <w:pPr>
        <w:pStyle w:val="ListNumber"/>
        <w:spacing w:after="60"/>
      </w:pPr>
      <w:r>
        <w:t>Note that the worst case is always at kΔz = π (the 2-Δz wave, where adjacent cells flip sign). Substitute that and solve for the stability bound on ν.</w:t>
      </w:r>
    </w:p>
    <w:p>
      <w:pPr>
        <w:spacing w:before="280" w:after="120"/>
      </w:pPr>
      <w:r>
        <w:rPr>
          <w:b/>
          <w:color w:val="6B5CB5"/>
          <w:sz w:val="26"/>
        </w:rPr>
        <w:t>7b. Results — the three amplification factors at kΔz = π</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shd w:fill="6B5CB5"/>
          </w:tcPr>
          <w:p>
            <w:pPr>
              <w:spacing w:after="40"/>
            </w:pPr>
            <w:r>
              <w:rPr>
                <w:b/>
                <w:color w:val="FFFFFF"/>
                <w:sz w:val="20"/>
              </w:rPr>
              <w:t>Scheme</w:t>
            </w:r>
          </w:p>
        </w:tc>
        <w:tc>
          <w:tcPr>
            <w:tcW w:type="dxa" w:w="2448"/>
            <w:shd w:fill="6B5CB5"/>
          </w:tcPr>
          <w:p>
            <w:pPr>
              <w:spacing w:after="40"/>
            </w:pPr>
            <w:r>
              <w:rPr>
                <w:b/>
                <w:color w:val="FFFFFF"/>
                <w:sz w:val="20"/>
              </w:rPr>
              <w:t>A at worst wave</w:t>
            </w:r>
          </w:p>
        </w:tc>
        <w:tc>
          <w:tcPr>
            <w:tcW w:type="dxa" w:w="2448"/>
            <w:shd w:fill="6B5CB5"/>
          </w:tcPr>
          <w:p>
            <w:pPr>
              <w:spacing w:after="40"/>
            </w:pPr>
            <w:r>
              <w:rPr>
                <w:b/>
                <w:color w:val="FFFFFF"/>
                <w:sz w:val="20"/>
              </w:rPr>
              <w:t>|A| over ν &gt; 0</w:t>
            </w:r>
          </w:p>
        </w:tc>
        <w:tc>
          <w:tcPr>
            <w:tcW w:type="dxa" w:w="2448"/>
            <w:shd w:fill="6B5CB5"/>
          </w:tcPr>
          <w:p>
            <w:pPr>
              <w:spacing w:after="40"/>
            </w:pPr>
            <w:r>
              <w:rPr>
                <w:b/>
                <w:color w:val="FFFFFF"/>
                <w:sz w:val="20"/>
              </w:rPr>
              <w:t>Stability bound</w:t>
            </w:r>
          </w:p>
        </w:tc>
      </w:tr>
      <w:tr>
        <w:tc>
          <w:tcPr>
            <w:tcW w:type="dxa" w:w="2448"/>
          </w:tcPr>
          <w:p>
            <w:pPr>
              <w:spacing w:after="40"/>
            </w:pPr>
            <w:r>
              <w:rPr>
                <w:color w:val="2C3142"/>
                <w:sz w:val="20"/>
              </w:rPr>
              <w:t>FTCS</w:t>
            </w:r>
          </w:p>
        </w:tc>
        <w:tc>
          <w:tcPr>
            <w:tcW w:type="dxa" w:w="2448"/>
          </w:tcPr>
          <w:p>
            <w:pPr>
              <w:spacing w:after="40"/>
            </w:pPr>
            <w:r>
              <w:rPr>
                <w:color w:val="2C3142"/>
                <w:sz w:val="20"/>
              </w:rPr>
              <w:t>1 − 4ν</w:t>
            </w:r>
          </w:p>
        </w:tc>
        <w:tc>
          <w:tcPr>
            <w:tcW w:type="dxa" w:w="2448"/>
          </w:tcPr>
          <w:p>
            <w:pPr>
              <w:spacing w:after="40"/>
            </w:pPr>
            <w:r>
              <w:rPr>
                <w:color w:val="2C3142"/>
                <w:sz w:val="20"/>
              </w:rPr>
              <w:t>&gt; 1 when ν &gt; 1/2</w:t>
            </w:r>
          </w:p>
        </w:tc>
        <w:tc>
          <w:tcPr>
            <w:tcW w:type="dxa" w:w="2448"/>
          </w:tcPr>
          <w:p>
            <w:pPr>
              <w:spacing w:after="40"/>
            </w:pPr>
            <w:r>
              <w:rPr>
                <w:color w:val="2C3142"/>
                <w:sz w:val="20"/>
              </w:rPr>
              <w:t>Conditional: ν ≤ 1/2</w:t>
            </w:r>
          </w:p>
        </w:tc>
      </w:tr>
      <w:tr>
        <w:tc>
          <w:tcPr>
            <w:tcW w:type="dxa" w:w="2448"/>
          </w:tcPr>
          <w:p>
            <w:pPr>
              <w:spacing w:after="40"/>
            </w:pPr>
            <w:r>
              <w:rPr>
                <w:color w:val="2C3142"/>
                <w:sz w:val="20"/>
              </w:rPr>
              <w:t>BTCS</w:t>
            </w:r>
          </w:p>
        </w:tc>
        <w:tc>
          <w:tcPr>
            <w:tcW w:type="dxa" w:w="2448"/>
          </w:tcPr>
          <w:p>
            <w:pPr>
              <w:spacing w:after="40"/>
            </w:pPr>
            <w:r>
              <w:rPr>
                <w:color w:val="2C3142"/>
                <w:sz w:val="20"/>
              </w:rPr>
              <w:t>1/(1 + 4ν)</w:t>
            </w:r>
          </w:p>
        </w:tc>
        <w:tc>
          <w:tcPr>
            <w:tcW w:type="dxa" w:w="2448"/>
          </w:tcPr>
          <w:p>
            <w:pPr>
              <w:spacing w:after="40"/>
            </w:pPr>
            <w:r>
              <w:rPr>
                <w:color w:val="2C3142"/>
                <w:sz w:val="20"/>
              </w:rPr>
              <w:t>Always in (0, 1]</w:t>
            </w:r>
          </w:p>
        </w:tc>
        <w:tc>
          <w:tcPr>
            <w:tcW w:type="dxa" w:w="2448"/>
          </w:tcPr>
          <w:p>
            <w:pPr>
              <w:spacing w:after="40"/>
            </w:pPr>
            <w:r>
              <w:rPr>
                <w:color w:val="2C3142"/>
                <w:sz w:val="20"/>
              </w:rPr>
              <w:t>Unconditional</w:t>
            </w:r>
          </w:p>
        </w:tc>
      </w:tr>
      <w:tr>
        <w:tc>
          <w:tcPr>
            <w:tcW w:type="dxa" w:w="2448"/>
          </w:tcPr>
          <w:p>
            <w:pPr>
              <w:spacing w:after="40"/>
            </w:pPr>
            <w:r>
              <w:rPr>
                <w:color w:val="2C3142"/>
                <w:sz w:val="20"/>
              </w:rPr>
              <w:t>Crank-Nicolson</w:t>
            </w:r>
          </w:p>
        </w:tc>
        <w:tc>
          <w:tcPr>
            <w:tcW w:type="dxa" w:w="2448"/>
          </w:tcPr>
          <w:p>
            <w:pPr>
              <w:spacing w:after="40"/>
            </w:pPr>
            <w:r>
              <w:rPr>
                <w:color w:val="2C3142"/>
                <w:sz w:val="20"/>
              </w:rPr>
              <w:t>(1 − 2ν)/(1 + 2ν)</w:t>
            </w:r>
          </w:p>
        </w:tc>
        <w:tc>
          <w:tcPr>
            <w:tcW w:type="dxa" w:w="2448"/>
          </w:tcPr>
          <w:p>
            <w:pPr>
              <w:spacing w:after="40"/>
            </w:pPr>
            <w:r>
              <w:rPr>
                <w:color w:val="2C3142"/>
                <w:sz w:val="20"/>
              </w:rPr>
              <w:t>Always in [−1, 1]</w:t>
            </w:r>
          </w:p>
        </w:tc>
        <w:tc>
          <w:tcPr>
            <w:tcW w:type="dxa" w:w="2448"/>
          </w:tcPr>
          <w:p>
            <w:pPr>
              <w:spacing w:after="40"/>
            </w:pPr>
            <w:r>
              <w:rPr>
                <w:color w:val="2C3142"/>
                <w:sz w:val="20"/>
              </w:rPr>
              <w:t>Unconditional</w:t>
            </w:r>
          </w:p>
        </w:tc>
      </w:tr>
    </w:tbl>
    <w:p>
      <w:pPr>
        <w:spacing w:before="280" w:after="120"/>
      </w:pPr>
      <w:r>
        <w:rPr>
          <w:b/>
          <w:color w:val="6B5CB5"/>
          <w:sz w:val="26"/>
        </w:rPr>
        <w:t>7c. The 27-cell FTCS prediction (Test 2)</w:t>
      </w:r>
    </w:p>
    <w:p>
      <w:pPr>
        <w:spacing w:after="120"/>
      </w:pPr>
      <w:r>
        <w:t>Plugging each substrate's top-cell κ, top-cell Δz, and the three Δt values into ν = κΔt/Δz² gives the FTCS stability picture in advance:</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shd w:fill="6B5CB5"/>
          </w:tcPr>
          <w:p>
            <w:pPr>
              <w:spacing w:after="40"/>
            </w:pPr>
            <w:r>
              <w:rPr>
                <w:b/>
                <w:color w:val="FFFFFF"/>
                <w:sz w:val="20"/>
              </w:rPr>
              <w:t>Substrate (top κ, Δz₀)</w:t>
            </w:r>
          </w:p>
        </w:tc>
        <w:tc>
          <w:tcPr>
            <w:tcW w:type="dxa" w:w="2448"/>
            <w:shd w:fill="6B5CB5"/>
          </w:tcPr>
          <w:p>
            <w:pPr>
              <w:spacing w:after="40"/>
            </w:pPr>
            <w:r>
              <w:rPr>
                <w:b/>
                <w:color w:val="FFFFFF"/>
                <w:sz w:val="20"/>
              </w:rPr>
              <w:t>ν at Δt=15s</w:t>
            </w:r>
          </w:p>
        </w:tc>
        <w:tc>
          <w:tcPr>
            <w:tcW w:type="dxa" w:w="2448"/>
            <w:shd w:fill="6B5CB5"/>
          </w:tcPr>
          <w:p>
            <w:pPr>
              <w:spacing w:after="40"/>
            </w:pPr>
            <w:r>
              <w:rPr>
                <w:b/>
                <w:color w:val="FFFFFF"/>
                <w:sz w:val="20"/>
              </w:rPr>
              <w:t>ν at Δt=60s</w:t>
            </w:r>
          </w:p>
        </w:tc>
        <w:tc>
          <w:tcPr>
            <w:tcW w:type="dxa" w:w="2448"/>
            <w:shd w:fill="6B5CB5"/>
          </w:tcPr>
          <w:p>
            <w:pPr>
              <w:spacing w:after="40"/>
            </w:pPr>
            <w:r>
              <w:rPr>
                <w:b/>
                <w:color w:val="FFFFFF"/>
                <w:sz w:val="20"/>
              </w:rPr>
              <w:t>ν at Δt=600s</w:t>
            </w:r>
          </w:p>
        </w:tc>
      </w:tr>
      <w:tr>
        <w:tc>
          <w:tcPr>
            <w:tcW w:type="dxa" w:w="2448"/>
          </w:tcPr>
          <w:p>
            <w:pPr>
              <w:spacing w:after="40"/>
            </w:pPr>
            <w:r>
              <w:rPr>
                <w:color w:val="2C3142"/>
                <w:sz w:val="20"/>
              </w:rPr>
              <w:t>Bare soil  (2.31e-7 m²/s, 1.0 cm)</w:t>
            </w:r>
          </w:p>
        </w:tc>
        <w:tc>
          <w:tcPr>
            <w:tcW w:type="dxa" w:w="2448"/>
          </w:tcPr>
          <w:p>
            <w:pPr>
              <w:spacing w:after="40"/>
            </w:pPr>
            <w:r>
              <w:rPr>
                <w:color w:val="2C3142"/>
                <w:sz w:val="20"/>
              </w:rPr>
              <w:t>0.035 ✓</w:t>
            </w:r>
          </w:p>
        </w:tc>
        <w:tc>
          <w:tcPr>
            <w:tcW w:type="dxa" w:w="2448"/>
          </w:tcPr>
          <w:p>
            <w:pPr>
              <w:spacing w:after="40"/>
            </w:pPr>
            <w:r>
              <w:rPr>
                <w:color w:val="2C3142"/>
                <w:sz w:val="20"/>
              </w:rPr>
              <w:t>0.139 ✓</w:t>
            </w:r>
          </w:p>
        </w:tc>
        <w:tc>
          <w:tcPr>
            <w:tcW w:type="dxa" w:w="2448"/>
          </w:tcPr>
          <w:p>
            <w:pPr>
              <w:spacing w:after="40"/>
            </w:pPr>
            <w:r>
              <w:rPr>
                <w:color w:val="2C3142"/>
                <w:sz w:val="20"/>
              </w:rPr>
              <w:t>1.39 ✗ (mild)</w:t>
            </w:r>
          </w:p>
        </w:tc>
      </w:tr>
      <w:tr>
        <w:tc>
          <w:tcPr>
            <w:tcW w:type="dxa" w:w="2448"/>
          </w:tcPr>
          <w:p>
            <w:pPr>
              <w:spacing w:after="40"/>
            </w:pPr>
            <w:r>
              <w:rPr>
                <w:color w:val="2C3142"/>
                <w:sz w:val="20"/>
              </w:rPr>
              <w:t>Asphalt road (3.75e-7 m²/s, 0.5 cm)</w:t>
            </w:r>
          </w:p>
        </w:tc>
        <w:tc>
          <w:tcPr>
            <w:tcW w:type="dxa" w:w="2448"/>
          </w:tcPr>
          <w:p>
            <w:pPr>
              <w:spacing w:after="40"/>
            </w:pPr>
            <w:r>
              <w:rPr>
                <w:color w:val="2C3142"/>
                <w:sz w:val="20"/>
              </w:rPr>
              <w:t>0.225 ✓</w:t>
            </w:r>
          </w:p>
        </w:tc>
        <w:tc>
          <w:tcPr>
            <w:tcW w:type="dxa" w:w="2448"/>
          </w:tcPr>
          <w:p>
            <w:pPr>
              <w:spacing w:after="40"/>
            </w:pPr>
            <w:r>
              <w:rPr>
                <w:color w:val="2C3142"/>
                <w:sz w:val="20"/>
              </w:rPr>
              <w:t>0.900 ✗</w:t>
            </w:r>
          </w:p>
        </w:tc>
        <w:tc>
          <w:tcPr>
            <w:tcW w:type="dxa" w:w="2448"/>
          </w:tcPr>
          <w:p>
            <w:pPr>
              <w:spacing w:after="40"/>
            </w:pPr>
            <w:r>
              <w:rPr>
                <w:color w:val="2C3142"/>
                <w:sz w:val="20"/>
              </w:rPr>
              <w:t>9.00 ✗ (catastrophic)</w:t>
            </w:r>
          </w:p>
        </w:tc>
      </w:tr>
      <w:tr>
        <w:tc>
          <w:tcPr>
            <w:tcW w:type="dxa" w:w="2448"/>
          </w:tcPr>
          <w:p>
            <w:pPr>
              <w:spacing w:after="40"/>
            </w:pPr>
            <w:r>
              <w:rPr>
                <w:color w:val="2C3142"/>
                <w:sz w:val="20"/>
              </w:rPr>
              <w:t>Concrete roof (7.14e-7 m²/s, 0.5 cm)</w:t>
            </w:r>
          </w:p>
        </w:tc>
        <w:tc>
          <w:tcPr>
            <w:tcW w:type="dxa" w:w="2448"/>
          </w:tcPr>
          <w:p>
            <w:pPr>
              <w:spacing w:after="40"/>
            </w:pPr>
            <w:r>
              <w:rPr>
                <w:color w:val="2C3142"/>
                <w:sz w:val="20"/>
              </w:rPr>
              <w:t>0.428 ⚠</w:t>
            </w:r>
          </w:p>
        </w:tc>
        <w:tc>
          <w:tcPr>
            <w:tcW w:type="dxa" w:w="2448"/>
          </w:tcPr>
          <w:p>
            <w:pPr>
              <w:spacing w:after="40"/>
            </w:pPr>
            <w:r>
              <w:rPr>
                <w:color w:val="2C3142"/>
                <w:sz w:val="20"/>
              </w:rPr>
              <w:t>1.71 ✗</w:t>
            </w:r>
          </w:p>
        </w:tc>
        <w:tc>
          <w:tcPr>
            <w:tcW w:type="dxa" w:w="2448"/>
          </w:tcPr>
          <w:p>
            <w:pPr>
              <w:spacing w:after="40"/>
            </w:pPr>
            <w:r>
              <w:rPr>
                <w:color w:val="2C3142"/>
                <w:sz w:val="20"/>
              </w:rPr>
              <w:t>17.14 ✗ (catastrophic)</w:t>
            </w:r>
          </w:p>
        </w:tc>
      </w:tr>
    </w:tbl>
    <w:p>
      <w:pPr>
        <w:spacing w:before="160" w:after="160"/>
        <w:ind w:left="432" w:right="432"/>
      </w:pPr>
      <w:r>
        <w:rPr>
          <w:i/>
          <w:color w:val="2C8A83"/>
        </w:rPr>
        <w:t>Test 2 then confirmed these predictions: FTCS blew up at Δt=60s on asphalt and concrete, at Δt=600s on all three substrates (mildly on soil). BTCS and CN completed every run.</w:t>
      </w:r>
    </w:p>
    <w:p>
      <w:pPr>
        <w:spacing w:before="280" w:after="120"/>
      </w:pPr>
      <w:r>
        <w:rPr>
          <w:b/>
          <w:color w:val="6B5CB5"/>
          <w:sz w:val="32"/>
        </w:rPr>
        <w:t>8. The Two Experiments — Test 1 and Test 2</w:t>
      </w:r>
    </w:p>
    <w:p>
      <w:pPr>
        <w:spacing w:before="280" w:after="120"/>
      </w:pPr>
      <w:r>
        <w:rPr>
          <w:b/>
          <w:color w:val="6B5CB5"/>
          <w:sz w:val="26"/>
        </w:rPr>
        <w:t>Test 1 — Verification (does the solver work?)</w:t>
      </w:r>
    </w:p>
    <w:tbl>
      <w:tblPr>
        <w:tblStyle w:val="LightGrid-Accent1"/>
        <w:tblW w:type="auto" w:w="0"/>
        <w:tblLayout w:type="autofit"/>
        <w:tblLook w:firstColumn="1" w:firstRow="1" w:lastColumn="0" w:lastRow="0" w:noHBand="0" w:noVBand="1" w:val="04A0"/>
      </w:tblPr>
      <w:tblGrid>
        <w:gridCol w:w="4896"/>
        <w:gridCol w:w="4896"/>
      </w:tblGrid>
      <w:tr>
        <w:tc>
          <w:tcPr>
            <w:tcW w:type="dxa" w:w="4896"/>
            <w:shd w:fill="6B5CB5"/>
          </w:tcPr>
          <w:p>
            <w:pPr>
              <w:spacing w:after="40"/>
            </w:pPr>
            <w:r>
              <w:rPr>
                <w:b/>
                <w:color w:val="FFFFFF"/>
                <w:sz w:val="20"/>
              </w:rPr>
              <w:t>Setting</w:t>
            </w:r>
          </w:p>
        </w:tc>
        <w:tc>
          <w:tcPr>
            <w:tcW w:type="dxa" w:w="4896"/>
            <w:shd w:fill="6B5CB5"/>
          </w:tcPr>
          <w:p>
            <w:pPr>
              <w:spacing w:after="40"/>
            </w:pPr>
            <w:r>
              <w:rPr>
                <w:b/>
                <w:color w:val="FFFFFF"/>
                <w:sz w:val="20"/>
              </w:rPr>
              <w:t>Value</w:t>
            </w:r>
          </w:p>
        </w:tc>
      </w:tr>
      <w:tr>
        <w:tc>
          <w:tcPr>
            <w:tcW w:type="dxa" w:w="4896"/>
          </w:tcPr>
          <w:p>
            <w:pPr>
              <w:spacing w:after="40"/>
            </w:pPr>
            <w:r>
              <w:rPr>
                <w:color w:val="2C3142"/>
                <w:sz w:val="20"/>
              </w:rPr>
              <w:t>Substrate</w:t>
            </w:r>
          </w:p>
        </w:tc>
        <w:tc>
          <w:tcPr>
            <w:tcW w:type="dxa" w:w="4896"/>
          </w:tcPr>
          <w:p>
            <w:pPr>
              <w:spacing w:after="40"/>
            </w:pPr>
            <w:r>
              <w:rPr>
                <w:color w:val="2C3142"/>
                <w:sz w:val="20"/>
              </w:rPr>
              <w:t>Uniform sandy loam (1 material, no layers)</w:t>
            </w:r>
          </w:p>
        </w:tc>
      </w:tr>
      <w:tr>
        <w:tc>
          <w:tcPr>
            <w:tcW w:type="dxa" w:w="4896"/>
          </w:tcPr>
          <w:p>
            <w:pPr>
              <w:spacing w:after="40"/>
            </w:pPr>
            <w:r>
              <w:rPr>
                <w:color w:val="2C3142"/>
                <w:sz w:val="20"/>
              </w:rPr>
              <w:t>Grid</w:t>
            </w:r>
          </w:p>
        </w:tc>
        <w:tc>
          <w:tcPr>
            <w:tcW w:type="dxa" w:w="4896"/>
          </w:tcPr>
          <w:p>
            <w:pPr>
              <w:spacing w:after="40"/>
            </w:pPr>
            <w:r>
              <w:rPr>
                <w:color w:val="2C3142"/>
                <w:sz w:val="20"/>
              </w:rPr>
              <w:t>Uniform Δz = 1 cm everywhere</w:t>
            </w:r>
          </w:p>
        </w:tc>
      </w:tr>
      <w:tr>
        <w:tc>
          <w:tcPr>
            <w:tcW w:type="dxa" w:w="4896"/>
          </w:tcPr>
          <w:p>
            <w:pPr>
              <w:spacing w:after="40"/>
            </w:pPr>
            <w:r>
              <w:rPr>
                <w:color w:val="2C3142"/>
                <w:sz w:val="20"/>
              </w:rPr>
              <w:t>Surface BC</w:t>
            </w:r>
          </w:p>
        </w:tc>
        <w:tc>
          <w:tcPr>
            <w:tcW w:type="dxa" w:w="4896"/>
          </w:tcPr>
          <w:p>
            <w:pPr>
              <w:spacing w:after="40"/>
            </w:pPr>
            <w:r>
              <w:rPr>
                <w:color w:val="2C3142"/>
                <w:sz w:val="20"/>
              </w:rPr>
              <w:t>Prescribed: T_s⁰(t) = 292.5 + 7.5·cos(ω t) K</w:t>
            </w:r>
          </w:p>
        </w:tc>
      </w:tr>
      <w:tr>
        <w:tc>
          <w:tcPr>
            <w:tcW w:type="dxa" w:w="4896"/>
          </w:tcPr>
          <w:p>
            <w:pPr>
              <w:spacing w:after="40"/>
            </w:pPr>
            <w:r>
              <w:rPr>
                <w:color w:val="2C3142"/>
                <w:sz w:val="20"/>
              </w:rPr>
              <w:t>Bottom BC</w:t>
            </w:r>
          </w:p>
        </w:tc>
        <w:tc>
          <w:tcPr>
            <w:tcW w:type="dxa" w:w="4896"/>
          </w:tcPr>
          <w:p>
            <w:pPr>
              <w:spacing w:after="40"/>
            </w:pPr>
            <w:r>
              <w:rPr>
                <w:color w:val="2C3142"/>
                <w:sz w:val="20"/>
              </w:rPr>
              <w:t>Zero-flux Neumann at z = 2 m</w:t>
            </w:r>
          </w:p>
        </w:tc>
      </w:tr>
      <w:tr>
        <w:tc>
          <w:tcPr>
            <w:tcW w:type="dxa" w:w="4896"/>
          </w:tcPr>
          <w:p>
            <w:pPr>
              <w:spacing w:after="40"/>
            </w:pPr>
            <w:r>
              <w:rPr>
                <w:color w:val="2C3142"/>
                <w:sz w:val="20"/>
              </w:rPr>
              <w:t>Reference</w:t>
            </w:r>
          </w:p>
        </w:tc>
        <w:tc>
          <w:tcPr>
            <w:tcW w:type="dxa" w:w="4896"/>
          </w:tcPr>
          <w:p>
            <w:pPr>
              <w:spacing w:after="40"/>
            </w:pPr>
            <w:r>
              <w:rPr>
                <w:color w:val="2C3142"/>
                <w:sz w:val="20"/>
              </w:rPr>
              <w:t>Closed-form analytical damping-depth solution</w:t>
            </w:r>
          </w:p>
        </w:tc>
      </w:tr>
      <w:tr>
        <w:tc>
          <w:tcPr>
            <w:tcW w:type="dxa" w:w="4896"/>
          </w:tcPr>
          <w:p>
            <w:pPr>
              <w:spacing w:after="40"/>
            </w:pPr>
            <w:r>
              <w:rPr>
                <w:color w:val="2C3142"/>
                <w:sz w:val="20"/>
              </w:rPr>
              <w:t>Integration</w:t>
            </w:r>
          </w:p>
        </w:tc>
        <w:tc>
          <w:tcPr>
            <w:tcW w:type="dxa" w:w="4896"/>
          </w:tcPr>
          <w:p>
            <w:pPr>
              <w:spacing w:after="40"/>
            </w:pPr>
            <w:r>
              <w:rPr>
                <w:color w:val="2C3142"/>
                <w:sz w:val="20"/>
              </w:rPr>
              <w:t>5 diurnal cycles; day-5 used for diagnostics</w:t>
            </w:r>
          </w:p>
        </w:tc>
      </w:tr>
      <w:tr>
        <w:tc>
          <w:tcPr>
            <w:tcW w:type="dxa" w:w="4896"/>
          </w:tcPr>
          <w:p>
            <w:pPr>
              <w:spacing w:after="40"/>
            </w:pPr>
            <w:r>
              <w:rPr>
                <w:color w:val="2C3142"/>
                <w:sz w:val="20"/>
              </w:rPr>
              <w:t>Configurations</w:t>
            </w:r>
          </w:p>
        </w:tc>
        <w:tc>
          <w:tcPr>
            <w:tcW w:type="dxa" w:w="4896"/>
          </w:tcPr>
          <w:p>
            <w:pPr>
              <w:spacing w:after="40"/>
            </w:pPr>
            <w:r>
              <w:rPr>
                <w:color w:val="2C3142"/>
                <w:sz w:val="20"/>
              </w:rPr>
              <w:t>6: FTCS at ν=0.4 and ν=0.6; BTCS and CN at Δt=300 s and 900 s</w:t>
            </w:r>
          </w:p>
        </w:tc>
      </w:tr>
      <w:tr>
        <w:tc>
          <w:tcPr>
            <w:tcW w:type="dxa" w:w="4896"/>
          </w:tcPr>
          <w:p>
            <w:pPr>
              <w:spacing w:after="40"/>
            </w:pPr>
            <w:r>
              <w:rPr>
                <w:color w:val="2C3142"/>
                <w:sz w:val="20"/>
              </w:rPr>
              <w:t>Question answered</w:t>
            </w:r>
          </w:p>
        </w:tc>
        <w:tc>
          <w:tcPr>
            <w:tcW w:type="dxa" w:w="4896"/>
          </w:tcPr>
          <w:p>
            <w:pPr>
              <w:spacing w:after="40"/>
            </w:pPr>
            <w:r>
              <w:rPr>
                <w:color w:val="2C3142"/>
                <w:sz w:val="20"/>
              </w:rPr>
              <w:t>Does the solver reproduce the textbook analytical answer? (Yes.)</w:t>
            </w:r>
          </w:p>
        </w:tc>
      </w:tr>
    </w:tbl>
    <w:p>
      <w:pPr>
        <w:spacing w:after="120"/>
      </w:pPr>
      <w:r>
        <w:t>FTCS at ν = 0.6 was predicted to blow up. It did, at step 53 — matching the predicted geometric growth factor |1 − 4·0.6|^53 ≈ 5.5×10⁷ per step. Confirmation of the theory.</w:t>
      </w:r>
    </w:p>
    <w:p>
      <w:pPr>
        <w:spacing w:before="280" w:after="120"/>
      </w:pPr>
      <w:r>
        <w:rPr>
          <w:b/>
          <w:color w:val="6B5CB5"/>
          <w:sz w:val="26"/>
        </w:rPr>
        <w:t>Test 2 — Prognostic SEB (what we actually wanted to know)</w:t>
      </w:r>
    </w:p>
    <w:tbl>
      <w:tblPr>
        <w:tblStyle w:val="LightGrid-Accent1"/>
        <w:tblW w:type="auto" w:w="0"/>
        <w:tblLayout w:type="autofit"/>
        <w:tblLook w:firstColumn="1" w:firstRow="1" w:lastColumn="0" w:lastRow="0" w:noHBand="0" w:noVBand="1" w:val="04A0"/>
      </w:tblPr>
      <w:tblGrid>
        <w:gridCol w:w="4896"/>
        <w:gridCol w:w="4896"/>
      </w:tblGrid>
      <w:tr>
        <w:tc>
          <w:tcPr>
            <w:tcW w:type="dxa" w:w="4896"/>
            <w:shd w:fill="6B5CB5"/>
          </w:tcPr>
          <w:p>
            <w:pPr>
              <w:spacing w:after="40"/>
            </w:pPr>
            <w:r>
              <w:rPr>
                <w:b/>
                <w:color w:val="FFFFFF"/>
                <w:sz w:val="20"/>
              </w:rPr>
              <w:t>Setting</w:t>
            </w:r>
          </w:p>
        </w:tc>
        <w:tc>
          <w:tcPr>
            <w:tcW w:type="dxa" w:w="4896"/>
            <w:shd w:fill="6B5CB5"/>
          </w:tcPr>
          <w:p>
            <w:pPr>
              <w:spacing w:after="40"/>
            </w:pPr>
            <w:r>
              <w:rPr>
                <w:b/>
                <w:color w:val="FFFFFF"/>
                <w:sz w:val="20"/>
              </w:rPr>
              <w:t>Value</w:t>
            </w:r>
          </w:p>
        </w:tc>
      </w:tr>
      <w:tr>
        <w:tc>
          <w:tcPr>
            <w:tcW w:type="dxa" w:w="4896"/>
          </w:tcPr>
          <w:p>
            <w:pPr>
              <w:spacing w:after="40"/>
            </w:pPr>
            <w:r>
              <w:rPr>
                <w:color w:val="2C3142"/>
                <w:sz w:val="20"/>
              </w:rPr>
              <w:t>Substrate</w:t>
            </w:r>
          </w:p>
        </w:tc>
        <w:tc>
          <w:tcPr>
            <w:tcW w:type="dxa" w:w="4896"/>
          </w:tcPr>
          <w:p>
            <w:pPr>
              <w:spacing w:after="40"/>
            </w:pPr>
            <w:r>
              <w:rPr>
                <w:color w:val="2C3142"/>
                <w:sz w:val="20"/>
              </w:rPr>
              <w:t>Three: asphalt road, concrete roof, bare soil</w:t>
            </w:r>
          </w:p>
        </w:tc>
      </w:tr>
      <w:tr>
        <w:tc>
          <w:tcPr>
            <w:tcW w:type="dxa" w:w="4896"/>
          </w:tcPr>
          <w:p>
            <w:pPr>
              <w:spacing w:after="40"/>
            </w:pPr>
            <w:r>
              <w:rPr>
                <w:color w:val="2C3142"/>
                <w:sz w:val="20"/>
              </w:rPr>
              <w:t>Grid</w:t>
            </w:r>
          </w:p>
        </w:tc>
        <w:tc>
          <w:tcPr>
            <w:tcW w:type="dxa" w:w="4896"/>
          </w:tcPr>
          <w:p>
            <w:pPr>
              <w:spacing w:after="40"/>
            </w:pPr>
            <w:r>
              <w:rPr>
                <w:color w:val="2C3142"/>
                <w:sz w:val="20"/>
              </w:rPr>
              <w:t>Stretched per-substrate: top 0.5-1 cm, geometric stretch 1.18-1.25, bottom ≈ 30 cm</w:t>
            </w:r>
          </w:p>
        </w:tc>
      </w:tr>
      <w:tr>
        <w:tc>
          <w:tcPr>
            <w:tcW w:type="dxa" w:w="4896"/>
          </w:tcPr>
          <w:p>
            <w:pPr>
              <w:spacing w:after="40"/>
            </w:pPr>
            <w:r>
              <w:rPr>
                <w:color w:val="2C3142"/>
                <w:sz w:val="20"/>
              </w:rPr>
              <w:t>Surface BC</w:t>
            </w:r>
          </w:p>
        </w:tc>
        <w:tc>
          <w:tcPr>
            <w:tcW w:type="dxa" w:w="4896"/>
          </w:tcPr>
          <w:p>
            <w:pPr>
              <w:spacing w:after="40"/>
            </w:pPr>
            <w:r>
              <w:rPr>
                <w:color w:val="2C3142"/>
                <w:sz w:val="20"/>
              </w:rPr>
              <w:t>Prognostic: T_s⁰ from SEB Newton iteration (top BC §6a above)</w:t>
            </w:r>
          </w:p>
        </w:tc>
      </w:tr>
      <w:tr>
        <w:tc>
          <w:tcPr>
            <w:tcW w:type="dxa" w:w="4896"/>
          </w:tcPr>
          <w:p>
            <w:pPr>
              <w:spacing w:after="40"/>
            </w:pPr>
            <w:r>
              <w:rPr>
                <w:color w:val="2C3142"/>
                <w:sz w:val="20"/>
              </w:rPr>
              <w:t>Bottom BC</w:t>
            </w:r>
          </w:p>
        </w:tc>
        <w:tc>
          <w:tcPr>
            <w:tcW w:type="dxa" w:w="4896"/>
          </w:tcPr>
          <w:p>
            <w:pPr>
              <w:spacing w:after="40"/>
            </w:pPr>
            <w:r>
              <w:rPr>
                <w:color w:val="2C3142"/>
                <w:sz w:val="20"/>
              </w:rPr>
              <w:t>Zero-flux Neumann at z = 2 m</w:t>
            </w:r>
          </w:p>
        </w:tc>
      </w:tr>
      <w:tr>
        <w:tc>
          <w:tcPr>
            <w:tcW w:type="dxa" w:w="4896"/>
          </w:tcPr>
          <w:p>
            <w:pPr>
              <w:spacing w:after="40"/>
            </w:pPr>
            <w:r>
              <w:rPr>
                <w:color w:val="2C3142"/>
                <w:sz w:val="20"/>
              </w:rPr>
              <w:t>Reference</w:t>
            </w:r>
          </w:p>
        </w:tc>
        <w:tc>
          <w:tcPr>
            <w:tcW w:type="dxa" w:w="4896"/>
          </w:tcPr>
          <w:p>
            <w:pPr>
              <w:spacing w:after="40"/>
            </w:pPr>
            <w:r>
              <w:rPr>
                <w:color w:val="2C3142"/>
                <w:sz w:val="20"/>
              </w:rPr>
              <w:t>FTCS at Δt = 15 s on the same substrate</w:t>
            </w:r>
          </w:p>
        </w:tc>
      </w:tr>
      <w:tr>
        <w:tc>
          <w:tcPr>
            <w:tcW w:type="dxa" w:w="4896"/>
          </w:tcPr>
          <w:p>
            <w:pPr>
              <w:spacing w:after="40"/>
            </w:pPr>
            <w:r>
              <w:rPr>
                <w:color w:val="2C3142"/>
                <w:sz w:val="20"/>
              </w:rPr>
              <w:t>Integration</w:t>
            </w:r>
          </w:p>
        </w:tc>
        <w:tc>
          <w:tcPr>
            <w:tcW w:type="dxa" w:w="4896"/>
          </w:tcPr>
          <w:p>
            <w:pPr>
              <w:spacing w:after="40"/>
            </w:pPr>
            <w:r>
              <w:rPr>
                <w:color w:val="2C3142"/>
                <w:sz w:val="20"/>
              </w:rPr>
              <w:t>2 diurnal cycles; day-2 used for diagnostics</w:t>
            </w:r>
          </w:p>
        </w:tc>
      </w:tr>
      <w:tr>
        <w:tc>
          <w:tcPr>
            <w:tcW w:type="dxa" w:w="4896"/>
          </w:tcPr>
          <w:p>
            <w:pPr>
              <w:spacing w:after="40"/>
            </w:pPr>
            <w:r>
              <w:rPr>
                <w:color w:val="2C3142"/>
                <w:sz w:val="20"/>
              </w:rPr>
              <w:t>Configurations</w:t>
            </w:r>
          </w:p>
        </w:tc>
        <w:tc>
          <w:tcPr>
            <w:tcW w:type="dxa" w:w="4896"/>
          </w:tcPr>
          <w:p>
            <w:pPr>
              <w:spacing w:after="40"/>
            </w:pPr>
            <w:r>
              <w:rPr>
                <w:color w:val="2C3142"/>
                <w:sz w:val="20"/>
              </w:rPr>
              <w:t>27: 3 substrates × 3 schemes (FTCS/BTCS/CN) × 3 Δt (15 / 60 / 600 s)</w:t>
            </w:r>
          </w:p>
        </w:tc>
      </w:tr>
      <w:tr>
        <w:tc>
          <w:tcPr>
            <w:tcW w:type="dxa" w:w="4896"/>
          </w:tcPr>
          <w:p>
            <w:pPr>
              <w:spacing w:after="40"/>
            </w:pPr>
            <w:r>
              <w:rPr>
                <w:color w:val="2C3142"/>
                <w:sz w:val="20"/>
              </w:rPr>
              <w:t>Question answered</w:t>
            </w:r>
          </w:p>
        </w:tc>
        <w:tc>
          <w:tcPr>
            <w:tcW w:type="dxa" w:w="4896"/>
          </w:tcPr>
          <w:p>
            <w:pPr>
              <w:spacing w:after="40"/>
            </w:pPr>
            <w:r>
              <w:rPr>
                <w:color w:val="2C3142"/>
                <w:sz w:val="20"/>
              </w:rPr>
              <w:t>How do FTCS, BTCS, CN compare at operational time steps on real urban substrates?</w:t>
            </w:r>
          </w:p>
        </w:tc>
      </w:tr>
    </w:tbl>
    <w:p>
      <w:pPr>
        <w:spacing w:before="280" w:after="120"/>
      </w:pPr>
      <w:r>
        <w:rPr>
          <w:b/>
          <w:color w:val="6B5CB5"/>
          <w:sz w:val="32"/>
        </w:rPr>
        <w:t>9. Algorithm — What Runs Inside One Time Step</w:t>
      </w:r>
    </w:p>
    <w:p>
      <w:pPr>
        <w:spacing w:after="120"/>
      </w:pPr>
      <w:r>
        <w:t>For each substrate × scheme α × Δt cell of the matrix, the following loop executes:</w:t>
      </w:r>
    </w:p>
    <w:p>
      <w:pPr>
        <w:spacing w:after="0" w:before="0"/>
        <w:ind w:left="576"/>
      </w:pPr>
      <w:r>
        <w:rPr>
          <w:rFonts w:ascii="Consolas" w:hAnsi="Consolas"/>
          <w:color w:val="2C3142"/>
          <w:sz w:val="20"/>
        </w:rPr>
        <w:t>for step in range(N_steps):</w:t>
      </w:r>
    </w:p>
    <w:p>
      <w:pPr>
        <w:spacing w:after="0" w:before="0"/>
        <w:ind w:left="576"/>
      </w:pPr>
      <w:r>
        <w:rPr>
          <w:rFonts w:ascii="Consolas" w:hAnsi="Consolas"/>
          <w:color w:val="2C3142"/>
          <w:sz w:val="20"/>
        </w:rPr>
        <w:t xml:space="preserve">    # SUB-STEP A: column update (theta-method)</w:t>
      </w:r>
    </w:p>
    <w:p>
      <w:pPr>
        <w:spacing w:after="0" w:before="0"/>
        <w:ind w:left="576"/>
      </w:pPr>
      <w:r>
        <w:rPr>
          <w:rFonts w:ascii="Consolas" w:hAnsi="Consolas"/>
          <w:color w:val="2C3142"/>
          <w:sz w:val="20"/>
        </w:rPr>
        <w:t xml:space="preserve">    G_half = harmonic_mean_lambda * (T - T_neighbour) / dz_centre   # half-level fluxes</w:t>
      </w:r>
    </w:p>
    <w:p>
      <w:pPr>
        <w:spacing w:after="0" w:before="0"/>
        <w:ind w:left="576"/>
      </w:pPr>
      <w:r>
        <w:rPr>
          <w:rFonts w:ascii="Consolas" w:hAnsi="Consolas"/>
          <w:color w:val="2C3142"/>
          <w:sz w:val="20"/>
        </w:rPr>
        <w:t xml:space="preserve">    if alpha == 0:</w:t>
      </w:r>
    </w:p>
    <w:p>
      <w:pPr>
        <w:spacing w:after="0" w:before="0"/>
        <w:ind w:left="576"/>
      </w:pPr>
      <w:r>
        <w:rPr>
          <w:rFonts w:ascii="Consolas" w:hAnsi="Consolas"/>
          <w:color w:val="2C3142"/>
          <w:sz w:val="20"/>
        </w:rPr>
        <w:t xml:space="preserve">        # FTCS — explicit, no linear system</w:t>
      </w:r>
    </w:p>
    <w:p>
      <w:pPr>
        <w:spacing w:after="0" w:before="0"/>
        <w:ind w:left="576"/>
      </w:pPr>
      <w:r>
        <w:rPr>
          <w:rFonts w:ascii="Consolas" w:hAnsi="Consolas"/>
          <w:color w:val="2C3142"/>
          <w:sz w:val="20"/>
        </w:rPr>
        <w:t xml:space="preserve">        T_new = T + dt / (C * dz) * (G_half[:-1] - G_half[1:])</w:t>
      </w:r>
    </w:p>
    <w:p>
      <w:pPr>
        <w:spacing w:after="0" w:before="0"/>
        <w:ind w:left="576"/>
      </w:pPr>
      <w:r>
        <w:rPr>
          <w:rFonts w:ascii="Consolas" w:hAnsi="Consolas"/>
          <w:color w:val="2C3142"/>
          <w:sz w:val="20"/>
        </w:rPr>
        <w:t xml:space="preserve">    else:</w:t>
      </w:r>
    </w:p>
    <w:p>
      <w:pPr>
        <w:spacing w:after="0" w:before="0"/>
        <w:ind w:left="576"/>
      </w:pPr>
      <w:r>
        <w:rPr>
          <w:rFonts w:ascii="Consolas" w:hAnsi="Consolas"/>
          <w:color w:val="2C3142"/>
          <w:sz w:val="20"/>
        </w:rPr>
        <w:t xml:space="preserve">        # BTCS (alpha=1) or CN (alpha=0.5) — implicit, tridiagonal solve</w:t>
      </w:r>
    </w:p>
    <w:p>
      <w:pPr>
        <w:spacing w:after="0" w:before="0"/>
        <w:ind w:left="576"/>
      </w:pPr>
      <w:r>
        <w:rPr>
          <w:rFonts w:ascii="Consolas" w:hAnsi="Consolas"/>
          <w:color w:val="2C3142"/>
          <w:sz w:val="20"/>
        </w:rPr>
        <w:t xml:space="preserve">        A_band, b = build_tridiagonal_system(T, alpha, dt, dz, lambda_half, C)</w:t>
      </w:r>
    </w:p>
    <w:p>
      <w:pPr>
        <w:spacing w:after="0" w:before="0"/>
        <w:ind w:left="576"/>
      </w:pPr>
      <w:r>
        <w:rPr>
          <w:rFonts w:ascii="Consolas" w:hAnsi="Consolas"/>
          <w:color w:val="2C3142"/>
          <w:sz w:val="20"/>
        </w:rPr>
        <w:t xml:space="preserve">        T_new = scipy.linalg.solve_banded((1, 1), A_band, b)</w:t>
      </w:r>
    </w:p>
    <w:p>
      <w:pPr>
        <w:spacing w:after="0" w:before="0"/>
        <w:ind w:left="576"/>
      </w:pPr>
      <w:r>
        <w:rPr>
          <w:rFonts w:ascii="Consolas" w:hAnsi="Consolas"/>
          <w:color w:val="2C3142"/>
          <w:sz w:val="20"/>
        </w:rPr>
        <w:t xml:space="preserve"> </w:t>
      </w:r>
    </w:p>
    <w:p>
      <w:pPr>
        <w:spacing w:after="0" w:before="0"/>
        <w:ind w:left="576"/>
      </w:pPr>
      <w:r>
        <w:rPr>
          <w:rFonts w:ascii="Consolas" w:hAnsi="Consolas"/>
          <w:color w:val="2C3142"/>
          <w:sz w:val="20"/>
        </w:rPr>
        <w:t xml:space="preserve">    # Apply bottom BC (zero-flux Neumann)</w:t>
      </w:r>
    </w:p>
    <w:p>
      <w:pPr>
        <w:spacing w:after="0" w:before="0"/>
        <w:ind w:left="576"/>
      </w:pPr>
      <w:r>
        <w:rPr>
          <w:rFonts w:ascii="Consolas" w:hAnsi="Consolas"/>
          <w:color w:val="2C3142"/>
          <w:sz w:val="20"/>
        </w:rPr>
        <w:t xml:space="preserve">    T_new[N-1] = T_new[N-2]</w:t>
      </w:r>
    </w:p>
    <w:p>
      <w:pPr>
        <w:spacing w:after="0" w:before="0"/>
        <w:ind w:left="576"/>
      </w:pPr>
      <w:r>
        <w:rPr>
          <w:rFonts w:ascii="Consolas" w:hAnsi="Consolas"/>
          <w:color w:val="2C3142"/>
          <w:sz w:val="20"/>
        </w:rPr>
        <w:t xml:space="preserve"> </w:t>
      </w:r>
    </w:p>
    <w:p>
      <w:pPr>
        <w:spacing w:after="0" w:before="0"/>
        <w:ind w:left="576"/>
      </w:pPr>
      <w:r>
        <w:rPr>
          <w:rFonts w:ascii="Consolas" w:hAnsi="Consolas"/>
          <w:color w:val="2C3142"/>
          <w:sz w:val="20"/>
        </w:rPr>
        <w:t xml:space="preserve">    # SUB-STEP B: SEB update (Newton iteration for new T_s^0)</w:t>
      </w:r>
    </w:p>
    <w:p>
      <w:pPr>
        <w:spacing w:after="0" w:before="0"/>
        <w:ind w:left="576"/>
      </w:pPr>
      <w:r>
        <w:rPr>
          <w:rFonts w:ascii="Consolas" w:hAnsi="Consolas"/>
          <w:color w:val="2C3142"/>
          <w:sz w:val="20"/>
        </w:rPr>
        <w:t xml:space="preserve">    Ts0 = Ts0_old</w:t>
      </w:r>
    </w:p>
    <w:p>
      <w:pPr>
        <w:spacing w:after="0" w:before="0"/>
        <w:ind w:left="576"/>
      </w:pPr>
      <w:r>
        <w:rPr>
          <w:rFonts w:ascii="Consolas" w:hAnsi="Consolas"/>
          <w:color w:val="2C3142"/>
          <w:sz w:val="20"/>
        </w:rPr>
        <w:t xml:space="preserve">    for _ in range(MAX_ITER):</w:t>
      </w:r>
    </w:p>
    <w:p>
      <w:pPr>
        <w:spacing w:after="0" w:before="0"/>
        <w:ind w:left="576"/>
      </w:pPr>
      <w:r>
        <w:rPr>
          <w:rFonts w:ascii="Consolas" w:hAnsi="Consolas"/>
          <w:color w:val="2C3142"/>
          <w:sz w:val="20"/>
        </w:rPr>
        <w:t xml:space="preserve">        F  = R_n(Ts0) - H(Ts0) - LE - G(Ts0, T_new[1])</w:t>
      </w:r>
    </w:p>
    <w:p>
      <w:pPr>
        <w:spacing w:after="0" w:before="0"/>
        <w:ind w:left="576"/>
      </w:pPr>
      <w:r>
        <w:rPr>
          <w:rFonts w:ascii="Consolas" w:hAnsi="Consolas"/>
          <w:color w:val="2C3142"/>
          <w:sz w:val="20"/>
        </w:rPr>
        <w:t xml:space="preserve">        dF = dR_n/dT - dH/dT - dG/dT</w:t>
      </w:r>
    </w:p>
    <w:p>
      <w:pPr>
        <w:spacing w:after="0" w:before="0"/>
        <w:ind w:left="576"/>
      </w:pPr>
      <w:r>
        <w:rPr>
          <w:rFonts w:ascii="Consolas" w:hAnsi="Consolas"/>
          <w:color w:val="2C3142"/>
          <w:sz w:val="20"/>
        </w:rPr>
        <w:t xml:space="preserve">        dTs = -F / dF</w:t>
      </w:r>
    </w:p>
    <w:p>
      <w:pPr>
        <w:spacing w:after="0" w:before="0"/>
        <w:ind w:left="576"/>
      </w:pPr>
      <w:r>
        <w:rPr>
          <w:rFonts w:ascii="Consolas" w:hAnsi="Consolas"/>
          <w:color w:val="2C3142"/>
          <w:sz w:val="20"/>
        </w:rPr>
        <w:t xml:space="preserve">        Ts0 = Ts0 + dTs</w:t>
      </w:r>
    </w:p>
    <w:p>
      <w:pPr>
        <w:spacing w:after="0" w:before="0"/>
        <w:ind w:left="576"/>
      </w:pPr>
      <w:r>
        <w:rPr>
          <w:rFonts w:ascii="Consolas" w:hAnsi="Consolas"/>
          <w:color w:val="2C3142"/>
          <w:sz w:val="20"/>
        </w:rPr>
        <w:t xml:space="preserve">        if abs(dTs) &lt; 1e-4: break</w:t>
      </w:r>
    </w:p>
    <w:p>
      <w:pPr>
        <w:spacing w:after="0" w:before="0"/>
        <w:ind w:left="576"/>
      </w:pPr>
      <w:r>
        <w:rPr>
          <w:rFonts w:ascii="Consolas" w:hAnsi="Consolas"/>
          <w:color w:val="2C3142"/>
          <w:sz w:val="20"/>
        </w:rPr>
        <w:t xml:space="preserve"> </w:t>
      </w:r>
    </w:p>
    <w:p>
      <w:pPr>
        <w:spacing w:after="0" w:before="0"/>
        <w:ind w:left="576"/>
      </w:pPr>
      <w:r>
        <w:rPr>
          <w:rFonts w:ascii="Consolas" w:hAnsi="Consolas"/>
          <w:color w:val="2C3142"/>
          <w:sz w:val="20"/>
        </w:rPr>
        <w:t xml:space="preserve">    # Update top cell to the new surface temperature</w:t>
      </w:r>
    </w:p>
    <w:p>
      <w:pPr>
        <w:spacing w:after="0" w:before="0"/>
        <w:ind w:left="576"/>
      </w:pPr>
      <w:r>
        <w:rPr>
          <w:rFonts w:ascii="Consolas" w:hAnsi="Consolas"/>
          <w:color w:val="2C3142"/>
          <w:sz w:val="20"/>
        </w:rPr>
        <w:t xml:space="preserve">    T_new[0] = Ts0</w:t>
      </w:r>
    </w:p>
    <w:p>
      <w:pPr>
        <w:spacing w:after="0" w:before="0"/>
        <w:ind w:left="576"/>
      </w:pPr>
      <w:r>
        <w:rPr>
          <w:rFonts w:ascii="Consolas" w:hAnsi="Consolas"/>
          <w:color w:val="2C3142"/>
          <w:sz w:val="20"/>
        </w:rPr>
        <w:t xml:space="preserve"> </w:t>
      </w:r>
    </w:p>
    <w:p>
      <w:pPr>
        <w:spacing w:after="0" w:before="0"/>
        <w:ind w:left="576"/>
      </w:pPr>
      <w:r>
        <w:rPr>
          <w:rFonts w:ascii="Consolas" w:hAnsi="Consolas"/>
          <w:color w:val="2C3142"/>
          <w:sz w:val="20"/>
        </w:rPr>
        <w:t xml:space="preserve">    # Advance time</w:t>
      </w:r>
    </w:p>
    <w:p>
      <w:pPr>
        <w:spacing w:after="0" w:before="0"/>
        <w:ind w:left="576"/>
      </w:pPr>
      <w:r>
        <w:rPr>
          <w:rFonts w:ascii="Consolas" w:hAnsi="Consolas"/>
          <w:color w:val="2C3142"/>
          <w:sz w:val="20"/>
        </w:rPr>
        <w:t xml:space="preserve">    T = T_new</w:t>
      </w:r>
    </w:p>
    <w:p>
      <w:pPr>
        <w:spacing w:after="0" w:before="0"/>
        <w:ind w:left="576"/>
      </w:pPr>
      <w:r>
        <w:rPr>
          <w:rFonts w:ascii="Consolas" w:hAnsi="Consolas"/>
          <w:color w:val="2C3142"/>
          <w:sz w:val="20"/>
        </w:rPr>
        <w:t xml:space="preserve">    t = t + dt</w:t>
      </w:r>
    </w:p>
    <w:p>
      <w:pPr>
        <w:spacing w:after="0" w:before="0"/>
        <w:ind w:left="576"/>
      </w:pPr>
      <w:r>
        <w:rPr>
          <w:rFonts w:ascii="Consolas" w:hAnsi="Consolas"/>
          <w:color w:val="2C3142"/>
          <w:sz w:val="20"/>
        </w:rPr>
        <w:t xml:space="preserve">    record(Ts0, G_half[0])</w:t>
      </w:r>
    </w:p>
    <w:p>
      <w:pPr>
        <w:spacing w:before="160" w:after="160"/>
        <w:ind w:left="432" w:right="432"/>
      </w:pPr>
      <w:r>
        <w:rPr>
          <w:i/>
          <w:color w:val="2C8A83"/>
        </w:rPr>
        <w:t>Order of operations is the key design choice: column FIRST (holding T_s⁰ fixed), then SEB SECOND (holding column fixed). This is the operator splitting that produces the first-order error analysed in §5.2 of the report.</w:t>
      </w:r>
    </w:p>
    <w:p>
      <w:pPr>
        <w:spacing w:before="280" w:after="120"/>
      </w:pPr>
      <w:r>
        <w:rPr>
          <w:b/>
          <w:color w:val="6B5CB5"/>
          <w:sz w:val="32"/>
        </w:rPr>
        <w:t>10. What the Results Showed (one-page summary)</w:t>
      </w:r>
    </w:p>
    <w:p>
      <w:pPr>
        <w:spacing w:before="280" w:after="120"/>
      </w:pPr>
      <w:r>
        <w:rPr>
          <w:b/>
          <w:color w:val="6B5CB5"/>
          <w:sz w:val="26"/>
        </w:rPr>
        <w:t>From Test 1 (verification)</w:t>
      </w:r>
    </w:p>
    <w:p>
      <w:pPr>
        <w:pStyle w:val="ListBullet"/>
        <w:spacing w:after="40"/>
      </w:pPr>
      <w:r>
        <w:t>FTCS at ν = 0.4: RMSE_T = 0.007 K — essentially exact.</w:t>
      </w:r>
    </w:p>
    <w:p>
      <w:pPr>
        <w:pStyle w:val="ListBullet"/>
        <w:spacing w:after="40"/>
      </w:pPr>
      <w:r>
        <w:t>FTCS at ν = 0.6: BLEW UP at step 53 — exactly as von Neumann predicted.</w:t>
      </w:r>
    </w:p>
    <w:p>
      <w:pPr>
        <w:pStyle w:val="ListBullet"/>
        <w:spacing w:after="40"/>
      </w:pPr>
      <w:r>
        <w:t>BTCS error grows linearly with Δt (first-order). CN error stays flat (second-order behaviour at this regime).</w:t>
      </w:r>
    </w:p>
    <w:p>
      <w:pPr>
        <w:pStyle w:val="ListBullet"/>
        <w:spacing w:after="40"/>
      </w:pPr>
      <w:r>
        <w:t>Conclusion: solver passes verification. Trust it on Test 2.</w:t>
      </w:r>
    </w:p>
    <w:p>
      <w:pPr>
        <w:spacing w:before="280" w:after="120"/>
      </w:pPr>
      <w:r>
        <w:rPr>
          <w:b/>
          <w:color w:val="6B5CB5"/>
          <w:sz w:val="26"/>
        </w:rPr>
        <w:t>From Test 2 (prognostic SEB)</w:t>
      </w:r>
    </w:p>
    <w:p>
      <w:pPr>
        <w:pStyle w:val="ListBullet"/>
        <w:spacing w:after="40"/>
      </w:pPr>
      <w:r>
        <w:t>At Δt = 15 s: all three schemes agree to line-thickness on every substrate. Control condition.</w:t>
      </w:r>
    </w:p>
    <w:p>
      <w:pPr>
        <w:pStyle w:val="ListBullet"/>
        <w:spacing w:after="40"/>
      </w:pPr>
      <w:r>
        <w:t>At Δt = 60 s: FTCS blows up on asphalt (ν=0.90) and concrete (ν=1.71). BTCS and CN run to completion.</w:t>
      </w:r>
    </w:p>
    <w:p>
      <w:pPr>
        <w:pStyle w:val="ListBullet"/>
        <w:spacing w:after="40"/>
      </w:pPr>
      <w:r>
        <w:t>At Δt = 600 s: FTCS catastrophically unstable on asphalt and concrete; mildly unstable on soil. BTCS over-amplifies the diurnal G amplitude by 40 % / 41 % / 19 % (asphalt / roof / soil). CN halves these errors to 21 % / 26 % / 10 %.</w:t>
      </w:r>
    </w:p>
    <w:p>
      <w:pPr>
        <w:pStyle w:val="ListBullet"/>
        <w:spacing w:after="40"/>
      </w:pPr>
      <w:r>
        <w:t>Δt-refinement ratios: all six BTCS and CN values cluster in [8.2, 10.2] — first-order in Δt for both schemes, even though CN is intrinsically second-order. This is the smoking-gun signature of operator-splitting error.</w:t>
      </w:r>
    </w:p>
    <w:p>
      <w:pPr>
        <w:pStyle w:val="ListBullet"/>
        <w:spacing w:after="40"/>
      </w:pPr>
      <w:r>
        <w:t>SHAP attribution on a 150-column synthetic ensemble: κ_top is the dominant predictor of BTCS coarse-Δt error, with R² = 0.92 from κ_top alone.</w:t>
      </w:r>
    </w:p>
    <w:p>
      <w:pPr>
        <w:pStyle w:val="ListBullet"/>
        <w:spacing w:after="40"/>
      </w:pPr>
      <w:r>
        <w:t>Daily storage integral preserved within ±5 % across all schemes — so the over-amplification is symmetric (daytime overshoot + nighttime undershoot), preserving the daily mean. Implication: UHI diurnal range is biased, but UHI daily mean is preserved.</w:t>
      </w:r>
    </w:p>
    <w:p>
      <w:pPr>
        <w:spacing w:before="280" w:after="120"/>
      </w:pPr>
      <w:r>
        <w:rPr>
          <w:b/>
          <w:color w:val="6B5CB5"/>
          <w:sz w:val="26"/>
        </w:rPr>
        <w:t>Why the operator-splitting error dominates</w:t>
      </w:r>
    </w:p>
    <w:p>
      <w:pPr>
        <w:spacing w:after="120"/>
      </w:pPr>
      <w:r>
        <w:t>At every step, sub-step A advances the column with the OLD surface temperature, and sub-step B then updates the surface temperature with the NEW column. The column therefore equilibrates to the wrong T_s⁰ during sub-step A, and the discrepancy manifests as a spurious top-cell gradient. This error is first-order in Δt regardless of the per-substep scheme — which is why CN (intrinsically second-order) shows the same ratio of 10 as BTCS (first-order) when Δt scales by 10.</w:t>
      </w:r>
    </w:p>
    <w:p>
      <w:pPr>
        <w:spacing w:after="120"/>
      </w:pPr>
      <w:r>
        <w:t>Two fixes were sketched in §5.4 of the report but not implemented: a fully coupled SEB row in the tridiagonal solve, or a Strang-symmetric splitting (A → B → A with half-step intervals). Either would eliminate the leading first-order splitting error.</w:t>
      </w:r>
    </w:p>
    <w:p>
      <w:pPr>
        <w:spacing w:before="280" w:after="120"/>
      </w:pPr>
      <w:r>
        <w:rPr>
          <w:b/>
          <w:color w:val="6B5CB5"/>
          <w:sz w:val="32"/>
        </w:rPr>
        <w:t>Appendix — The atmospheric forcing functions</w:t>
      </w:r>
    </w:p>
    <w:p>
      <w:pPr>
        <w:spacing w:after="120"/>
      </w:pPr>
      <w:r>
        <w:t>Synthetic, fully reproducible, sinusoidal:</w:t>
      </w:r>
    </w:p>
    <w:p>
      <w:pPr>
        <w:spacing w:before="80" w:after="160"/>
        <w:jc w:val="center"/>
      </w:pPr>
      <w:r>
        <w:rPr>
          <w:rFonts w:ascii="Cambria Math" w:hAnsi="Cambria Math"/>
          <w:color w:val="2C3142"/>
          <w:sz w:val="26"/>
        </w:rPr>
        <w:t>S↓(t) = max[1000 · cos(ω(t − 12 h)), 0]  W/m²</w:t>
      </w:r>
    </w:p>
    <w:p>
      <w:pPr>
        <w:spacing w:before="80" w:after="160"/>
        <w:jc w:val="center"/>
      </w:pPr>
      <w:r>
        <w:rPr>
          <w:rFonts w:ascii="Cambria Math" w:hAnsi="Cambria Math"/>
          <w:color w:val="2C3142"/>
          <w:sz w:val="26"/>
        </w:rPr>
        <w:t>L↓(t) = 350 + 20 · cos(ω(t − 14 h))     W/m²</w:t>
      </w:r>
    </w:p>
    <w:p>
      <w:pPr>
        <w:spacing w:before="80" w:after="160"/>
        <w:jc w:val="center"/>
      </w:pPr>
      <w:r>
        <w:rPr>
          <w:rFonts w:ascii="Cambria Math" w:hAnsi="Cambria Math"/>
          <w:color w:val="2C3142"/>
          <w:sz w:val="26"/>
        </w:rPr>
        <w:t>T_a(t) = 292.5 + 7.5 · cos(ω(t − 14 h)) K</w:t>
      </w:r>
    </w:p>
    <w:p>
      <w:pPr>
        <w:spacing w:before="80" w:after="160"/>
        <w:jc w:val="center"/>
      </w:pPr>
      <w:r>
        <w:rPr>
          <w:rFonts w:ascii="Cambria Math" w:hAnsi="Cambria Math"/>
          <w:color w:val="2C3142"/>
          <w:sz w:val="26"/>
        </w:rPr>
        <w:t>U(t) = 3 m/s   (constant)</w:t>
      </w:r>
    </w:p>
    <w:p>
      <w:pPr>
        <w:spacing w:after="120"/>
      </w:pPr>
      <w:r>
        <w:t>with ω = 2π / 86400 s ≈ 7.27 × 10⁻⁵ rad/s (one full cycle per day). Solar peaks at noon; air temperature and longwave peak 2 hours later at 14:00 LT, modelling the typical afternoon thermal lag.</w:t>
      </w:r>
    </w:p>
    <w:p/>
    <w:p>
      <w:pPr>
        <w:jc w:val="center"/>
      </w:pPr>
      <w:r>
        <w:rPr>
          <w:i/>
          <w:color w:val="4A5066"/>
          <w:sz w:val="20"/>
        </w:rPr>
        <w:t>— End of cheat-sheet —</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