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sz w:val="30"/>
          <w:szCs w:val="30"/>
        </w:rPr>
        <w:t xml:space="preserve">Numerical Damping of the Diurnal Ground Heat Flux over Urban Substrates</w:t>
      </w:r>
    </w:p>
    <w:p>
      <w:pPr>
        <w:spacing w:after="80"/>
        <w:jc w:val="center"/>
      </w:pPr>
      <w:r>
        <w:rPr>
          <w:rFonts w:ascii="Calibri" w:cs="Calibri" w:eastAsia="Calibri" w:hAnsi="Calibri"/>
          <w:i/>
          <w:iCs/>
          <w:sz w:val="22"/>
          <w:szCs w:val="22"/>
        </w:rPr>
        <w:t xml:space="preserve">A Comparison of Explicit, Implicit, and Crank–Nicolson Schemes Coupled to a Prognostic Surface Energy Balance, with SHAP Attribution on a Synthetic Substrate Ensemble</w:t>
      </w:r>
    </w:p>
    <w:p>
      <w:pPr>
        <w:spacing w:after="120"/>
      </w:pPr>
      <w:r>
        <w:t xml:space="preserve"/>
      </w:r>
    </w:p>
    <w:p>
      <w:pPr>
        <w:spacing w:after="80"/>
        <w:jc w:val="center"/>
      </w:pPr>
      <w:r>
        <w:rPr>
          <w:rFonts w:ascii="Calibri" w:cs="Calibri" w:eastAsia="Calibri" w:hAnsi="Calibri"/>
          <w:b/>
          <w:bCs/>
          <w:sz w:val="22"/>
          <w:szCs w:val="22"/>
        </w:rPr>
        <w:t xml:space="preserve">Shammunul Islam</w:t>
      </w:r>
    </w:p>
    <w:p>
      <w:pPr>
        <w:spacing w:after="80"/>
        <w:jc w:val="center"/>
      </w:pPr>
      <w:r>
        <w:rPr>
          <w:rFonts w:ascii="Calibri" w:cs="Calibri" w:eastAsia="Calibri" w:hAnsi="Calibri"/>
          <w:sz w:val="22"/>
          <w:szCs w:val="22"/>
        </w:rPr>
        <w:t xml:space="preserve">Department of Atmospheric, Oceanic and Earth Sciences</w:t>
      </w:r>
    </w:p>
    <w:p>
      <w:pPr>
        <w:spacing w:after="80"/>
        <w:jc w:val="center"/>
      </w:pPr>
      <w:r>
        <w:rPr>
          <w:rFonts w:ascii="Calibri" w:cs="Calibri" w:eastAsia="Calibri" w:hAnsi="Calibri"/>
          <w:sz w:val="22"/>
          <w:szCs w:val="22"/>
        </w:rPr>
        <w:t xml:space="preserve">George Mason University</w:t>
      </w:r>
    </w:p>
    <w:p>
      <w:pPr>
        <w:spacing w:after="80"/>
        <w:jc w:val="center"/>
      </w:pPr>
      <w:r>
        <w:rPr>
          <w:rFonts w:ascii="Calibri" w:cs="Calibri" w:eastAsia="Calibri" w:hAnsi="Calibri"/>
          <w:i/>
          <w:iCs/>
          <w:sz w:val="22"/>
          <w:szCs w:val="22"/>
        </w:rPr>
        <w:t xml:space="preserve">CLIM-715 Numerical Methods for Climate and Weather Modeling</w:t>
      </w:r>
    </w:p>
    <w:p>
      <w:pPr>
        <w:spacing w:after="240"/>
      </w:pPr>
      <w:r>
        <w:t xml:space="preserve"/>
      </w:r>
    </w:p>
    <w:p>
      <w:pPr>
        <w:spacing w:after="80"/>
        <w:jc w:val="center"/>
      </w:pPr>
      <w:r>
        <w:rPr>
          <w:rFonts w:ascii="Calibri" w:cs="Calibri" w:eastAsia="Calibri" w:hAnsi="Calibri"/>
          <w:b/>
          <w:bCs/>
          <w:sz w:val="26"/>
          <w:szCs w:val="26"/>
        </w:rPr>
        <w:t xml:space="preserve">Abstract</w:t>
      </w:r>
    </w:p>
    <w:p>
      <w:pPr>
        <w:spacing w:after="120"/>
        <w:jc w:val="both"/>
      </w:pPr>
      <w:r>
        <w:rPr>
          <w:rFonts w:ascii="Calibri" w:cs="Calibri" w:eastAsia="Calibri" w:hAnsi="Calibri"/>
        </w:rPr>
        <w:t xml:space="preserve">This project compares three numerical schemes for the one-dimensional substrate heat conduction equation — forward-time-centred-space (FTCS), backward-time-centred-space (BTCS), and Crank–Nicolson (CN) — coupled to a fully prognostic surface energy balance solved by Newton iteration, on three urban substrate columns (asphalt road, concrete roof with rigid insulation, bare soil) under synthetic diurnal forcing for two days. The von Neumann amplification factors derived in Notes #9 of the course material are extended to the layered, stretched-grid substrate; FTCS is conditionally stable with the textbook bound ν ≤ 1/2, and the layer-by-layer FTCS critical Δt for the asphalt road and concrete roof is 33 s and 17 s respectively, well below operational mesoscale time steps. At Δt = 600 s, BTCS over-amplifies the diurnal G amplitude by 40 % on asphalt and concrete and 19 % on bare soil, with day-2 surface-temperature RMSE up to 3.7 K on the roof; CN halves these errors. The empirical Δt-refinement ratios for both BTCS and CN are close to 10:1 between Δt = 60 s and Δt = 600 s — first-order in Δt for both schemes — which identifies the dominant error as a first-order operator-splitting error in the column-then-SEB ordering, not the schemes' own per-substep temporal accuracy. The factor-of-two reduction in CN error compared to BTCS at fixed Δt is a prefactor effect, with CN's α = 1/2 weight cancelling half of the BTCS post-swing operator evaluation. The daily storage integral ∫G dt is preserved across schemes to within ±5 %, so the diurnal G inflation is symmetric in day/night and translates into an inflation of the diurnal range of the simulated nocturnal urban heat island rather than a bias in its mean. An independent attribution analysis using a gradient-boosted regression with SHAP feature importance on N = 150 synthetic three-layer substrate columns identifies top-cell thermal diffusivity κ_top as the dominant predictor of BTCS coarse-Δt error (R² = 0.92 from κ_top alone), with bulk admittance second and layer-interface descriptors a small but non-zero residual contribution — consistent with the three-substrate mechanistic argument and with the FTCS stability bound being set by the same parameter that scales the BTCS coarse-Δt operator-splitting prefactor.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2026-05-09T17:25:40.999Z</dcterms:created>
  <dcterms:modified xsi:type="dcterms:W3CDTF">2026-05-09T17:25:40.999Z</dcterms:modified>
</cp:coreProperties>
</file>

<file path=docProps/custom.xml><?xml version="1.0" encoding="utf-8"?>
<Properties xmlns="http://schemas.openxmlformats.org/officeDocument/2006/custom-properties" xmlns:vt="http://schemas.openxmlformats.org/officeDocument/2006/docPropsVTypes"/>
</file>