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CLIM-715 Project Tutorial</w:t>
      </w:r>
    </w:p>
    <w:p>
      <w:pPr>
        <w:spacing w:after="120"/>
        <w:jc w:val="center"/>
      </w:pPr>
      <w:r>
        <w:rPr>
          <w:rFonts w:ascii="Calibri" w:cs="Calibri" w:eastAsia="Calibri" w:hAnsi="Calibri"/>
          <w:i/>
          <w:iCs/>
          <w:sz w:val="24"/>
          <w:szCs w:val="24"/>
        </w:rPr>
        <w:t xml:space="preserve">How to Read, Run, and Extend the Ground Heat Flux Solver</w:t>
      </w:r>
    </w:p>
    <w:p>
      <w:pPr>
        <w:spacing w:after="120"/>
        <w:jc w:val="center"/>
      </w:pPr>
      <w:r>
        <w:rPr>
          <w:rFonts w:ascii="Calibri" w:cs="Calibri" w:eastAsia="Calibri" w:hAnsi="Calibri"/>
          <w:sz w:val="22"/>
          <w:szCs w:val="22"/>
        </w:rPr>
        <w:t xml:space="preserve">Shammunul Islam — CLIM-715 Numerical Methods for Climate and Weather Modeling</w:t>
      </w:r>
    </w:p>
    <w:p>
      <w:pPr>
        <w:pStyle w:val="Heading1"/>
        <w:spacing w:after="180" w:before="360"/>
      </w:pPr>
      <w:r>
        <w:rPr>
          <w:rFonts w:ascii="Calibri" w:cs="Calibri" w:eastAsia="Calibri" w:hAnsi="Calibri"/>
          <w:b/>
          <w:bCs/>
          <w:sz w:val="32"/>
          <w:szCs w:val="32"/>
        </w:rPr>
        <w:t xml:space="preserve">1. What this code does</w:t>
      </w:r>
    </w:p>
    <w:p>
      <w:pPr>
        <w:spacing w:after="120"/>
      </w:pPr>
      <w:r>
        <w:rPr>
          <w:rFonts w:ascii="Calibri" w:cs="Calibri" w:eastAsia="Calibri" w:hAnsi="Calibri"/>
        </w:rPr>
        <w:t xml:space="preserve">This tutorial accompanies the CLIM-715 course project on numerical schemes for the one-dimensional substrate heat conduction equation, coupled to a prognostic surface energy balance over three urban substrate columns (asphalt road, concrete roof with rigid insulation, bare soil). It describes how to run each component, what each output file means, and how the code structure maps onto the schemes derived in Lecture 6, Section 6 (Slides 15–17) of the course notes — the Euler, Backward, and Trapezoidal schemes, here applied to the parabolic diffusion equation rather than the oscillation equation that the lecture uses for illustration. The diffusion-equation amplification factors are derived in Notes #9 ("Pure Diffusion (Von Neumann Analysis)" and "Implicit Diffusion").</w:t>
      </w:r>
    </w:p>
    <w:p>
      <w:pPr>
        <w:spacing w:after="120"/>
      </w:pPr>
      <w:r>
        <w:rPr>
          <w:rFonts w:ascii="Calibri" w:cs="Calibri" w:eastAsia="Calibri" w:hAnsi="Calibri"/>
        </w:rPr>
        <w:t xml:space="preserve">The code is organised as four scripts and one Jupyter notebook:</w:t>
      </w:r>
    </w:p>
    <w:p>
      <w:pPr>
        <w:pStyle w:val="ListParagraph"/>
        <w:numPr>
          <w:ilvl w:val="0"/>
          <w:numId w:val="2"/>
        </w:numPr>
        <w:spacing w:after="80"/>
      </w:pPr>
      <w:r>
        <w:rPr>
          <w:rFonts w:ascii="Consolas" w:cs="Consolas" w:eastAsia="Consolas" w:hAnsi="Consolas"/>
        </w:rPr>
        <w:t xml:space="preserve">run_experiments.py</w:t>
      </w:r>
      <w:r>
        <w:rPr>
          <w:rFonts w:ascii="Calibri" w:cs="Calibri" w:eastAsia="Calibri" w:hAnsi="Calibri"/>
        </w:rPr>
        <w:t xml:space="preserve"> — the original 27-cell experiment matrix (3 substrates × 3 schemes × 3 Δt). Produces all figures referenced in §4 of the report and the original Table 2.</w:t>
      </w:r>
    </w:p>
    <w:p>
      <w:pPr>
        <w:pStyle w:val="ListParagraph"/>
        <w:numPr>
          <w:ilvl w:val="0"/>
          <w:numId w:val="2"/>
        </w:numPr>
        <w:spacing w:after="80"/>
      </w:pPr>
      <w:r>
        <w:rPr>
          <w:rFonts w:ascii="Consolas" w:cs="Consolas" w:eastAsia="Consolas" w:hAnsi="Consolas"/>
        </w:rPr>
        <w:t xml:space="preserve">extend_test2_metrics.py</w:t>
      </w:r>
      <w:r>
        <w:rPr>
          <w:rFonts w:ascii="Calibri" w:cs="Calibri" w:eastAsia="Calibri" w:hAnsi="Calibri"/>
        </w:rPr>
        <w:t xml:space="preserve"> — re-runs the 27-cell matrix to extract two new diagnostics for §4.3 / §5.2: the daily storage integral S = ∫G dt and the Δt-refinement ratios for BTCS and CN.</w:t>
      </w:r>
    </w:p>
    <w:p>
      <w:pPr>
        <w:pStyle w:val="ListParagraph"/>
        <w:numPr>
          <w:ilvl w:val="0"/>
          <w:numId w:val="2"/>
        </w:numPr>
        <w:spacing w:after="80"/>
      </w:pPr>
      <w:r>
        <w:rPr>
          <w:rFonts w:ascii="Consolas" w:cs="Consolas" w:eastAsia="Consolas" w:hAnsi="Consolas"/>
        </w:rPr>
        <w:t xml:space="preserve">shap_attribution.py</w:t>
      </w:r>
      <w:r>
        <w:rPr>
          <w:rFonts w:ascii="Calibri" w:cs="Calibri" w:eastAsia="Calibri" w:hAnsi="Calibri"/>
        </w:rPr>
        <w:t xml:space="preserve"> — generates a synthetic ensemble of N = 150 three-layer substrate columns, runs each at BTCS Δt = 600 s and Δt = 15 s reference, computes substrate descriptors, fits a gradient-boosted regression with SHAP attribution, and produces Figure 6.</w:t>
      </w:r>
    </w:p>
    <w:p>
      <w:pPr>
        <w:pStyle w:val="ListParagraph"/>
        <w:numPr>
          <w:ilvl w:val="0"/>
          <w:numId w:val="2"/>
        </w:numPr>
        <w:spacing w:after="80"/>
      </w:pPr>
      <w:r>
        <w:rPr>
          <w:rFonts w:ascii="Consolas" w:cs="Consolas" w:eastAsia="Consolas" w:hAnsi="Consolas"/>
        </w:rPr>
        <w:t xml:space="preserve">CLIM715_Project_Notebook_GroundFlux.ipynb</w:t>
      </w:r>
      <w:r>
        <w:rPr>
          <w:rFonts w:ascii="Calibri" w:cs="Calibri" w:eastAsia="Calibri" w:hAnsi="Calibri"/>
        </w:rPr>
        <w:t xml:space="preserve"> — interactive walkthrough mirroring the structure of the report, including the §8 SHAP attribution section.</w:t>
      </w:r>
    </w:p>
    <w:p>
      <w:pPr>
        <w:pStyle w:val="Heading1"/>
        <w:spacing w:after="180" w:before="360"/>
      </w:pPr>
      <w:r>
        <w:rPr>
          <w:rFonts w:ascii="Calibri" w:cs="Calibri" w:eastAsia="Calibri" w:hAnsi="Calibri"/>
          <w:b/>
          <w:bCs/>
          <w:sz w:val="32"/>
          <w:szCs w:val="32"/>
        </w:rPr>
        <w:t xml:space="preserve">2. Software requirements</w:t>
      </w:r>
    </w:p>
    <w:p>
      <w:pPr>
        <w:spacing w:after="120"/>
      </w:pPr>
      <w:r>
        <w:rPr>
          <w:rFonts w:ascii="Calibri" w:cs="Calibri" w:eastAsia="Calibri" w:hAnsi="Calibri"/>
        </w:rPr>
        <w:t xml:space="preserve">The project runs in standard scientific Python:</w:t>
      </w:r>
    </w:p>
    <w:p>
      <w:pPr>
        <w:spacing w:after="120"/>
      </w:pPr>
      <w:r>
        <w:rPr>
          <w:rFonts w:ascii="Consolas" w:cs="Consolas" w:eastAsia="Consolas" w:hAnsi="Consolas"/>
          <w:sz w:val="18"/>
          <w:szCs w:val="18"/>
        </w:rPr>
        <w:t xml:space="preserve">python&gt;=3.9, numpy, scipy, matplotlib, pandas, scikit-learn, shap</w:t>
      </w:r>
    </w:p>
    <w:p>
      <w:pPr>
        <w:spacing w:after="120"/>
      </w:pPr>
      <w:r>
        <w:rPr>
          <w:rFonts w:ascii="Calibri" w:cs="Calibri" w:eastAsia="Calibri" w:hAnsi="Calibri"/>
        </w:rPr>
        <w:t xml:space="preserve">Install on a clean machine via:</w:t>
      </w:r>
    </w:p>
    <w:p>
      <w:pPr>
        <w:spacing w:after="120"/>
      </w:pPr>
      <w:r>
        <w:rPr>
          <w:rFonts w:ascii="Consolas" w:cs="Consolas" w:eastAsia="Consolas" w:hAnsi="Consolas"/>
          <w:sz w:val="18"/>
          <w:szCs w:val="18"/>
        </w:rPr>
        <w:t xml:space="preserve">pip install numpy scipy matplotlib pandas scikit-learn shap</w:t>
      </w:r>
    </w:p>
    <w:p>
      <w:pPr>
        <w:spacing w:after="120"/>
      </w:pPr>
      <w:r>
        <w:rPr>
          <w:rFonts w:ascii="Calibri" w:cs="Calibri" w:eastAsia="Calibri" w:hAnsi="Calibri"/>
        </w:rPr>
        <w:t xml:space="preserve">SciPy is required for the banded solver (scipy.linalg.solve_banded) used in BTCS and CN; scikit-learn for GradientBoostingRegressor; shap for the TreeExplainer. There are no GPU requirements; the entire pipeline runs in a few minutes on a laptop.</w:t>
      </w:r>
    </w:p>
    <w:p>
      <w:pPr>
        <w:pStyle w:val="Heading1"/>
        <w:spacing w:after="180" w:before="360"/>
      </w:pPr>
      <w:r>
        <w:rPr>
          <w:rFonts w:ascii="Calibri" w:cs="Calibri" w:eastAsia="Calibri" w:hAnsi="Calibri"/>
          <w:b/>
          <w:bCs/>
          <w:sz w:val="32"/>
          <w:szCs w:val="32"/>
        </w:rPr>
        <w:t xml:space="preserve">3. Code structure</w:t>
      </w:r>
    </w:p>
    <w:p>
      <w:pPr>
        <w:pStyle w:val="Heading2"/>
        <w:spacing w:after="120" w:before="240"/>
      </w:pPr>
      <w:r>
        <w:rPr>
          <w:rFonts w:ascii="Calibri" w:cs="Calibri" w:eastAsia="Calibri" w:hAnsi="Calibri"/>
          <w:b/>
          <w:bCs/>
          <w:sz w:val="26"/>
          <w:szCs w:val="26"/>
        </w:rPr>
        <w:t xml:space="preserve">3.1 The shared α-method step routine</w:t>
      </w:r>
    </w:p>
    <w:p>
      <w:pPr>
        <w:spacing w:after="120"/>
      </w:pPr>
      <w:r>
        <w:rPr>
          <w:rFonts w:ascii="Calibri" w:cs="Calibri" w:eastAsia="Calibri" w:hAnsi="Calibri"/>
        </w:rPr>
        <w:t xml:space="preserve">All three schemes (FTCS, BTCS, CN) share a single step routine parameterised by the implicitness weight α:</w:t>
      </w:r>
    </w:p>
    <w:p>
      <w:pPr>
        <w:spacing w:after="120"/>
      </w:pPr>
      <w:r>
        <w:rPr>
          <w:rFonts w:ascii="Consolas" w:cs="Consolas" w:eastAsia="Consolas" w:hAnsi="Consolas"/>
          <w:sz w:val="18"/>
          <w:szCs w:val="18"/>
        </w:rPr>
        <w:t xml:space="preserve">step_alpha(T, dt, dzs, dzc, lam_half, C, alpha, T_top, lower_bc):</w:t>
      </w:r>
    </w:p>
    <w:p>
      <w:pPr>
        <w:spacing w:after="120"/>
      </w:pPr>
      <w:r>
        <w:rPr>
          <w:rFonts w:ascii="Consolas" w:cs="Consolas" w:eastAsia="Consolas" w:hAnsi="Consolas"/>
          <w:sz w:val="18"/>
          <w:szCs w:val="18"/>
        </w:rPr>
        <w:t xml:space="preserve">    if alpha == 0.0:  # FTCS — explicit forward Euler</w:t>
      </w:r>
    </w:p>
    <w:p>
      <w:pPr>
        <w:spacing w:after="120"/>
      </w:pPr>
      <w:r>
        <w:rPr>
          <w:rFonts w:ascii="Consolas" w:cs="Consolas" w:eastAsia="Consolas" w:hAnsi="Consolas"/>
          <w:sz w:val="18"/>
          <w:szCs w:val="18"/>
        </w:rPr>
        <w:t xml:space="preserve">        ... vectorized flux divergence update</w:t>
      </w:r>
    </w:p>
    <w:p>
      <w:pPr>
        <w:spacing w:after="120"/>
      </w:pPr>
      <w:r>
        <w:rPr>
          <w:rFonts w:ascii="Consolas" w:cs="Consolas" w:eastAsia="Consolas" w:hAnsi="Consolas"/>
          <w:sz w:val="18"/>
          <w:szCs w:val="18"/>
        </w:rPr>
        <w:t xml:space="preserve">    else:             # BTCS or CN — banded tridiagonal solve</w:t>
      </w:r>
    </w:p>
    <w:p>
      <w:pPr>
        <w:spacing w:after="120"/>
      </w:pPr>
      <w:r>
        <w:rPr>
          <w:rFonts w:ascii="Consolas" w:cs="Consolas" w:eastAsia="Consolas" w:hAnsi="Consolas"/>
          <w:sz w:val="18"/>
          <w:szCs w:val="18"/>
        </w:rPr>
        <w:t xml:space="preserve">        ... build LHS and RHS for solve_banded</w:t>
      </w:r>
    </w:p>
    <w:p>
      <w:pPr>
        <w:spacing w:after="120"/>
      </w:pPr>
      <w:r>
        <w:rPr>
          <w:rFonts w:ascii="Calibri" w:cs="Calibri" w:eastAsia="Calibri" w:hAnsi="Calibri"/>
        </w:rPr>
        <w:t xml:space="preserve">This avoids three nearly identical implementations and makes the scheme comparison self-consistent: any bug in the spatial discretization affects all three schemes equally and is therefore not visible in the cross-scheme comparison.</w:t>
      </w:r>
    </w:p>
    <w:p>
      <w:pPr>
        <w:pStyle w:val="Heading2"/>
        <w:spacing w:after="120" w:before="240"/>
      </w:pPr>
      <w:r>
        <w:rPr>
          <w:rFonts w:ascii="Calibri" w:cs="Calibri" w:eastAsia="Calibri" w:hAnsi="Calibri"/>
          <w:b/>
          <w:bCs/>
          <w:sz w:val="26"/>
          <w:szCs w:val="26"/>
        </w:rPr>
        <w:t xml:space="preserve">3.2 Half-level harmonic-mean conductivity</w:t>
      </w:r>
    </w:p>
    <w:p>
      <w:pPr>
        <w:spacing w:after="120"/>
      </w:pPr>
      <w:r>
        <w:rPr>
          <w:rFonts w:ascii="Calibri" w:cs="Calibri" w:eastAsia="Calibri" w:hAnsi="Calibri"/>
        </w:rPr>
        <w:t xml:space="preserve">The harmonic-mean half-level conductivity λ_{j+1/2} = 2 λⱼ λ_{j+1} / (λⱼ + λ_{j+1}) preserves the heat flux exactly across a discontinuity in λs — essential for the layered substrates with rigid insulation, where λ jumps from 1.5 (concrete) to 0.04 (insulation) across the 10 cm interface. The arithmetic mean would produce a flux that is biased toward the more conductive layer by a factor of (λ_concrete/λ_insulation)/2 ≈ 19, drastically under-estimating the insulation effect. This is the standard convention used in the course material and in operational urban canopy schemes (Best et al., 2011).</w:t>
      </w:r>
    </w:p>
    <w:p>
      <w:pPr>
        <w:pStyle w:val="Heading2"/>
        <w:spacing w:after="120" w:before="240"/>
      </w:pPr>
      <w:r>
        <w:rPr>
          <w:rFonts w:ascii="Calibri" w:cs="Calibri" w:eastAsia="Calibri" w:hAnsi="Calibri"/>
          <w:b/>
          <w:bCs/>
          <w:sz w:val="26"/>
          <w:szCs w:val="26"/>
        </w:rPr>
        <w:t xml:space="preserve">3.3 Newton iteration on the SEB</w:t>
      </w:r>
    </w:p>
    <w:p>
      <w:pPr>
        <w:spacing w:after="120"/>
      </w:pPr>
      <w:r>
        <w:rPr>
          <w:rFonts w:ascii="Calibri" w:cs="Calibri" w:eastAsia="Calibri" w:hAnsi="Calibri"/>
        </w:rPr>
        <w:t xml:space="preserve">The Stefan-Boltzmann (Ts⁰)⁴ term makes the surface energy balance nonlinear in Ts⁰. Each step uses Newton iteration with analytical Jacobian:</w:t>
      </w:r>
    </w:p>
    <w:p>
      <w:pPr>
        <w:spacing w:after="120"/>
      </w:pPr>
      <w:r>
        <w:rPr>
          <w:rFonts w:ascii="Consolas" w:cs="Consolas" w:eastAsia="Consolas" w:hAnsi="Consolas"/>
          <w:sz w:val="18"/>
          <w:szCs w:val="18"/>
        </w:rPr>
        <w:t xml:space="preserve">def solve_seb(T_int, dzc0, lam_h0, t, surface_key, Ts0_init):</w:t>
      </w:r>
    </w:p>
    <w:p>
      <w:pPr>
        <w:spacing w:after="120"/>
      </w:pPr>
      <w:r>
        <w:rPr>
          <w:rFonts w:ascii="Consolas" w:cs="Consolas" w:eastAsia="Consolas" w:hAnsi="Consolas"/>
          <w:sz w:val="18"/>
          <w:szCs w:val="18"/>
        </w:rPr>
        <w:t xml:space="preserve">    Ts0 = Ts0_init   # warm-start from previous step</w:t>
      </w:r>
    </w:p>
    <w:p>
      <w:pPr>
        <w:spacing w:after="120"/>
      </w:pPr>
      <w:r>
        <w:rPr>
          <w:rFonts w:ascii="Consolas" w:cs="Consolas" w:eastAsia="Consolas" w:hAnsi="Consolas"/>
          <w:sz w:val="18"/>
          <w:szCs w:val="18"/>
        </w:rPr>
        <w:t xml:space="preserve">    for _ in range(max_iter):</w:t>
      </w:r>
    </w:p>
    <w:p>
      <w:pPr>
        <w:spacing w:after="120"/>
      </w:pPr>
      <w:r>
        <w:rPr>
          <w:rFonts w:ascii="Consolas" w:cs="Consolas" w:eastAsia="Consolas" w:hAnsi="Consolas"/>
          <w:sz w:val="18"/>
          <w:szCs w:val="18"/>
        </w:rPr>
        <w:t xml:space="preserve">        f  = R_n(Ts0) - H(Ts0) - LE(Ts0) - G(Ts0)</w:t>
      </w:r>
    </w:p>
    <w:p>
      <w:pPr>
        <w:spacing w:after="120"/>
      </w:pPr>
      <w:r>
        <w:rPr>
          <w:rFonts w:ascii="Consolas" w:cs="Consolas" w:eastAsia="Consolas" w:hAnsi="Consolas"/>
          <w:sz w:val="18"/>
          <w:szCs w:val="18"/>
        </w:rPr>
        <w:t xml:space="preserve">        df = -4*ε*σ*Ts0**3 - ρCp/r_a - λ/Δz</w:t>
      </w:r>
    </w:p>
    <w:p>
      <w:pPr>
        <w:spacing w:after="120"/>
      </w:pPr>
      <w:r>
        <w:rPr>
          <w:rFonts w:ascii="Consolas" w:cs="Consolas" w:eastAsia="Consolas" w:hAnsi="Consolas"/>
          <w:sz w:val="18"/>
          <w:szCs w:val="18"/>
        </w:rPr>
        <w:t xml:space="preserve">        Ts0 -= f / df</w:t>
      </w:r>
    </w:p>
    <w:p>
      <w:pPr>
        <w:spacing w:after="120"/>
      </w:pPr>
      <w:r>
        <w:rPr>
          <w:rFonts w:ascii="Consolas" w:cs="Consolas" w:eastAsia="Consolas" w:hAnsi="Consolas"/>
          <w:sz w:val="18"/>
          <w:szCs w:val="18"/>
        </w:rPr>
        <w:t xml:space="preserve">        if abs(f/df) &lt; tol: return Ts0</w:t>
      </w:r>
    </w:p>
    <w:p>
      <w:pPr>
        <w:spacing w:after="120"/>
      </w:pPr>
      <w:r>
        <w:rPr>
          <w:rFonts w:ascii="Calibri" w:cs="Calibri" w:eastAsia="Calibri" w:hAnsi="Calibri"/>
        </w:rPr>
        <w:t xml:space="preserve">Convergence is typically 3–5 iterations from a warm start at the previous time step's Ts⁰. The analytical Jacobian (rather than a numerical one) gives the second-order convergence of Newton's method and avoids the noise that finite differences would introduce at small temperature perturbations.</w:t>
      </w:r>
    </w:p>
    <w:p>
      <w:pPr>
        <w:pStyle w:val="Heading2"/>
        <w:spacing w:after="120" w:before="240"/>
      </w:pPr>
      <w:r>
        <w:rPr>
          <w:rFonts w:ascii="Calibri" w:cs="Calibri" w:eastAsia="Calibri" w:hAnsi="Calibri"/>
          <w:b/>
          <w:bCs/>
          <w:sz w:val="26"/>
          <w:szCs w:val="26"/>
        </w:rPr>
        <w:t xml:space="preserve">3.4 Stretched grid</w:t>
      </w:r>
    </w:p>
    <w:p>
      <w:pPr>
        <w:spacing w:after="120"/>
      </w:pPr>
      <w:r>
        <w:rPr>
          <w:rFonts w:ascii="Calibri" w:cs="Calibri" w:eastAsia="Calibri" w:hAnsi="Calibri"/>
        </w:rPr>
        <w:t xml:space="preserve">Cell thicknesses Δzⱼ are non-uniform: a geometric stretching with ratio r = 1.18–1.25 from Δz₀ ≈ 0.5–1 cm at the surface. The diurnal damping depth d = √(2 κ/ω) is centimetres for highly conductive urban materials but the slow thermal memory of the column extends to metres, so a uniform fine grid would either be very expensive (1 cm × 200 cells = 1 cm to 2 m) or insufficient (10 cm uniform misses the diurnal damping zone). The stretched grid is a standard urban-canopy scheme convention.</w:t>
      </w:r>
    </w:p>
    <w:p>
      <w:pPr>
        <w:pStyle w:val="Heading1"/>
        <w:spacing w:after="180" w:before="360"/>
      </w:pPr>
      <w:r>
        <w:rPr>
          <w:rFonts w:ascii="Calibri" w:cs="Calibri" w:eastAsia="Calibri" w:hAnsi="Calibri"/>
          <w:b/>
          <w:bCs/>
          <w:sz w:val="32"/>
          <w:szCs w:val="32"/>
        </w:rPr>
        <w:t xml:space="preserve">4. Reproducing the results</w:t>
      </w:r>
    </w:p>
    <w:p>
      <w:pPr>
        <w:pStyle w:val="Heading2"/>
        <w:spacing w:after="120" w:before="240"/>
      </w:pPr>
      <w:r>
        <w:rPr>
          <w:rFonts w:ascii="Calibri" w:cs="Calibri" w:eastAsia="Calibri" w:hAnsi="Calibri"/>
          <w:b/>
          <w:bCs/>
          <w:sz w:val="26"/>
          <w:szCs w:val="26"/>
        </w:rPr>
        <w:t xml:space="preserve">4.1 Verification (Test 1)</w:t>
      </w:r>
    </w:p>
    <w:p>
      <w:pPr>
        <w:spacing w:after="120"/>
      </w:pPr>
      <w:r>
        <w:rPr>
          <w:rFonts w:ascii="Calibri" w:cs="Calibri" w:eastAsia="Calibri" w:hAnsi="Calibri"/>
        </w:rPr>
        <w:t xml:space="preserve">Run the verification block. It prescribes a sinusoidal Ts⁰ on a uniform sandy-loam column and compares each scheme's day-5 solution to the analytical damping-depth solution Ts(z, t) = T̄ + A exp(−z/d) cos(ωt − z/d). FTCS at ν = 0.6 (only 20 % above the stability bound) blows up at step 53, exactly consistent with |A_FTCS(0.6, π)| = 1.4 → 1.4^53 ≈ 5.5×10⁷. Numerical RMSE values are reported in Table 1 of the report.</w:t>
      </w:r>
    </w:p>
    <w:p>
      <w:pPr>
        <w:pStyle w:val="Heading2"/>
        <w:spacing w:after="120" w:before="240"/>
      </w:pPr>
      <w:r>
        <w:rPr>
          <w:rFonts w:ascii="Calibri" w:cs="Calibri" w:eastAsia="Calibri" w:hAnsi="Calibri"/>
          <w:b/>
          <w:bCs/>
          <w:sz w:val="26"/>
          <w:szCs w:val="26"/>
        </w:rPr>
        <w:t xml:space="preserve">4.2 Prognostic SEB integration (Test 2)</w:t>
      </w:r>
    </w:p>
    <w:p>
      <w:pPr>
        <w:spacing w:after="120"/>
      </w:pPr>
      <w:r>
        <w:rPr>
          <w:rFonts w:ascii="Calibri" w:cs="Calibri" w:eastAsia="Calibri" w:hAnsi="Calibri"/>
        </w:rPr>
        <w:t xml:space="preserve">The 27-cell experiment matrix is run by:</w:t>
      </w:r>
    </w:p>
    <w:p>
      <w:pPr>
        <w:spacing w:after="120"/>
      </w:pPr>
      <w:r>
        <w:rPr>
          <w:rFonts w:ascii="Consolas" w:cs="Consolas" w:eastAsia="Consolas" w:hAnsi="Consolas"/>
          <w:sz w:val="18"/>
          <w:szCs w:val="18"/>
        </w:rPr>
        <w:t xml:space="preserve">python3 run_experiments.py</w:t>
      </w:r>
    </w:p>
    <w:p>
      <w:pPr>
        <w:spacing w:after="120"/>
      </w:pPr>
      <w:r>
        <w:rPr>
          <w:rFonts w:ascii="Calibri" w:cs="Calibri" w:eastAsia="Calibri" w:hAnsi="Calibri"/>
        </w:rPr>
        <w:t xml:space="preserve">This produces all figures referenced in §4 of the report and the original Table 2. To extract the additional diagnostics needed for §4.3 (storage integral) and §5.2 (Δt-refinement ratios):</w:t>
      </w:r>
    </w:p>
    <w:p>
      <w:pPr>
        <w:spacing w:after="120"/>
      </w:pPr>
      <w:r>
        <w:rPr>
          <w:rFonts w:ascii="Consolas" w:cs="Consolas" w:eastAsia="Consolas" w:hAnsi="Consolas"/>
          <w:sz w:val="18"/>
          <w:szCs w:val="18"/>
        </w:rPr>
        <w:t xml:space="preserve">python3 extend_test2_metrics.py</w:t>
      </w:r>
    </w:p>
    <w:p>
      <w:pPr>
        <w:spacing w:after="120"/>
      </w:pPr>
      <w:r>
        <w:rPr>
          <w:rFonts w:ascii="Calibri" w:cs="Calibri" w:eastAsia="Calibri" w:hAnsi="Calibri"/>
        </w:rPr>
        <w:t xml:space="preserve">Output: tables/test2_extended_metrics.csv. The Δt-refinement ratios (RMSE_Ts at Δt = 600 s / RMSE_Ts at Δt = 60 s) are printed at the bottom — both BTCS and CN are close to 10:1 across all three substrates, identifying the splitting error as first-order in Δt.</w:t>
      </w:r>
    </w:p>
    <w:p>
      <w:pPr>
        <w:pStyle w:val="Heading2"/>
        <w:spacing w:after="120" w:before="240"/>
      </w:pPr>
      <w:r>
        <w:rPr>
          <w:rFonts w:ascii="Calibri" w:cs="Calibri" w:eastAsia="Calibri" w:hAnsi="Calibri"/>
          <w:b/>
          <w:bCs/>
          <w:sz w:val="26"/>
          <w:szCs w:val="26"/>
        </w:rPr>
        <w:t xml:space="preserve">4.3 SHAP attribution</w:t>
      </w:r>
    </w:p>
    <w:p>
      <w:pPr>
        <w:spacing w:after="120"/>
      </w:pPr>
      <w:r>
        <w:rPr>
          <w:rFonts w:ascii="Calibri" w:cs="Calibri" w:eastAsia="Calibri" w:hAnsi="Calibri"/>
        </w:rPr>
        <w:t xml:space="preserve">The synthetic ensemble + ML attribution runs as a single self-contained script:</w:t>
      </w:r>
    </w:p>
    <w:p>
      <w:pPr>
        <w:spacing w:after="120"/>
      </w:pPr>
      <w:r>
        <w:rPr>
          <w:rFonts w:ascii="Consolas" w:cs="Consolas" w:eastAsia="Consolas" w:hAnsi="Consolas"/>
          <w:sz w:val="18"/>
          <w:szCs w:val="18"/>
        </w:rPr>
        <w:t xml:space="preserve">python3 shap_attribution.py</w:t>
      </w:r>
    </w:p>
    <w:p>
      <w:pPr>
        <w:spacing w:after="120"/>
      </w:pPr>
      <w:r>
        <w:rPr>
          <w:rFonts w:ascii="Calibri" w:cs="Calibri" w:eastAsia="Calibri" w:hAnsi="Calibri"/>
        </w:rPr>
        <w:t xml:space="preserve">Default N = 150 columns; total runtime ≈ 3 minutes on a laptop. Output:</w:t>
      </w:r>
    </w:p>
    <w:p>
      <w:pPr>
        <w:pStyle w:val="ListParagraph"/>
        <w:numPr>
          <w:ilvl w:val="0"/>
          <w:numId w:val="2"/>
        </w:numPr>
        <w:spacing w:after="80"/>
      </w:pPr>
      <w:r>
        <w:rPr>
          <w:rFonts w:ascii="Calibri" w:cs="Calibri" w:eastAsia="Calibri" w:hAnsi="Calibri"/>
        </w:rPr>
        <w:t xml:space="preserve">figs/fig6_shap_attribution.png — the four-panel SHAP figure (Figure 6 of the report).</w:t>
      </w:r>
    </w:p>
    <w:p>
      <w:pPr>
        <w:pStyle w:val="ListParagraph"/>
        <w:numPr>
          <w:ilvl w:val="0"/>
          <w:numId w:val="2"/>
        </w:numPr>
        <w:spacing w:after="80"/>
      </w:pPr>
      <w:r>
        <w:rPr>
          <w:rFonts w:ascii="Calibri" w:cs="Calibri" w:eastAsia="Calibri" w:hAnsi="Calibri"/>
        </w:rPr>
        <w:t xml:space="preserve">tables/synthetic_dataset.csv — the full 150-row ensemble with descriptors and target.</w:t>
      </w:r>
    </w:p>
    <w:p>
      <w:pPr>
        <w:pStyle w:val="ListParagraph"/>
        <w:numPr>
          <w:ilvl w:val="0"/>
          <w:numId w:val="2"/>
        </w:numPr>
        <w:spacing w:after="80"/>
      </w:pPr>
      <w:r>
        <w:rPr>
          <w:rFonts w:ascii="Calibri" w:cs="Calibri" w:eastAsia="Calibri" w:hAnsi="Calibri"/>
        </w:rPr>
        <w:t xml:space="preserve">tables/shap_summary.csv — global mean |SHAP| values.</w:t>
      </w:r>
    </w:p>
    <w:p>
      <w:pPr>
        <w:pStyle w:val="ListParagraph"/>
        <w:numPr>
          <w:ilvl w:val="0"/>
          <w:numId w:val="2"/>
        </w:numPr>
        <w:spacing w:after="80"/>
      </w:pPr>
      <w:r>
        <w:rPr>
          <w:rFonts w:ascii="Calibri" w:cs="Calibri" w:eastAsia="Calibri" w:hAnsi="Calibri"/>
        </w:rPr>
        <w:t xml:space="preserve">tables/shap_residual_summary.csv — SHAP importance after κ_top is partialled out.</w:t>
      </w:r>
    </w:p>
    <w:p>
      <w:pPr>
        <w:spacing w:after="120"/>
      </w:pPr>
      <w:r>
        <w:rPr>
          <w:rFonts w:ascii="Calibri" w:cs="Calibri" w:eastAsia="Calibri" w:hAnsi="Calibri"/>
        </w:rPr>
        <w:t xml:space="preserve">To re-run with a different ensemble size, edit the line N = 150 at the top of the main() function in shap_attribution.py. The seed is fixed (rng = default_rng(42)), so results are reproducible.</w:t>
      </w:r>
    </w:p>
    <w:p>
      <w:pPr>
        <w:pStyle w:val="Heading1"/>
        <w:spacing w:after="180" w:before="360"/>
      </w:pPr>
      <w:r>
        <w:rPr>
          <w:rFonts w:ascii="Calibri" w:cs="Calibri" w:eastAsia="Calibri" w:hAnsi="Calibri"/>
          <w:b/>
          <w:bCs/>
          <w:sz w:val="32"/>
          <w:szCs w:val="32"/>
        </w:rPr>
        <w:t xml:space="preserve">5. The four key concepts the project illustrates</w:t>
      </w:r>
    </w:p>
    <w:p>
      <w:pPr>
        <w:pStyle w:val="ListParagraph"/>
        <w:numPr>
          <w:ilvl w:val="0"/>
          <w:numId w:val="2"/>
        </w:numPr>
        <w:spacing w:after="80"/>
      </w:pPr>
      <w:r>
        <w:rPr>
          <w:rFonts w:ascii="Calibri" w:cs="Calibri" w:eastAsia="Calibri" w:hAnsi="Calibri"/>
        </w:rPr>
        <w:t xml:space="preserve">(a) FTCS conditional stability ν ≤ 1/2: derived from the von Neumann amplification factor at kΔz = π. On a stretched layered substrate, the bound is set by the most thermally stiff layer, not the bulk substrate. For our concrete roof, the 0.5 cm concrete-deck top cell with κ ≈ 7e-7 m²/s gives Δt_crit ≈ 17 s — well below operational time steps.</w:t>
      </w:r>
    </w:p>
    <w:p>
      <w:pPr>
        <w:pStyle w:val="ListParagraph"/>
        <w:numPr>
          <w:ilvl w:val="0"/>
          <w:numId w:val="2"/>
        </w:numPr>
        <w:spacing w:after="80"/>
      </w:pPr>
      <w:r>
        <w:rPr>
          <w:rFonts w:ascii="Calibri" w:cs="Calibri" w:eastAsia="Calibri" w:hAnsi="Calibri"/>
        </w:rPr>
        <w:t xml:space="preserve">(b) Implicit unconditional stability: BTCS satisfies |A| ≤ 1 always; CN satisfies it but A_CN(ν, π) → −1 as ν → ∞, retaining 2Δz noise as oscillations. This is the over-damping pathology of CN at large ν, in which short-wavelength noise is preserved instead of suppressed.</w:t>
      </w:r>
    </w:p>
    <w:p>
      <w:pPr>
        <w:pStyle w:val="ListParagraph"/>
        <w:numPr>
          <w:ilvl w:val="0"/>
          <w:numId w:val="2"/>
        </w:numPr>
        <w:spacing w:after="80"/>
      </w:pPr>
      <w:r>
        <w:rPr>
          <w:rFonts w:ascii="Calibri" w:cs="Calibri" w:eastAsia="Calibri" w:hAnsi="Calibri"/>
        </w:rPr>
        <w:t xml:space="preserve">(c) Operator splitting error: the column-then-SEB ordering relaxes the column toward Dirichlet equilibrium with the previous Ts⁰, then updates Ts⁰ from the new T₁. This is exactly the wrong-equilibrium pathology warned about in Notes #10 Section 8 of the course material. The empirical signature is the near-linear scaling of RMSE_Ts with Δt for both BTCS and CN — first-order, regardless of the per-substep scheme order.</w:t>
      </w:r>
    </w:p>
    <w:p>
      <w:pPr>
        <w:pStyle w:val="ListParagraph"/>
        <w:numPr>
          <w:ilvl w:val="0"/>
          <w:numId w:val="2"/>
        </w:numPr>
        <w:spacing w:after="80"/>
      </w:pPr>
      <w:r>
        <w:rPr>
          <w:rFonts w:ascii="Calibri" w:cs="Calibri" w:eastAsia="Calibri" w:hAnsi="Calibri"/>
        </w:rPr>
        <w:t xml:space="preserve">(d) Substrate-dependence: top-cell thermal diffusivity κ_top is the dominant predictor of BTCS coarse-Δt error across a synthetic ensemble (R² = 0.92 from κ_top alone), with bulk admittance secondary. Notes #11 Misconception #8 of the course notes — that surface conditions are diagnosed from a balance and that errors in budget components propagate directly into near-surface temperature — is the conceptual home of this finding.</w:t>
      </w:r>
    </w:p>
    <w:p>
      <w:pPr>
        <w:pStyle w:val="Heading1"/>
        <w:spacing w:after="180" w:before="360"/>
      </w:pPr>
      <w:r>
        <w:rPr>
          <w:rFonts w:ascii="Calibri" w:cs="Calibri" w:eastAsia="Calibri" w:hAnsi="Calibri"/>
          <w:b/>
          <w:bCs/>
          <w:sz w:val="32"/>
          <w:szCs w:val="32"/>
        </w:rPr>
        <w:t xml:space="preserve">6. How to extend the analysis</w:t>
      </w:r>
    </w:p>
    <w:p>
      <w:pPr>
        <w:pStyle w:val="ListParagraph"/>
        <w:numPr>
          <w:ilvl w:val="0"/>
          <w:numId w:val="2"/>
        </w:numPr>
        <w:spacing w:after="80"/>
      </w:pPr>
      <w:r>
        <w:rPr>
          <w:rFonts w:ascii="Calibri" w:cs="Calibri" w:eastAsia="Calibri" w:hAnsi="Calibri"/>
        </w:rPr>
        <w:t xml:space="preserve">Replace the synthetic forcing with flux-tower data (e.g., AmeriFlux or a city-specific tower) by editing S_down(t), L_down_func(t), T_air(t), U_wind(t).</w:t>
      </w:r>
    </w:p>
    <w:p>
      <w:pPr>
        <w:pStyle w:val="ListParagraph"/>
        <w:numPr>
          <w:ilvl w:val="0"/>
          <w:numId w:val="2"/>
        </w:numPr>
        <w:spacing w:after="80"/>
      </w:pPr>
      <w:r>
        <w:rPr>
          <w:rFonts w:ascii="Calibri" w:cs="Calibri" w:eastAsia="Calibri" w:hAnsi="Calibri"/>
        </w:rPr>
        <w:t xml:space="preserve">Add non-zero LE: set a Bowen-ratio constant β and replace LE = 0 with LE = H/β; the Newton Jacobian then needs the dLE/dTs term.</w:t>
      </w:r>
    </w:p>
    <w:p>
      <w:pPr>
        <w:pStyle w:val="ListParagraph"/>
        <w:numPr>
          <w:ilvl w:val="0"/>
          <w:numId w:val="2"/>
        </w:numPr>
        <w:spacing w:after="80"/>
      </w:pPr>
      <w:r>
        <w:rPr>
          <w:rFonts w:ascii="Calibri" w:cs="Calibri" w:eastAsia="Calibri" w:hAnsi="Calibri"/>
        </w:rPr>
        <w:t xml:space="preserve">Couple the SEB row directly into the tridiagonal substrate solve: this removes the splitting error structurally rather than just reducing its prefactor by a factor of two using CN. It is the cure prescribed in Notes #10 Section 8 of the course material.</w:t>
      </w:r>
    </w:p>
    <w:p>
      <w:pPr>
        <w:pStyle w:val="ListParagraph"/>
        <w:numPr>
          <w:ilvl w:val="0"/>
          <w:numId w:val="2"/>
        </w:numPr>
        <w:spacing w:after="80"/>
      </w:pPr>
      <w:r>
        <w:rPr>
          <w:rFonts w:ascii="Calibri" w:cs="Calibri" w:eastAsia="Calibri" w:hAnsi="Calibri"/>
        </w:rPr>
        <w:t xml:space="preserve">Strang splitting between the column and SEB updates: cheaper than fully coupled solution and recovers second-order accuracy in the splitting itself.</w:t>
      </w:r>
    </w:p>
    <w:p>
      <w:pPr>
        <w:pStyle w:val="ListParagraph"/>
        <w:numPr>
          <w:ilvl w:val="0"/>
          <w:numId w:val="2"/>
        </w:numPr>
        <w:spacing w:after="80"/>
      </w:pPr>
      <w:r>
        <w:rPr>
          <w:rFonts w:ascii="Calibri" w:cs="Calibri" w:eastAsia="Calibri" w:hAnsi="Calibri"/>
        </w:rPr>
        <w:t xml:space="preserve">Vary Δz_top across the synthetic ensemble: this would let one regress against the dimensionless ratio Δt × κ_top / Δz²_top directly, separating κ_top from grid-resolution effects in the SHAP 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2026-05-09T17:27:09.137Z</dcterms:created>
  <dcterms:modified xsi:type="dcterms:W3CDTF">2026-05-09T17:27:09.137Z</dcterms:modified>
</cp:coreProperties>
</file>

<file path=docProps/custom.xml><?xml version="1.0" encoding="utf-8"?>
<Properties xmlns="http://schemas.openxmlformats.org/officeDocument/2006/custom-properties" xmlns:vt="http://schemas.openxmlformats.org/officeDocument/2006/docPropsVTypes"/>
</file>