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27ba0"/>
          <w:sz w:val="24"/>
          <w:szCs w:val="24"/>
          <w:u w:val="single"/>
        </w:rPr>
      </w:pPr>
      <w:r w:rsidDel="00000000" w:rsidR="00000000" w:rsidRPr="00000000">
        <w:rPr>
          <w:b w:val="1"/>
          <w:color w:val="c27ba0"/>
          <w:sz w:val="24"/>
          <w:szCs w:val="24"/>
          <w:u w:val="single"/>
          <w:rtl w:val="0"/>
        </w:rPr>
        <w:t xml:space="preserve">Sales Analysis Report</w:t>
      </w:r>
    </w:p>
    <w:p w:rsidR="00000000" w:rsidDel="00000000" w:rsidP="00000000" w:rsidRDefault="00000000" w:rsidRPr="00000000" w14:paraId="00000002">
      <w:pPr>
        <w:rPr>
          <w:b w:val="1"/>
          <w:color w:val="c27ba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 of Total Sales for the year 2019 to 2022, Technology had high sales of 2327k and Office Supplies had low sales. Category Technology had a high amount of sales in 2019,but in 2020 furniture had high sales. In 2021 and 2022 Technology had high sales.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33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a64d79"/>
          <w:u w:val="single"/>
        </w:rPr>
      </w:pPr>
      <w:r w:rsidDel="00000000" w:rsidR="00000000" w:rsidRPr="00000000">
        <w:rPr>
          <w:b w:val="1"/>
          <w:color w:val="a64d79"/>
          <w:u w:val="single"/>
          <w:rtl w:val="0"/>
        </w:rPr>
        <w:t xml:space="preserve">To achieve the target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Technology needs to achieve 19% of sales  to reach Target sales and Furniture needs 32% and Office Supplies has another 37% to reach Target Sales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a64d79"/>
          <w:u w:val="single"/>
        </w:rPr>
      </w:pPr>
      <w:r w:rsidDel="00000000" w:rsidR="00000000" w:rsidRPr="00000000">
        <w:rPr>
          <w:b w:val="1"/>
          <w:color w:val="a64d79"/>
          <w:u w:val="single"/>
          <w:rtl w:val="0"/>
        </w:rPr>
        <w:t xml:space="preserve">Profit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Sub Category,Copiers had highest profit of 19% and Tables suffered a huge loss of 6%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  <w:color w:val="d37295"/>
          <w:sz w:val="40"/>
          <w:szCs w:val="40"/>
        </w:rPr>
      </w:pPr>
      <w:r w:rsidDel="00000000" w:rsidR="00000000" w:rsidRPr="00000000">
        <w:rPr>
          <w:i w:val="1"/>
          <w:color w:val="d37295"/>
          <w:sz w:val="40"/>
          <w:szCs w:val="40"/>
          <w:rtl w:val="0"/>
        </w:rPr>
        <w:t xml:space="preserve">The West Region had high sales and the South Region had low sales. Most Customers prefer Standard Class</w:t>
      </w:r>
    </w:p>
    <w:p w:rsidR="00000000" w:rsidDel="00000000" w:rsidP="00000000" w:rsidRDefault="00000000" w:rsidRPr="00000000" w14:paraId="00000040">
      <w:pPr>
        <w:jc w:val="center"/>
        <w:rPr>
          <w:color w:val="d3729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  <w:color w:val="d3729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i w:val="1"/>
          <w:color w:val="d37295"/>
          <w:sz w:val="40"/>
          <w:szCs w:val="40"/>
        </w:rPr>
      </w:pPr>
      <w:r w:rsidDel="00000000" w:rsidR="00000000" w:rsidRPr="00000000">
        <w:rPr>
          <w:i w:val="1"/>
          <w:color w:val="d37295"/>
          <w:sz w:val="40"/>
          <w:szCs w:val="40"/>
        </w:rPr>
        <w:drawing>
          <wp:inline distB="114300" distT="114300" distL="114300" distR="114300">
            <wp:extent cx="5943600" cy="636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i w:val="1"/>
          <w:color w:val="d3729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d3729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