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Cahier de spécification</w:t>
        <w:br/>
      </w:r>
      <w:r>
        <w:rPr>
          <w:sz w:val="32"/>
        </w:rPr>
        <w:t>GCentreFormation — FormaPlus</w:t>
        <w:br/>
      </w:r>
      <w:r>
        <w:rPr>
          <w:sz w:val="28"/>
        </w:rPr>
        <w:t>Projet C++ 2A — Repassage Septembre 2026</w:t>
        <w:br/>
      </w:r>
      <w:r>
        <w:rPr>
          <w:sz w:val="24"/>
        </w:rPr>
        <w:t>Modules : Gestion des Formateurs &amp; Gestion des Cours</w:t>
        <w:br/>
      </w:r>
      <w:r>
        <w:rPr>
          <w:sz w:val="24"/>
        </w:rPr>
        <w:t>Équipe FormaPlus</w:t>
        <w:br/>
      </w:r>
    </w:p>
    <w:p>
      <w:r>
        <w:br w:type="page"/>
      </w:r>
    </w:p>
    <w:p>
      <w:pPr>
        <w:pStyle w:val="Heading1"/>
      </w:pPr>
      <w:r>
        <w:t>Table des matières</w:t>
      </w:r>
    </w:p>
    <w:p>
      <w:pPr>
        <w:spacing w:line="360" w:lineRule="auto"/>
        <w:jc w:val="both"/>
      </w:pPr>
      <w:r>
        <w:rPr>
          <w:b w:val="0"/>
        </w:rPr>
        <w:t>(À actualiser dans Word : Références → Table des matières → Automatique)</w:t>
      </w:r>
    </w:p>
    <w:p>
      <w:pPr>
        <w:pStyle w:val="Heading1"/>
      </w:pPr>
      <w:r>
        <w:t>1. Contexte général</w:t>
      </w:r>
    </w:p>
    <w:p>
      <w:pPr>
        <w:pStyle w:val="Heading2"/>
      </w:pPr>
      <w:r>
        <w:t>1.1 Étude de l'existant</w:t>
      </w:r>
    </w:p>
    <w:p>
      <w:pPr>
        <w:spacing w:line="360" w:lineRule="auto"/>
        <w:jc w:val="both"/>
      </w:pPr>
      <w:r>
        <w:rPr>
          <w:b w:val="0"/>
        </w:rPr>
        <w:t>FormaPlus est un centre de formation professionnelle qui gère formateurs, catalogue de cours et planification pédagogique. Aujourd'hui, une partie des données peut être dispersée (fichiers, tableurs). Le client cible est le responsable pédagogique du centre, qui doit suivre les formateurs, les cours planifiés et détecter les conflits de planning.</w:t>
      </w:r>
    </w:p>
    <w:p>
      <w:pPr>
        <w:pStyle w:val="Heading2"/>
      </w:pPr>
      <w:r>
        <w:t>1.2 Problématique</w:t>
      </w:r>
    </w:p>
    <w:p>
      <w:pPr>
        <w:spacing w:line="360" w:lineRule="auto"/>
        <w:jc w:val="both"/>
      </w:pPr>
      <w:r>
        <w:rPr>
          <w:b w:val="0"/>
        </w:rPr>
        <w:t>Comment centraliser la gestion des formateurs et des cours dans une application desktop fiable, avec persistance Oracle, contrôles d'intégrité et outils d'aide à la décision (statistiques, alertes, exports PDF) ?</w:t>
      </w:r>
    </w:p>
    <w:p>
      <w:pPr>
        <w:pStyle w:val="Heading1"/>
      </w:pPr>
      <w:r>
        <w:t>2. Solution proposée</w:t>
      </w:r>
    </w:p>
    <w:p>
      <w:pPr>
        <w:pStyle w:val="Heading2"/>
      </w:pPr>
      <w:r>
        <w:t>2.1 Exigences fonctionnelles</w:t>
      </w:r>
    </w:p>
    <w:tbl>
      <w:tblPr>
        <w:tblW w:type="auto" w:w="0"/>
        <w:tblLook w:firstColumn="1" w:firstRow="1" w:lastColumn="0" w:lastRow="0" w:noHBand="0" w:noVBand="1" w:val="04A0"/>
      </w:tblPr>
      <w:tblGrid>
        <w:gridCol w:w="1881"/>
        <w:gridCol w:w="1881"/>
        <w:gridCol w:w="1881"/>
        <w:gridCol w:w="1881"/>
        <w:gridCol w:w="1881"/>
      </w:tblGrid>
      <w:tr>
        <w:tc>
          <w:tcPr>
            <w:tcW w:type="dxa" w:w="1881"/>
          </w:tcPr>
          <w:p>
            <w:r>
              <w:t>Module</w:t>
            </w:r>
          </w:p>
        </w:tc>
        <w:tc>
          <w:tcPr>
            <w:tcW w:type="dxa" w:w="1881"/>
          </w:tcPr>
          <w:p>
            <w:r>
              <w:t>Entité</w:t>
            </w:r>
          </w:p>
        </w:tc>
        <w:tc>
          <w:tcPr>
            <w:tcW w:type="dxa" w:w="1881"/>
          </w:tcPr>
          <w:p>
            <w:r>
              <w:t>Attributs</w:t>
            </w:r>
          </w:p>
        </w:tc>
        <w:tc>
          <w:tcPr>
            <w:tcW w:type="dxa" w:w="1881"/>
          </w:tcPr>
          <w:p>
            <w:r>
              <w:t>Utilisateur</w:t>
            </w:r>
          </w:p>
        </w:tc>
        <w:tc>
          <w:tcPr>
            <w:tcW w:type="dxa" w:w="1881"/>
          </w:tcPr>
          <w:p>
            <w:r>
              <w:t>Fonctionnalités</w:t>
            </w:r>
          </w:p>
        </w:tc>
      </w:tr>
      <w:tr>
        <w:tc>
          <w:tcPr>
            <w:tcW w:type="dxa" w:w="1881"/>
          </w:tcPr>
          <w:p>
            <w:r>
              <w:t>Gestion des Formateurs</w:t>
            </w:r>
          </w:p>
        </w:tc>
        <w:tc>
          <w:tcPr>
            <w:tcW w:type="dxa" w:w="1881"/>
          </w:tcPr>
          <w:p>
            <w:r>
              <w:t>Formateur</w:t>
            </w:r>
          </w:p>
        </w:tc>
        <w:tc>
          <w:tcPr>
            <w:tcW w:type="dxa" w:w="1881"/>
          </w:tcPr>
          <w:p>
            <w:r>
              <w:t>ID, CIN, nom, prénom, e-mail, téléphone, spécialité, date embauche, statut</w:t>
            </w:r>
          </w:p>
        </w:tc>
        <w:tc>
          <w:tcPr>
            <w:tcW w:type="dxa" w:w="1881"/>
          </w:tcPr>
          <w:p>
            <w:r>
              <w:t>Responsable pédagogique</w:t>
            </w:r>
          </w:p>
        </w:tc>
        <w:tc>
          <w:tcPr>
            <w:tcW w:type="dxa" w:w="1881"/>
          </w:tcPr>
          <w:p>
            <w:r>
              <w:t>CRUD ; recherche/tri (nom, spécialité, statut) ; stats graphiques ; PDF ; charge pédagogique ; conflits planning</w:t>
            </w:r>
          </w:p>
        </w:tc>
      </w:tr>
      <w:tr>
        <w:tc>
          <w:tcPr>
            <w:tcW w:type="dxa" w:w="1881"/>
          </w:tcPr>
          <w:p>
            <w:r>
              <w:t>Gestion des Cours</w:t>
            </w:r>
          </w:p>
        </w:tc>
        <w:tc>
          <w:tcPr>
            <w:tcW w:type="dxa" w:w="1881"/>
          </w:tcPr>
          <w:p>
            <w:r>
              <w:t>Cours</w:t>
            </w:r>
          </w:p>
        </w:tc>
        <w:tc>
          <w:tcPr>
            <w:tcW w:type="dxa" w:w="1881"/>
          </w:tcPr>
          <w:p>
            <w:r>
              <w:t>ID, titre, niveau, durée, prix, dates, statut, ID formateur</w:t>
            </w:r>
          </w:p>
        </w:tc>
        <w:tc>
          <w:tcPr>
            <w:tcW w:type="dxa" w:w="1881"/>
          </w:tcPr>
          <w:p>
            <w:r>
              <w:t>Responsable pédagogique</w:t>
            </w:r>
          </w:p>
        </w:tc>
        <w:tc>
          <w:tcPr>
            <w:tcW w:type="dxa" w:w="1881"/>
          </w:tcPr>
          <w:p>
            <w:r>
              <w:t>CRUD ; recherche/tri (titre, niveau, statut, formateur) ; stats graphiques ; PDF catalogue ; affectation formateur ; alertes</w:t>
            </w:r>
          </w:p>
        </w:tc>
      </w:tr>
    </w:tbl>
    <w:p>
      <w:pPr>
        <w:spacing w:line="360" w:lineRule="auto"/>
        <w:jc w:val="both"/>
      </w:pPr>
      <w:r>
        <w:rPr>
          <w:b/>
        </w:rPr>
        <w:t>Figure 1 — Tableau des exigences fonctionnelles par module</w:t>
      </w:r>
    </w:p>
    <w:p>
      <w:pPr>
        <w:pStyle w:val="Heading2"/>
      </w:pPr>
      <w:r>
        <w:t>2.2 Exigences non fonctionnelles</w:t>
      </w:r>
    </w:p>
    <w:p>
      <w:pPr>
        <w:pStyle w:val="ListBullet"/>
      </w:pPr>
      <w:r>
        <w:t>SGBD Oracle obligatoire, une seule connexion (patron Singleton QODBC).</w:t>
      </w:r>
    </w:p>
    <w:p>
      <w:pPr>
        <w:pStyle w:val="ListBullet"/>
      </w:pPr>
      <w:r>
        <w:t>Requêtes préparées dans les classes C++ Formateur et Cours (architecture Modèle-Vue).</w:t>
      </w:r>
    </w:p>
    <w:p>
      <w:pPr>
        <w:pStyle w:val="ListBullet"/>
      </w:pPr>
      <w:r>
        <w:t>Contrôles de saisie C++ et contraintes CHECK/UNIQUE/FK en base.</w:t>
      </w:r>
    </w:p>
    <w:p>
      <w:pPr>
        <w:pStyle w:val="ListBullet"/>
      </w:pPr>
      <w:r>
        <w:t>Interface Qt : un seul fichier .ui, Stacked Widget + Tab Widget, peu de boîtes de dialogue.</w:t>
      </w:r>
    </w:p>
    <w:p>
      <w:pPr>
        <w:pStyle w:val="ListBullet"/>
      </w:pPr>
      <w:r>
        <w:t>Export document : PDF personnalisé uniquement (QPdfWriter, en-tête FormaPlus).</w:t>
      </w:r>
    </w:p>
    <w:p>
      <w:pPr>
        <w:pStyle w:val="ListBullet"/>
      </w:pPr>
      <w:r>
        <w:t>Versionnement Git/GitHub avec commits réguliers.</w:t>
      </w:r>
    </w:p>
    <w:p>
      <w:pPr>
        <w:pStyle w:val="Heading2"/>
      </w:pPr>
      <w:r>
        <w:t>2.3 ODD touchés</w:t>
      </w:r>
    </w:p>
    <w:p>
      <w:pPr>
        <w:pStyle w:val="ListBullet"/>
      </w:pPr>
      <w:r>
        <w:t>ODD 4 — Éducation de qualité : digitalisation de la gestion pédagogique.</w:t>
      </w:r>
    </w:p>
    <w:p>
      <w:pPr>
        <w:pStyle w:val="ListBullet"/>
      </w:pPr>
      <w:r>
        <w:t>ODD 8 — Travail décent : suivi de la charge des formateurs.</w:t>
      </w:r>
    </w:p>
    <w:p>
      <w:pPr>
        <w:pStyle w:val="Heading1"/>
      </w:pPr>
      <w:r>
        <w:t>3. Conception des données</w:t>
      </w:r>
    </w:p>
    <w:p>
      <w:pPr>
        <w:spacing w:line="360" w:lineRule="auto"/>
        <w:jc w:val="both"/>
      </w:pPr>
      <w:r>
        <w:rPr>
          <w:b w:val="0"/>
        </w:rPr>
        <w:t>MCD : association enseigne entre FORMATEUR (0,N) et COURS (1,1). MLD : tables FORMATEUR et COURS avec clé étrangère ID_FORMATEUR. MPD Oracle : script sql/mpd_oracle.sql (séquences, triggers, CHECK ; FK sans ON DELETE = comportement restrict Oracle).</w:t>
      </w:r>
    </w:p>
    <w:p>
      <w:pPr>
        <w:spacing w:line="360" w:lineRule="auto"/>
        <w:jc w:val="both"/>
      </w:pPr>
      <w:r>
        <w:rPr>
          <w:b/>
        </w:rPr>
        <w:t>Figure 2 — Schéma MCD (voir docs/conception.md)</w:t>
      </w:r>
    </w:p>
    <w:p>
      <w:pPr>
        <w:pStyle w:val="Heading1"/>
      </w:pPr>
      <w:r>
        <w:t>4. Conception graphique</w:t>
      </w:r>
    </w:p>
    <w:p>
      <w:pPr>
        <w:pStyle w:val="Heading2"/>
      </w:pPr>
      <w:r>
        <w:t>4.1 Logo</w:t>
      </w:r>
    </w:p>
    <w:p>
      <w:pPr>
        <w:spacing w:line="360" w:lineRule="auto"/>
        <w:jc w:val="both"/>
      </w:pPr>
      <w:r>
        <w:rPr>
          <w:b w:val="0"/>
        </w:rPr>
        <w:t>Logo textuel FormaPlus — barre latérale bleu nuit (#0F2744), accent vert (#1ABC9C).</w:t>
      </w:r>
    </w:p>
    <w:p>
      <w:pPr>
        <w:pStyle w:val="Heading2"/>
      </w:pPr>
      <w:r>
        <w:t>4.2 Charte graphique</w:t>
      </w:r>
    </w:p>
    <w:p>
      <w:pPr>
        <w:spacing w:line="360" w:lineRule="auto"/>
        <w:jc w:val="both"/>
      </w:pPr>
      <w:r>
        <w:rPr>
          <w:b w:val="0"/>
        </w:rPr>
        <w:t>Police : Segoe UI / Arial. Couleurs : bleu nuit, vert accent, fond gris clair. Navigation : sidebar + pages empilées (Accueil, Formateurs, Cours).</w:t>
      </w:r>
    </w:p>
    <w:p>
      <w:pPr>
        <w:pStyle w:val="Heading2"/>
      </w:pPr>
      <w:r>
        <w:t>4.3 Interfaces GUI</w:t>
      </w:r>
    </w:p>
    <w:p>
      <w:pPr>
        <w:spacing w:line="360" w:lineRule="auto"/>
        <w:jc w:val="both"/>
      </w:pPr>
      <w:r>
        <w:rPr>
          <w:b w:val="0"/>
        </w:rPr>
        <w:t>Captures d'écran à insérer avant la soutenance : tableau de bord KPI, onglets CRUD, recherche/tri multicritères, graphiques Qt Charts, onglets charge/conflits et alertes.</w:t>
      </w:r>
    </w:p>
    <w:p>
      <w:pPr>
        <w:spacing w:line="360" w:lineRule="auto"/>
        <w:jc w:val="both"/>
      </w:pPr>
      <w:r>
        <w:rPr>
          <w:b/>
        </w:rPr>
        <w:t>Figure 3 — Capture : tableau de bord Accueil (à insérer)</w:t>
      </w:r>
    </w:p>
    <w:p>
      <w:pPr>
        <w:spacing w:line="360" w:lineRule="auto"/>
        <w:jc w:val="both"/>
      </w:pPr>
      <w:r>
        <w:rPr>
          <w:b/>
        </w:rPr>
        <w:t>Figure 4 — Capture : module Formateurs CRUD (à insérer)</w:t>
      </w:r>
    </w:p>
    <w:p>
      <w:pPr>
        <w:spacing w:line="360" w:lineRule="auto"/>
        <w:jc w:val="both"/>
      </w:pPr>
      <w:r>
        <w:rPr>
          <w:b/>
        </w:rPr>
        <w:t>Figure 5 — Capture : module Cours — alertes (à insérer)</w:t>
      </w:r>
    </w:p>
    <w:p>
      <w:pPr>
        <w:pStyle w:val="Heading1"/>
      </w:pPr>
      <w:r>
        <w:t>5. Architecture technique</w:t>
      </w:r>
    </w:p>
    <w:p>
      <w:pPr>
        <w:spacing w:line="360" w:lineRule="auto"/>
        <w:jc w:val="both"/>
      </w:pPr>
      <w:r>
        <w:rPr>
          <w:b w:val="0"/>
        </w:rPr>
        <w:t>Couche connexion : Connection (Singleton). Couche modèle : Formateur, Cours. Couche vue : GCentreFormation (gcentreformation.ui). Aucune requête SQL dans les slots des boutons.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