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5AFF3">
      <w:pPr>
        <w:spacing w:before="1240"/>
        <w:jc w:val="center"/>
      </w:pPr>
      <w:r>
        <w:rPr>
          <w:rFonts w:ascii="Aptos Display" w:hAnsi="Aptos Display"/>
          <w:b/>
          <w:color w:val="1F7A8C"/>
          <w:sz w:val="36"/>
        </w:rPr>
        <w:t>SHOD FLOW</w:t>
      </w:r>
    </w:p>
    <w:p w14:paraId="0D71334F">
      <w:pPr>
        <w:pStyle w:val="36"/>
        <w:jc w:val="center"/>
      </w:pPr>
      <w:r>
        <w:t>Fleet &amp; Safety Platform</w:t>
      </w:r>
    </w:p>
    <w:p w14:paraId="79A8629C">
      <w:pPr>
        <w:pStyle w:val="34"/>
        <w:jc w:val="center"/>
      </w:pPr>
      <w:r>
        <w:t>Product Requirements Document - Developer Handoff</w:t>
      </w:r>
    </w:p>
    <w:p w14:paraId="38158052">
      <w:pPr>
        <w:jc w:val="center"/>
      </w:pPr>
      <w:r>
        <w:rPr>
          <w:color w:val="2E6F9E"/>
          <w:sz w:val="20"/>
        </w:rPr>
        <w:t>━━━━━━━━━━━━━━━━━━━━━━━━━━━━━━━━━━━━</w:t>
      </w:r>
    </w:p>
    <w:p w14:paraId="1DEE1575">
      <w:pPr>
        <w:pStyle w:val="164"/>
        <w:jc w:val="center"/>
      </w:pPr>
      <w:r>
        <w:t>Production MVP scope for Fleet and Safety operations, including role-based access, connected asset/driver profiles, document storage, alerts, histories, and cost tracking.</w:t>
      </w:r>
    </w:p>
    <w:tbl>
      <w:tblPr>
        <w:tblStyle w:val="12"/>
        <w:tblW w:w="0" w:type="auto"/>
        <w:jc w:val="center"/>
        <w:tblLayout w:type="fixed"/>
        <w:tblCellMar>
          <w:top w:w="0" w:type="dxa"/>
          <w:left w:w="108" w:type="dxa"/>
          <w:bottom w:w="0" w:type="dxa"/>
          <w:right w:w="108" w:type="dxa"/>
        </w:tblCellMar>
      </w:tblPr>
      <w:tblGrid>
        <w:gridCol w:w="5141"/>
        <w:gridCol w:w="5141"/>
      </w:tblGrid>
      <w:tr w14:paraId="4A0D75E4">
        <w:trPr>
          <w:cantSplit/>
          <w:tblHeader/>
          <w:jc w:val="center"/>
        </w:trPr>
        <w:tc>
          <w:tcPr>
            <w:tcW w:w="2448" w:type="dxa"/>
            <w:shd w:val="clear" w:color="auto" w:fill="16324F"/>
            <w:tcMar>
              <w:top w:w="80" w:type="dxa"/>
              <w:left w:w="100" w:type="dxa"/>
              <w:bottom w:w="80" w:type="dxa"/>
              <w:right w:w="100" w:type="dxa"/>
            </w:tcMar>
            <w:vAlign w:val="center"/>
          </w:tcPr>
          <w:p w14:paraId="507477A2">
            <w:pPr>
              <w:spacing w:after="0"/>
            </w:pPr>
            <w:r>
              <w:rPr>
                <w:rFonts w:ascii="Aptos" w:hAnsi="Aptos"/>
                <w:b/>
                <w:color w:val="FFFFFF"/>
                <w:sz w:val="17"/>
              </w:rPr>
              <w:t>Version</w:t>
            </w:r>
          </w:p>
        </w:tc>
        <w:tc>
          <w:tcPr>
            <w:tcW w:w="6336" w:type="dxa"/>
            <w:shd w:val="clear" w:color="auto" w:fill="F6F9FB"/>
            <w:tcMar>
              <w:top w:w="80" w:type="dxa"/>
              <w:left w:w="100" w:type="dxa"/>
              <w:bottom w:w="80" w:type="dxa"/>
              <w:right w:w="100" w:type="dxa"/>
            </w:tcMar>
            <w:vAlign w:val="center"/>
          </w:tcPr>
          <w:p w14:paraId="20D70F78">
            <w:pPr>
              <w:spacing w:after="0"/>
            </w:pPr>
            <w:r>
              <w:rPr>
                <w:rFonts w:ascii="Aptos" w:hAnsi="Aptos"/>
                <w:b w:val="0"/>
                <w:color w:val="18212B"/>
                <w:sz w:val="17"/>
              </w:rPr>
              <w:t>1.0</w:t>
            </w:r>
          </w:p>
        </w:tc>
      </w:tr>
      <w:tr w14:paraId="4B4191D9">
        <w:trPr>
          <w:cantSplit/>
          <w:jc w:val="center"/>
        </w:trPr>
        <w:tc>
          <w:tcPr>
            <w:tcW w:w="2448" w:type="dxa"/>
            <w:shd w:val="clear" w:color="auto" w:fill="16324F"/>
            <w:tcMar>
              <w:top w:w="80" w:type="dxa"/>
              <w:left w:w="100" w:type="dxa"/>
              <w:bottom w:w="80" w:type="dxa"/>
              <w:right w:w="100" w:type="dxa"/>
            </w:tcMar>
            <w:vAlign w:val="center"/>
          </w:tcPr>
          <w:p w14:paraId="2C16AD7B">
            <w:pPr>
              <w:spacing w:after="0"/>
            </w:pPr>
            <w:r>
              <w:rPr>
                <w:rFonts w:ascii="Aptos" w:hAnsi="Aptos"/>
                <w:b/>
                <w:color w:val="FFFFFF"/>
                <w:sz w:val="17"/>
              </w:rPr>
              <w:t>Status</w:t>
            </w:r>
          </w:p>
        </w:tc>
        <w:tc>
          <w:tcPr>
            <w:tcW w:w="6336" w:type="dxa"/>
            <w:shd w:val="clear" w:color="auto" w:fill="F6F9FB"/>
            <w:tcMar>
              <w:top w:w="80" w:type="dxa"/>
              <w:left w:w="100" w:type="dxa"/>
              <w:bottom w:w="80" w:type="dxa"/>
              <w:right w:w="100" w:type="dxa"/>
            </w:tcMar>
            <w:vAlign w:val="center"/>
          </w:tcPr>
          <w:p w14:paraId="12CBE157">
            <w:pPr>
              <w:spacing w:after="0"/>
            </w:pPr>
            <w:r>
              <w:rPr>
                <w:rFonts w:ascii="Aptos" w:hAnsi="Aptos"/>
                <w:b w:val="0"/>
                <w:color w:val="18212B"/>
                <w:sz w:val="17"/>
              </w:rPr>
              <w:t>Ready for estimation and implementation</w:t>
            </w:r>
          </w:p>
        </w:tc>
      </w:tr>
      <w:tr w14:paraId="75B64AFA">
        <w:trPr>
          <w:cantSplit/>
          <w:jc w:val="center"/>
        </w:trPr>
        <w:tc>
          <w:tcPr>
            <w:tcW w:w="2448" w:type="dxa"/>
            <w:shd w:val="clear" w:color="auto" w:fill="16324F"/>
            <w:tcMar>
              <w:top w:w="80" w:type="dxa"/>
              <w:left w:w="100" w:type="dxa"/>
              <w:bottom w:w="80" w:type="dxa"/>
              <w:right w:w="100" w:type="dxa"/>
            </w:tcMar>
            <w:vAlign w:val="center"/>
          </w:tcPr>
          <w:p w14:paraId="657A154D">
            <w:pPr>
              <w:spacing w:after="0"/>
            </w:pPr>
            <w:r>
              <w:rPr>
                <w:rFonts w:ascii="Aptos" w:hAnsi="Aptos"/>
                <w:b/>
                <w:color w:val="FFFFFF"/>
                <w:sz w:val="17"/>
              </w:rPr>
              <w:t>Prepared for</w:t>
            </w:r>
          </w:p>
        </w:tc>
        <w:tc>
          <w:tcPr>
            <w:tcW w:w="6336" w:type="dxa"/>
            <w:shd w:val="clear" w:color="auto" w:fill="F6F9FB"/>
            <w:tcMar>
              <w:top w:w="80" w:type="dxa"/>
              <w:left w:w="100" w:type="dxa"/>
              <w:bottom w:w="80" w:type="dxa"/>
              <w:right w:w="100" w:type="dxa"/>
            </w:tcMar>
            <w:vAlign w:val="center"/>
          </w:tcPr>
          <w:p w14:paraId="6CD54E35">
            <w:pPr>
              <w:spacing w:after="0"/>
            </w:pPr>
            <w:r>
              <w:rPr>
                <w:rFonts w:ascii="Aptos" w:hAnsi="Aptos"/>
                <w:b w:val="0"/>
                <w:color w:val="18212B"/>
                <w:sz w:val="17"/>
              </w:rPr>
              <w:t>SHOD Express LLC development team</w:t>
            </w:r>
          </w:p>
        </w:tc>
      </w:tr>
      <w:tr w14:paraId="11336815">
        <w:trPr>
          <w:cantSplit/>
          <w:jc w:val="center"/>
        </w:trPr>
        <w:tc>
          <w:tcPr>
            <w:tcW w:w="2448" w:type="dxa"/>
            <w:shd w:val="clear" w:color="auto" w:fill="16324F"/>
            <w:tcMar>
              <w:top w:w="80" w:type="dxa"/>
              <w:left w:w="100" w:type="dxa"/>
              <w:bottom w:w="80" w:type="dxa"/>
              <w:right w:w="100" w:type="dxa"/>
            </w:tcMar>
            <w:vAlign w:val="center"/>
          </w:tcPr>
          <w:p w14:paraId="26DF4D1A">
            <w:pPr>
              <w:spacing w:after="0"/>
            </w:pPr>
            <w:r>
              <w:rPr>
                <w:rFonts w:ascii="Aptos" w:hAnsi="Aptos"/>
                <w:b/>
                <w:color w:val="FFFFFF"/>
                <w:sz w:val="17"/>
              </w:rPr>
              <w:t>Date</w:t>
            </w:r>
          </w:p>
        </w:tc>
        <w:tc>
          <w:tcPr>
            <w:tcW w:w="6336" w:type="dxa"/>
            <w:shd w:val="clear" w:color="auto" w:fill="F6F9FB"/>
            <w:tcMar>
              <w:top w:w="80" w:type="dxa"/>
              <w:left w:w="100" w:type="dxa"/>
              <w:bottom w:w="80" w:type="dxa"/>
              <w:right w:w="100" w:type="dxa"/>
            </w:tcMar>
            <w:vAlign w:val="center"/>
          </w:tcPr>
          <w:p w14:paraId="00B98EBE">
            <w:pPr>
              <w:spacing w:after="0"/>
            </w:pPr>
            <w:r>
              <w:rPr>
                <w:rFonts w:ascii="Aptos" w:hAnsi="Aptos"/>
                <w:b w:val="0"/>
                <w:color w:val="18212B"/>
                <w:sz w:val="17"/>
              </w:rPr>
              <w:t>17 June 2026</w:t>
            </w:r>
          </w:p>
        </w:tc>
      </w:tr>
    </w:tbl>
    <w:p w14:paraId="49F77FD4">
      <w:pPr>
        <w:spacing w:before="900"/>
        <w:jc w:val="center"/>
      </w:pPr>
      <w:r>
        <w:rPr>
          <w:i/>
          <w:color w:val="5B6573"/>
          <w:sz w:val="17"/>
        </w:rPr>
        <w:t>Scope note: Accounting is intentionally excluded from this release and will be specified separately.</w:t>
      </w:r>
    </w:p>
    <w:p w14:paraId="0DAAC1C4">
      <w:r>
        <w:br w:type="page"/>
      </w:r>
    </w:p>
    <w:p w14:paraId="7B2AF1C8">
      <w:pPr>
        <w:pStyle w:val="2"/>
      </w:pPr>
      <w:r>
        <w:t>1. Product Overview</w:t>
      </w:r>
    </w:p>
    <w:p w14:paraId="7E2DBE79">
      <w:pPr>
        <w:pStyle w:val="164"/>
      </w:pPr>
      <w:r>
        <w:t>Shod Flow is an internal web application that replaces disconnected spreadsheets and manual follow-ups with one operational system for Fleet and Safety. The production build should preserve the approved workflows demonstrated in the clickable MVP while adding a real database, authentication, permissions, file storage, audit history, and deployment.</w:t>
      </w:r>
    </w:p>
    <w:tbl>
      <w:tblPr>
        <w:tblStyle w:val="12"/>
        <w:tblW w:w="0" w:type="auto"/>
        <w:jc w:val="center"/>
        <w:tblLayout w:type="autofit"/>
        <w:tblCellMar>
          <w:top w:w="0" w:type="dxa"/>
          <w:left w:w="108" w:type="dxa"/>
          <w:bottom w:w="0" w:type="dxa"/>
          <w:right w:w="108" w:type="dxa"/>
        </w:tblCellMar>
      </w:tblPr>
      <w:tblGrid>
        <w:gridCol w:w="10282"/>
      </w:tblGrid>
      <w:tr w14:paraId="51670618">
        <w:trPr>
          <w:cantSplit/>
          <w:tblHeader/>
          <w:jc w:val="center"/>
        </w:trPr>
        <w:tc>
          <w:tcPr>
            <w:tcW w:w="10282" w:type="dxa"/>
            <w:tcBorders>
              <w:top w:val="nil"/>
              <w:left w:val="single" w:color="1F7A8C" w:sz="18" w:space="0"/>
              <w:bottom w:val="nil"/>
              <w:right w:val="nil"/>
            </w:tcBorders>
            <w:shd w:val="clear" w:color="auto" w:fill="EAF2F6"/>
            <w:tcMar>
              <w:top w:w="80" w:type="dxa"/>
              <w:left w:w="100" w:type="dxa"/>
              <w:bottom w:w="80" w:type="dxa"/>
              <w:right w:w="100" w:type="dxa"/>
            </w:tcMar>
          </w:tcPr>
          <w:p w14:paraId="060520F8">
            <w:pPr>
              <w:spacing w:after="40"/>
            </w:pPr>
            <w:r>
              <w:rPr>
                <w:b/>
                <w:color w:val="16324F"/>
                <w:sz w:val="20"/>
              </w:rPr>
              <w:t>Primary outcome</w:t>
            </w:r>
          </w:p>
          <w:p w14:paraId="18644BE5">
            <w:pPr>
              <w:spacing w:after="0"/>
            </w:pPr>
            <w:r>
              <w:rPr>
                <w:color w:val="18212B"/>
                <w:sz w:val="18"/>
              </w:rPr>
              <w:t>A Fleet or Safety user logs in and is taken directly to the correct department workspace. Every operational record is searchable, connected to the correct truck, trailer, driver, document, incident, or inspection, and retained as history.</w:t>
            </w:r>
          </w:p>
        </w:tc>
      </w:tr>
    </w:tbl>
    <w:p w14:paraId="49404C61">
      <w:pPr>
        <w:spacing w:after="0"/>
      </w:pPr>
    </w:p>
    <w:tbl>
      <w:tblPr>
        <w:tblStyle w:val="12"/>
        <w:tblW w:w="0" w:type="auto"/>
        <w:jc w:val="center"/>
        <w:tblLayout w:type="fixed"/>
        <w:tblCellMar>
          <w:top w:w="0" w:type="dxa"/>
          <w:left w:w="108" w:type="dxa"/>
          <w:bottom w:w="0" w:type="dxa"/>
          <w:right w:w="108" w:type="dxa"/>
        </w:tblCellMar>
      </w:tblPr>
      <w:tblGrid>
        <w:gridCol w:w="5141"/>
        <w:gridCol w:w="5141"/>
      </w:tblGrid>
      <w:tr w14:paraId="5FAC705D">
        <w:trPr>
          <w:cantSplit/>
          <w:tblHeader/>
          <w:jc w:val="center"/>
        </w:trPr>
        <w:tc>
          <w:tcPr>
            <w:tcW w:w="2232" w:type="dxa"/>
            <w:tcBorders>
              <w:bottom w:val="single" w:color="16324F" w:sz="8" w:space="0"/>
            </w:tcBorders>
            <w:shd w:val="clear" w:color="auto" w:fill="16324F"/>
            <w:tcMar>
              <w:top w:w="80" w:type="dxa"/>
              <w:left w:w="100" w:type="dxa"/>
              <w:bottom w:w="80" w:type="dxa"/>
              <w:right w:w="100" w:type="dxa"/>
            </w:tcMar>
            <w:vAlign w:val="center"/>
          </w:tcPr>
          <w:p w14:paraId="59E3FC14">
            <w:pPr>
              <w:spacing w:after="0"/>
            </w:pPr>
            <w:r>
              <w:rPr>
                <w:rFonts w:ascii="Aptos" w:hAnsi="Aptos"/>
                <w:b/>
                <w:color w:val="FFFFFF"/>
                <w:sz w:val="17"/>
              </w:rPr>
              <w:t>Area</w:t>
            </w:r>
          </w:p>
        </w:tc>
        <w:tc>
          <w:tcPr>
            <w:tcW w:w="8280" w:type="dxa"/>
            <w:tcBorders>
              <w:bottom w:val="single" w:color="16324F" w:sz="8" w:space="0"/>
            </w:tcBorders>
            <w:shd w:val="clear" w:color="auto" w:fill="16324F"/>
            <w:tcMar>
              <w:top w:w="80" w:type="dxa"/>
              <w:left w:w="100" w:type="dxa"/>
              <w:bottom w:w="80" w:type="dxa"/>
              <w:right w:w="100" w:type="dxa"/>
            </w:tcMar>
            <w:vAlign w:val="center"/>
          </w:tcPr>
          <w:p w14:paraId="498481B1">
            <w:pPr>
              <w:spacing w:after="0"/>
            </w:pPr>
            <w:r>
              <w:rPr>
                <w:rFonts w:ascii="Aptos" w:hAnsi="Aptos"/>
                <w:b/>
                <w:color w:val="FFFFFF"/>
                <w:sz w:val="17"/>
              </w:rPr>
              <w:t>Requirement</w:t>
            </w:r>
          </w:p>
        </w:tc>
      </w:tr>
      <w:tr w14:paraId="76D1549F">
        <w:trPr>
          <w:cantSplit/>
          <w:jc w:val="center"/>
        </w:trPr>
        <w:tc>
          <w:tcPr>
            <w:tcW w:w="2232" w:type="dxa"/>
            <w:tcBorders>
              <w:bottom w:val="single" w:color="D5DEE5" w:sz="4" w:space="0"/>
            </w:tcBorders>
            <w:shd w:val="clear" w:color="auto" w:fill="FFFFFF"/>
            <w:tcMar>
              <w:top w:w="80" w:type="dxa"/>
              <w:left w:w="100" w:type="dxa"/>
              <w:bottom w:w="80" w:type="dxa"/>
              <w:right w:w="100" w:type="dxa"/>
            </w:tcMar>
            <w:vAlign w:val="center"/>
          </w:tcPr>
          <w:p w14:paraId="49BB2460">
            <w:pPr>
              <w:spacing w:after="0"/>
            </w:pPr>
            <w:r>
              <w:rPr>
                <w:rFonts w:ascii="Aptos" w:hAnsi="Aptos"/>
                <w:b w:val="0"/>
                <w:color w:val="18212B"/>
                <w:sz w:val="16"/>
              </w:rPr>
              <w:t>Users</w:t>
            </w:r>
          </w:p>
        </w:tc>
        <w:tc>
          <w:tcPr>
            <w:tcW w:w="8280" w:type="dxa"/>
            <w:tcBorders>
              <w:bottom w:val="single" w:color="D5DEE5" w:sz="4" w:space="0"/>
            </w:tcBorders>
            <w:shd w:val="clear" w:color="auto" w:fill="FFFFFF"/>
            <w:tcMar>
              <w:top w:w="80" w:type="dxa"/>
              <w:left w:w="100" w:type="dxa"/>
              <w:bottom w:w="80" w:type="dxa"/>
              <w:right w:w="100" w:type="dxa"/>
            </w:tcMar>
            <w:vAlign w:val="center"/>
          </w:tcPr>
          <w:p w14:paraId="6408F2FF">
            <w:pPr>
              <w:spacing w:after="0"/>
            </w:pPr>
            <w:r>
              <w:rPr>
                <w:rFonts w:ascii="Aptos" w:hAnsi="Aptos"/>
                <w:b w:val="0"/>
                <w:color w:val="18212B"/>
                <w:sz w:val="16"/>
              </w:rPr>
              <w:t>Owner/Admin, Fleet Manager, Safety Manager, and department staff.</w:t>
            </w:r>
          </w:p>
        </w:tc>
      </w:tr>
      <w:tr w14:paraId="29C41645">
        <w:trPr>
          <w:cantSplit/>
          <w:jc w:val="center"/>
        </w:trPr>
        <w:tc>
          <w:tcPr>
            <w:tcW w:w="2232" w:type="dxa"/>
            <w:tcBorders>
              <w:bottom w:val="single" w:color="D5DEE5" w:sz="4" w:space="0"/>
            </w:tcBorders>
            <w:shd w:val="clear" w:color="auto" w:fill="F6F9FB"/>
            <w:tcMar>
              <w:top w:w="80" w:type="dxa"/>
              <w:left w:w="100" w:type="dxa"/>
              <w:bottom w:w="80" w:type="dxa"/>
              <w:right w:w="100" w:type="dxa"/>
            </w:tcMar>
            <w:vAlign w:val="center"/>
          </w:tcPr>
          <w:p w14:paraId="70D94C03">
            <w:pPr>
              <w:spacing w:after="0"/>
            </w:pPr>
            <w:r>
              <w:rPr>
                <w:rFonts w:ascii="Aptos" w:hAnsi="Aptos"/>
                <w:b w:val="0"/>
                <w:color w:val="18212B"/>
                <w:sz w:val="16"/>
              </w:rPr>
              <w:t>Release scope</w:t>
            </w:r>
          </w:p>
        </w:tc>
        <w:tc>
          <w:tcPr>
            <w:tcW w:w="8280" w:type="dxa"/>
            <w:tcBorders>
              <w:bottom w:val="single" w:color="D5DEE5" w:sz="4" w:space="0"/>
            </w:tcBorders>
            <w:shd w:val="clear" w:color="auto" w:fill="F6F9FB"/>
            <w:tcMar>
              <w:top w:w="80" w:type="dxa"/>
              <w:left w:w="100" w:type="dxa"/>
              <w:bottom w:w="80" w:type="dxa"/>
              <w:right w:w="100" w:type="dxa"/>
            </w:tcMar>
            <w:vAlign w:val="center"/>
          </w:tcPr>
          <w:p w14:paraId="58C2D6BD">
            <w:pPr>
              <w:spacing w:after="0"/>
            </w:pPr>
            <w:r>
              <w:rPr>
                <w:rFonts w:ascii="Aptos" w:hAnsi="Aptos"/>
                <w:b w:val="0"/>
                <w:color w:val="18212B"/>
                <w:sz w:val="16"/>
              </w:rPr>
              <w:t>Fleet workspace, Safety workspace, shared login/permissions, shared driver and asset master data.</w:t>
            </w:r>
          </w:p>
        </w:tc>
      </w:tr>
      <w:tr w14:paraId="021A5751">
        <w:trPr>
          <w:cantSplit/>
          <w:jc w:val="center"/>
        </w:trPr>
        <w:tc>
          <w:tcPr>
            <w:tcW w:w="2232" w:type="dxa"/>
            <w:tcBorders>
              <w:bottom w:val="single" w:color="D5DEE5" w:sz="4" w:space="0"/>
            </w:tcBorders>
            <w:shd w:val="clear" w:color="auto" w:fill="FFFFFF"/>
            <w:tcMar>
              <w:top w:w="80" w:type="dxa"/>
              <w:left w:w="100" w:type="dxa"/>
              <w:bottom w:w="80" w:type="dxa"/>
              <w:right w:w="100" w:type="dxa"/>
            </w:tcMar>
            <w:vAlign w:val="center"/>
          </w:tcPr>
          <w:p w14:paraId="06DA1CC4">
            <w:pPr>
              <w:spacing w:after="0"/>
            </w:pPr>
            <w:r>
              <w:rPr>
                <w:rFonts w:ascii="Aptos" w:hAnsi="Aptos"/>
                <w:b w:val="0"/>
                <w:color w:val="18212B"/>
                <w:sz w:val="16"/>
              </w:rPr>
              <w:t>Existing prototype</w:t>
            </w:r>
          </w:p>
        </w:tc>
        <w:tc>
          <w:tcPr>
            <w:tcW w:w="8280" w:type="dxa"/>
            <w:tcBorders>
              <w:bottom w:val="single" w:color="D5DEE5" w:sz="4" w:space="0"/>
            </w:tcBorders>
            <w:shd w:val="clear" w:color="auto" w:fill="FFFFFF"/>
            <w:tcMar>
              <w:top w:w="80" w:type="dxa"/>
              <w:left w:w="100" w:type="dxa"/>
              <w:bottom w:w="80" w:type="dxa"/>
              <w:right w:w="100" w:type="dxa"/>
            </w:tcMar>
            <w:vAlign w:val="center"/>
          </w:tcPr>
          <w:p w14:paraId="06DC406A">
            <w:pPr>
              <w:spacing w:after="0"/>
            </w:pPr>
            <w:r>
              <w:rPr>
                <w:rFonts w:ascii="Aptos" w:hAnsi="Aptos"/>
                <w:b w:val="0"/>
                <w:color w:val="18212B"/>
                <w:sz w:val="16"/>
              </w:rPr>
              <w:t>Next.js/TypeScript clickable MVP with mock data. It is a workflow reference, not production-ready code by default.</w:t>
            </w:r>
          </w:p>
        </w:tc>
      </w:tr>
      <w:tr w14:paraId="04C53493">
        <w:trPr>
          <w:cantSplit/>
          <w:jc w:val="center"/>
        </w:trPr>
        <w:tc>
          <w:tcPr>
            <w:tcW w:w="2232" w:type="dxa"/>
            <w:tcBorders>
              <w:bottom w:val="single" w:color="D5DEE5" w:sz="4" w:space="0"/>
            </w:tcBorders>
            <w:shd w:val="clear" w:color="auto" w:fill="F6F9FB"/>
            <w:tcMar>
              <w:top w:w="80" w:type="dxa"/>
              <w:left w:w="100" w:type="dxa"/>
              <w:bottom w:w="80" w:type="dxa"/>
              <w:right w:w="100" w:type="dxa"/>
            </w:tcMar>
            <w:vAlign w:val="center"/>
          </w:tcPr>
          <w:p w14:paraId="43D3EE32">
            <w:pPr>
              <w:spacing w:after="0"/>
            </w:pPr>
            <w:r>
              <w:rPr>
                <w:rFonts w:ascii="Aptos" w:hAnsi="Aptos"/>
                <w:b w:val="0"/>
                <w:color w:val="18212B"/>
                <w:sz w:val="16"/>
              </w:rPr>
              <w:t>Production expectation</w:t>
            </w:r>
          </w:p>
        </w:tc>
        <w:tc>
          <w:tcPr>
            <w:tcW w:w="8280" w:type="dxa"/>
            <w:tcBorders>
              <w:bottom w:val="single" w:color="D5DEE5" w:sz="4" w:space="0"/>
            </w:tcBorders>
            <w:shd w:val="clear" w:color="auto" w:fill="F6F9FB"/>
            <w:tcMar>
              <w:top w:w="80" w:type="dxa"/>
              <w:left w:w="100" w:type="dxa"/>
              <w:bottom w:w="80" w:type="dxa"/>
              <w:right w:w="100" w:type="dxa"/>
            </w:tcMar>
            <w:vAlign w:val="center"/>
          </w:tcPr>
          <w:p w14:paraId="19F8FC8A">
            <w:pPr>
              <w:spacing w:after="0"/>
            </w:pPr>
            <w:r>
              <w:rPr>
                <w:rFonts w:ascii="Aptos" w:hAnsi="Aptos"/>
                <w:b w:val="0"/>
                <w:color w:val="18212B"/>
                <w:sz w:val="16"/>
              </w:rPr>
              <w:t>Secure, maintainable, tested web application with persistent data and document storage.</w:t>
            </w:r>
          </w:p>
        </w:tc>
      </w:tr>
    </w:tbl>
    <w:p w14:paraId="119D227F">
      <w:pPr>
        <w:spacing w:after="0"/>
      </w:pPr>
    </w:p>
    <w:p w14:paraId="222946C3">
      <w:pPr>
        <w:pStyle w:val="2"/>
      </w:pPr>
      <w:r>
        <w:t>2. Access, Roles, and Navigation</w:t>
      </w:r>
    </w:p>
    <w:tbl>
      <w:tblPr>
        <w:tblStyle w:val="12"/>
        <w:tblW w:w="0" w:type="auto"/>
        <w:jc w:val="center"/>
        <w:tblLayout w:type="fixed"/>
        <w:tblCellMar>
          <w:top w:w="0" w:type="dxa"/>
          <w:left w:w="108" w:type="dxa"/>
          <w:bottom w:w="0" w:type="dxa"/>
          <w:right w:w="108" w:type="dxa"/>
        </w:tblCellMar>
      </w:tblPr>
      <w:tblGrid>
        <w:gridCol w:w="3427"/>
        <w:gridCol w:w="3427"/>
        <w:gridCol w:w="3427"/>
      </w:tblGrid>
      <w:tr w14:paraId="3459B5F2">
        <w:trPr>
          <w:cantSplit/>
          <w:tblHeader/>
          <w:jc w:val="center"/>
        </w:trPr>
        <w:tc>
          <w:tcPr>
            <w:tcW w:w="2232" w:type="dxa"/>
            <w:tcBorders>
              <w:bottom w:val="single" w:color="16324F" w:sz="8" w:space="0"/>
            </w:tcBorders>
            <w:shd w:val="clear" w:color="auto" w:fill="16324F"/>
            <w:tcMar>
              <w:top w:w="80" w:type="dxa"/>
              <w:left w:w="100" w:type="dxa"/>
              <w:bottom w:w="80" w:type="dxa"/>
              <w:right w:w="100" w:type="dxa"/>
            </w:tcMar>
            <w:vAlign w:val="center"/>
          </w:tcPr>
          <w:p w14:paraId="014FAEF8">
            <w:pPr>
              <w:spacing w:after="0"/>
            </w:pPr>
            <w:r>
              <w:rPr>
                <w:rFonts w:ascii="Aptos" w:hAnsi="Aptos"/>
                <w:b/>
                <w:color w:val="FFFFFF"/>
                <w:sz w:val="17"/>
              </w:rPr>
              <w:t>Role</w:t>
            </w:r>
          </w:p>
        </w:tc>
        <w:tc>
          <w:tcPr>
            <w:tcW w:w="3312" w:type="dxa"/>
            <w:tcBorders>
              <w:bottom w:val="single" w:color="16324F" w:sz="8" w:space="0"/>
            </w:tcBorders>
            <w:shd w:val="clear" w:color="auto" w:fill="16324F"/>
            <w:tcMar>
              <w:top w:w="80" w:type="dxa"/>
              <w:left w:w="100" w:type="dxa"/>
              <w:bottom w:w="80" w:type="dxa"/>
              <w:right w:w="100" w:type="dxa"/>
            </w:tcMar>
            <w:vAlign w:val="center"/>
          </w:tcPr>
          <w:p w14:paraId="7F64296A">
            <w:pPr>
              <w:spacing w:after="0"/>
            </w:pPr>
            <w:r>
              <w:rPr>
                <w:rFonts w:ascii="Aptos" w:hAnsi="Aptos"/>
                <w:b/>
                <w:color w:val="FFFFFF"/>
                <w:sz w:val="17"/>
              </w:rPr>
              <w:t>Default landing page</w:t>
            </w:r>
          </w:p>
        </w:tc>
        <w:tc>
          <w:tcPr>
            <w:tcW w:w="4968" w:type="dxa"/>
            <w:tcBorders>
              <w:bottom w:val="single" w:color="16324F" w:sz="8" w:space="0"/>
            </w:tcBorders>
            <w:shd w:val="clear" w:color="auto" w:fill="16324F"/>
            <w:tcMar>
              <w:top w:w="80" w:type="dxa"/>
              <w:left w:w="100" w:type="dxa"/>
              <w:bottom w:w="80" w:type="dxa"/>
              <w:right w:w="100" w:type="dxa"/>
            </w:tcMar>
            <w:vAlign w:val="center"/>
          </w:tcPr>
          <w:p w14:paraId="02538556">
            <w:pPr>
              <w:spacing w:after="0"/>
            </w:pPr>
            <w:r>
              <w:rPr>
                <w:rFonts w:ascii="Aptos" w:hAnsi="Aptos"/>
                <w:b/>
                <w:color w:val="FFFFFF"/>
                <w:sz w:val="17"/>
              </w:rPr>
              <w:t>Access</w:t>
            </w:r>
          </w:p>
        </w:tc>
      </w:tr>
      <w:tr w14:paraId="2B76FE9C">
        <w:trPr>
          <w:cantSplit/>
          <w:jc w:val="center"/>
        </w:trPr>
        <w:tc>
          <w:tcPr>
            <w:tcW w:w="2232" w:type="dxa"/>
            <w:tcBorders>
              <w:bottom w:val="single" w:color="D5DEE5" w:sz="4" w:space="0"/>
            </w:tcBorders>
            <w:shd w:val="clear" w:color="auto" w:fill="FFFFFF"/>
            <w:tcMar>
              <w:top w:w="80" w:type="dxa"/>
              <w:left w:w="100" w:type="dxa"/>
              <w:bottom w:w="80" w:type="dxa"/>
              <w:right w:w="100" w:type="dxa"/>
            </w:tcMar>
            <w:vAlign w:val="center"/>
          </w:tcPr>
          <w:p w14:paraId="2677E6AA">
            <w:pPr>
              <w:spacing w:after="0"/>
            </w:pPr>
            <w:r>
              <w:rPr>
                <w:rFonts w:ascii="Aptos" w:hAnsi="Aptos"/>
                <w:b w:val="0"/>
                <w:color w:val="18212B"/>
                <w:sz w:val="16"/>
              </w:rPr>
              <w:t>Owner / Admin</w:t>
            </w:r>
          </w:p>
        </w:tc>
        <w:tc>
          <w:tcPr>
            <w:tcW w:w="3312" w:type="dxa"/>
            <w:tcBorders>
              <w:bottom w:val="single" w:color="D5DEE5" w:sz="4" w:space="0"/>
            </w:tcBorders>
            <w:shd w:val="clear" w:color="auto" w:fill="FFFFFF"/>
            <w:tcMar>
              <w:top w:w="80" w:type="dxa"/>
              <w:left w:w="100" w:type="dxa"/>
              <w:bottom w:w="80" w:type="dxa"/>
              <w:right w:w="100" w:type="dxa"/>
            </w:tcMar>
            <w:vAlign w:val="center"/>
          </w:tcPr>
          <w:p w14:paraId="71B69243">
            <w:pPr>
              <w:spacing w:after="0"/>
            </w:pPr>
            <w:r>
              <w:rPr>
                <w:rFonts w:ascii="Aptos" w:hAnsi="Aptos"/>
                <w:b w:val="0"/>
                <w:color w:val="18212B"/>
                <w:sz w:val="16"/>
              </w:rPr>
              <w:t>Department selector or Admin dashboard</w:t>
            </w:r>
          </w:p>
        </w:tc>
        <w:tc>
          <w:tcPr>
            <w:tcW w:w="4968" w:type="dxa"/>
            <w:tcBorders>
              <w:bottom w:val="single" w:color="D5DEE5" w:sz="4" w:space="0"/>
            </w:tcBorders>
            <w:shd w:val="clear" w:color="auto" w:fill="FFFFFF"/>
            <w:tcMar>
              <w:top w:w="80" w:type="dxa"/>
              <w:left w:w="100" w:type="dxa"/>
              <w:bottom w:w="80" w:type="dxa"/>
              <w:right w:w="100" w:type="dxa"/>
            </w:tcMar>
            <w:vAlign w:val="center"/>
          </w:tcPr>
          <w:p w14:paraId="59593D3A">
            <w:pPr>
              <w:spacing w:after="0"/>
            </w:pPr>
            <w:r>
              <w:rPr>
                <w:rFonts w:ascii="Aptos" w:hAnsi="Aptos"/>
                <w:b w:val="0"/>
                <w:color w:val="18212B"/>
                <w:sz w:val="16"/>
              </w:rPr>
              <w:t>Fleet, Safety, user management, settings, audit logs.</w:t>
            </w:r>
          </w:p>
        </w:tc>
      </w:tr>
      <w:tr w14:paraId="25B5DD74">
        <w:trPr>
          <w:cantSplit/>
          <w:jc w:val="center"/>
        </w:trPr>
        <w:tc>
          <w:tcPr>
            <w:tcW w:w="2232" w:type="dxa"/>
            <w:tcBorders>
              <w:bottom w:val="single" w:color="D5DEE5" w:sz="4" w:space="0"/>
            </w:tcBorders>
            <w:shd w:val="clear" w:color="auto" w:fill="F6F9FB"/>
            <w:tcMar>
              <w:top w:w="80" w:type="dxa"/>
              <w:left w:w="100" w:type="dxa"/>
              <w:bottom w:w="80" w:type="dxa"/>
              <w:right w:w="100" w:type="dxa"/>
            </w:tcMar>
            <w:vAlign w:val="center"/>
          </w:tcPr>
          <w:p w14:paraId="06C9633D">
            <w:pPr>
              <w:spacing w:after="0"/>
            </w:pPr>
            <w:r>
              <w:rPr>
                <w:rFonts w:ascii="Aptos" w:hAnsi="Aptos"/>
                <w:b w:val="0"/>
                <w:color w:val="18212B"/>
                <w:sz w:val="16"/>
              </w:rPr>
              <w:t>Fleet user</w:t>
            </w:r>
          </w:p>
        </w:tc>
        <w:tc>
          <w:tcPr>
            <w:tcW w:w="3312" w:type="dxa"/>
            <w:tcBorders>
              <w:bottom w:val="single" w:color="D5DEE5" w:sz="4" w:space="0"/>
            </w:tcBorders>
            <w:shd w:val="clear" w:color="auto" w:fill="F6F9FB"/>
            <w:tcMar>
              <w:top w:w="80" w:type="dxa"/>
              <w:left w:w="100" w:type="dxa"/>
              <w:bottom w:w="80" w:type="dxa"/>
              <w:right w:w="100" w:type="dxa"/>
            </w:tcMar>
            <w:vAlign w:val="center"/>
          </w:tcPr>
          <w:p w14:paraId="2A8476F3">
            <w:pPr>
              <w:spacing w:after="0"/>
            </w:pPr>
            <w:r>
              <w:rPr>
                <w:rFonts w:ascii="Aptos" w:hAnsi="Aptos"/>
                <w:b w:val="0"/>
                <w:color w:val="18212B"/>
                <w:sz w:val="16"/>
              </w:rPr>
              <w:t>Fleet Dashboard</w:t>
            </w:r>
          </w:p>
        </w:tc>
        <w:tc>
          <w:tcPr>
            <w:tcW w:w="4968" w:type="dxa"/>
            <w:tcBorders>
              <w:bottom w:val="single" w:color="D5DEE5" w:sz="4" w:space="0"/>
            </w:tcBorders>
            <w:shd w:val="clear" w:color="auto" w:fill="F6F9FB"/>
            <w:tcMar>
              <w:top w:w="80" w:type="dxa"/>
              <w:left w:w="100" w:type="dxa"/>
              <w:bottom w:w="80" w:type="dxa"/>
              <w:right w:w="100" w:type="dxa"/>
            </w:tcMar>
            <w:vAlign w:val="center"/>
          </w:tcPr>
          <w:p w14:paraId="4174AFC7">
            <w:pPr>
              <w:spacing w:after="0"/>
            </w:pPr>
            <w:r>
              <w:rPr>
                <w:rFonts w:ascii="Aptos" w:hAnsi="Aptos"/>
                <w:b w:val="0"/>
                <w:color w:val="18212B"/>
                <w:sz w:val="16"/>
              </w:rPr>
              <w:t>Fleet modules only, according to assigned permissions.</w:t>
            </w:r>
          </w:p>
        </w:tc>
      </w:tr>
      <w:tr w14:paraId="377E61AB">
        <w:trPr>
          <w:cantSplit/>
          <w:jc w:val="center"/>
        </w:trPr>
        <w:tc>
          <w:tcPr>
            <w:tcW w:w="2232" w:type="dxa"/>
            <w:tcBorders>
              <w:bottom w:val="single" w:color="D5DEE5" w:sz="4" w:space="0"/>
            </w:tcBorders>
            <w:shd w:val="clear" w:color="auto" w:fill="FFFFFF"/>
            <w:tcMar>
              <w:top w:w="80" w:type="dxa"/>
              <w:left w:w="100" w:type="dxa"/>
              <w:bottom w:w="80" w:type="dxa"/>
              <w:right w:w="100" w:type="dxa"/>
            </w:tcMar>
            <w:vAlign w:val="center"/>
          </w:tcPr>
          <w:p w14:paraId="261449AE">
            <w:pPr>
              <w:spacing w:after="0"/>
            </w:pPr>
            <w:r>
              <w:rPr>
                <w:rFonts w:ascii="Aptos" w:hAnsi="Aptos"/>
                <w:b w:val="0"/>
                <w:color w:val="18212B"/>
                <w:sz w:val="16"/>
              </w:rPr>
              <w:t>Safety user</w:t>
            </w:r>
          </w:p>
        </w:tc>
        <w:tc>
          <w:tcPr>
            <w:tcW w:w="3312" w:type="dxa"/>
            <w:tcBorders>
              <w:bottom w:val="single" w:color="D5DEE5" w:sz="4" w:space="0"/>
            </w:tcBorders>
            <w:shd w:val="clear" w:color="auto" w:fill="FFFFFF"/>
            <w:tcMar>
              <w:top w:w="80" w:type="dxa"/>
              <w:left w:w="100" w:type="dxa"/>
              <w:bottom w:w="80" w:type="dxa"/>
              <w:right w:w="100" w:type="dxa"/>
            </w:tcMar>
            <w:vAlign w:val="center"/>
          </w:tcPr>
          <w:p w14:paraId="425F2D3A">
            <w:pPr>
              <w:spacing w:after="0"/>
            </w:pPr>
            <w:r>
              <w:rPr>
                <w:rFonts w:ascii="Aptos" w:hAnsi="Aptos"/>
                <w:b w:val="0"/>
                <w:color w:val="18212B"/>
                <w:sz w:val="16"/>
              </w:rPr>
              <w:t>Safety Dashboard</w:t>
            </w:r>
          </w:p>
        </w:tc>
        <w:tc>
          <w:tcPr>
            <w:tcW w:w="4968" w:type="dxa"/>
            <w:tcBorders>
              <w:bottom w:val="single" w:color="D5DEE5" w:sz="4" w:space="0"/>
            </w:tcBorders>
            <w:shd w:val="clear" w:color="auto" w:fill="FFFFFF"/>
            <w:tcMar>
              <w:top w:w="80" w:type="dxa"/>
              <w:left w:w="100" w:type="dxa"/>
              <w:bottom w:w="80" w:type="dxa"/>
              <w:right w:w="100" w:type="dxa"/>
            </w:tcMar>
            <w:vAlign w:val="center"/>
          </w:tcPr>
          <w:p w14:paraId="4BAF60DC">
            <w:pPr>
              <w:spacing w:after="0"/>
            </w:pPr>
            <w:r>
              <w:rPr>
                <w:rFonts w:ascii="Aptos" w:hAnsi="Aptos"/>
                <w:b w:val="0"/>
                <w:color w:val="18212B"/>
                <w:sz w:val="16"/>
              </w:rPr>
              <w:t>Safety modules only, according to assigned permissions.</w:t>
            </w:r>
          </w:p>
        </w:tc>
      </w:tr>
    </w:tbl>
    <w:p w14:paraId="09D6F1D2">
      <w:pPr>
        <w:spacing w:after="0"/>
      </w:pPr>
    </w:p>
    <w:p w14:paraId="0DBC98AE">
      <w:pPr>
        <w:pStyle w:val="23"/>
        <w:spacing w:after="20"/>
      </w:pPr>
      <w:r>
        <w:rPr>
          <w:sz w:val="18"/>
        </w:rPr>
        <w:t>Login must redirect users automatically by department and role.</w:t>
      </w:r>
    </w:p>
    <w:p w14:paraId="4D997E95">
      <w:pPr>
        <w:pStyle w:val="23"/>
        <w:spacing w:after="20"/>
      </w:pPr>
      <w:r>
        <w:rPr>
          <w:sz w:val="18"/>
        </w:rPr>
        <w:t>Unauthorized department routes must be blocked on both frontend and backend.</w:t>
      </w:r>
    </w:p>
    <w:p w14:paraId="78AF3AD1">
      <w:pPr>
        <w:pStyle w:val="23"/>
        <w:spacing w:after="20"/>
      </w:pPr>
      <w:r>
        <w:rPr>
          <w:sz w:val="18"/>
        </w:rPr>
        <w:t>Admin can create, deactivate, and assign users, departments, roles, and granular permissions.</w:t>
      </w:r>
    </w:p>
    <w:p w14:paraId="2DFDE039">
      <w:pPr>
        <w:pStyle w:val="23"/>
        <w:spacing w:after="20"/>
      </w:pPr>
      <w:r>
        <w:rPr>
          <w:sz w:val="18"/>
        </w:rPr>
        <w:t>The header must show the logged-in user, role, department, and logout action.</w:t>
      </w:r>
    </w:p>
    <w:p w14:paraId="6E99A74B">
      <w:pPr>
        <w:pStyle w:val="2"/>
      </w:pPr>
      <w:r>
        <w:t>3. Shared System Requirements</w:t>
      </w:r>
    </w:p>
    <w:p w14:paraId="2AFBD790">
      <w:pPr>
        <w:pStyle w:val="23"/>
        <w:spacing w:after="20"/>
      </w:pPr>
      <w:r>
        <w:rPr>
          <w:sz w:val="18"/>
        </w:rPr>
        <w:t>Single master records for drivers, trucks, and trailers; Fleet and Safety must reference the same IDs rather than duplicate data.</w:t>
      </w:r>
    </w:p>
    <w:p w14:paraId="07F9A5CE">
      <w:pPr>
        <w:pStyle w:val="23"/>
        <w:spacing w:after="20"/>
      </w:pPr>
      <w:r>
        <w:rPr>
          <w:sz w:val="18"/>
        </w:rPr>
        <w:t>Global search by unit number, trailer number, driver, VIN, plate, CDL, claim number, load number, or document name.</w:t>
      </w:r>
    </w:p>
    <w:p w14:paraId="265ED5F7">
      <w:pPr>
        <w:pStyle w:val="23"/>
        <w:spacing w:after="20"/>
      </w:pPr>
      <w:r>
        <w:rPr>
          <w:sz w:val="18"/>
        </w:rPr>
        <w:t>Audit trail for create, edit, assign, move, close, delete, upload, and status-change actions, including user and timestamp.</w:t>
      </w:r>
    </w:p>
    <w:p w14:paraId="0D3F2836">
      <w:pPr>
        <w:pStyle w:val="23"/>
        <w:spacing w:after="20"/>
      </w:pPr>
      <w:r>
        <w:rPr>
          <w:sz w:val="18"/>
        </w:rPr>
        <w:t>Real file upload, secure storage, preview, download, replacement/version history, and access control.</w:t>
      </w:r>
    </w:p>
    <w:p w14:paraId="2E7AF8C6">
      <w:pPr>
        <w:pStyle w:val="23"/>
        <w:spacing w:after="20"/>
      </w:pPr>
      <w:r>
        <w:rPr>
          <w:sz w:val="18"/>
        </w:rPr>
        <w:t>Notifications generated from expiration dates, open tasks, prolonged statuses, and missing required data.</w:t>
      </w:r>
    </w:p>
    <w:p w14:paraId="11C88EF1">
      <w:pPr>
        <w:pStyle w:val="23"/>
        <w:spacing w:after="20"/>
      </w:pPr>
      <w:r>
        <w:rPr>
          <w:sz w:val="18"/>
        </w:rPr>
        <w:t>Desktop-first interface with compact tables, filters, sticky headers, horizontal scrolling, and clear status badges.</w:t>
      </w:r>
    </w:p>
    <w:p w14:paraId="4CD51DE8">
      <w:pPr>
        <w:pStyle w:val="2"/>
      </w:pPr>
      <w:r>
        <w:t>4. Fleet Workspace</w:t>
      </w:r>
    </w:p>
    <w:p w14:paraId="2DFA316A">
      <w:pPr>
        <w:pStyle w:val="164"/>
      </w:pPr>
      <w:r>
        <w:t>The Fleet workspace manages trucks, trailers, services, fleet expenses, documents, and operational alerts. All status changes must preserve history and immediately update dashboard counts.</w:t>
      </w:r>
    </w:p>
    <w:p w14:paraId="2B054CFA">
      <w:pPr>
        <w:pStyle w:val="3"/>
      </w:pPr>
      <w:r>
        <w:t>4.1 Fleet Dashboard</w:t>
      </w:r>
    </w:p>
    <w:p w14:paraId="6071AD39">
      <w:pPr>
        <w:pStyle w:val="23"/>
        <w:spacing w:after="20"/>
      </w:pPr>
      <w:r>
        <w:rPr>
          <w:sz w:val="18"/>
        </w:rPr>
        <w:t>KPIs: assigned, unassigned, and in-service trucks; assigned and unassigned trailers; open services; monthly service cost; monthly fleet expenses; expiring documents; open alerts.</w:t>
      </w:r>
    </w:p>
    <w:p w14:paraId="30F69F5E">
      <w:pPr>
        <w:pStyle w:val="23"/>
        <w:spacing w:after="20"/>
      </w:pPr>
      <w:r>
        <w:rPr>
          <w:sz w:val="18"/>
        </w:rPr>
        <w:t>Operational panels: trucks in service, trailer status/dormancy, urgent alerts, expiring documents, recent activity, and cost charts.</w:t>
      </w:r>
    </w:p>
    <w:p w14:paraId="32BA3249">
      <w:pPr>
        <w:pStyle w:val="23"/>
        <w:spacing w:after="20"/>
      </w:pPr>
      <w:r>
        <w:rPr>
          <w:sz w:val="18"/>
        </w:rPr>
        <w:t>Quick actions: add truck, add trailer, add service, add expense, and upload document.</w:t>
      </w:r>
    </w:p>
    <w:p w14:paraId="270B8280">
      <w:pPr>
        <w:pStyle w:val="3"/>
      </w:pPr>
      <w:r>
        <w:t>4.2 Trucks</w:t>
      </w:r>
    </w:p>
    <w:tbl>
      <w:tblPr>
        <w:tblStyle w:val="12"/>
        <w:tblW w:w="0" w:type="auto"/>
        <w:jc w:val="center"/>
        <w:tblLayout w:type="fixed"/>
        <w:tblCellMar>
          <w:top w:w="0" w:type="dxa"/>
          <w:left w:w="108" w:type="dxa"/>
          <w:bottom w:w="0" w:type="dxa"/>
          <w:right w:w="108" w:type="dxa"/>
        </w:tblCellMar>
      </w:tblPr>
      <w:tblGrid>
        <w:gridCol w:w="5141"/>
        <w:gridCol w:w="5141"/>
      </w:tblGrid>
      <w:tr w14:paraId="657D437D">
        <w:trPr>
          <w:cantSplit/>
          <w:tblHeader/>
          <w:jc w:val="center"/>
        </w:trPr>
        <w:tc>
          <w:tcPr>
            <w:tcW w:w="2088" w:type="dxa"/>
            <w:tcBorders>
              <w:bottom w:val="single" w:color="16324F" w:sz="8" w:space="0"/>
            </w:tcBorders>
            <w:shd w:val="clear" w:color="auto" w:fill="16324F"/>
            <w:tcMar>
              <w:top w:w="80" w:type="dxa"/>
              <w:left w:w="100" w:type="dxa"/>
              <w:bottom w:w="80" w:type="dxa"/>
              <w:right w:w="100" w:type="dxa"/>
            </w:tcMar>
            <w:vAlign w:val="center"/>
          </w:tcPr>
          <w:p w14:paraId="04BE58D7">
            <w:pPr>
              <w:spacing w:after="0"/>
            </w:pPr>
            <w:r>
              <w:rPr>
                <w:rFonts w:ascii="Aptos" w:hAnsi="Aptos"/>
                <w:b/>
                <w:color w:val="FFFFFF"/>
                <w:sz w:val="17"/>
              </w:rPr>
              <w:t>View / Action</w:t>
            </w:r>
          </w:p>
        </w:tc>
        <w:tc>
          <w:tcPr>
            <w:tcW w:w="8424" w:type="dxa"/>
            <w:tcBorders>
              <w:bottom w:val="single" w:color="16324F" w:sz="8" w:space="0"/>
            </w:tcBorders>
            <w:shd w:val="clear" w:color="auto" w:fill="16324F"/>
            <w:tcMar>
              <w:top w:w="80" w:type="dxa"/>
              <w:left w:w="100" w:type="dxa"/>
              <w:bottom w:w="80" w:type="dxa"/>
              <w:right w:w="100" w:type="dxa"/>
            </w:tcMar>
            <w:vAlign w:val="center"/>
          </w:tcPr>
          <w:p w14:paraId="7D982010">
            <w:pPr>
              <w:spacing w:after="0"/>
            </w:pPr>
            <w:r>
              <w:rPr>
                <w:rFonts w:ascii="Aptos" w:hAnsi="Aptos"/>
                <w:b/>
                <w:color w:val="FFFFFF"/>
                <w:sz w:val="17"/>
              </w:rPr>
              <w:t>Required behavior</w:t>
            </w:r>
          </w:p>
        </w:tc>
      </w:tr>
      <w:tr w14:paraId="0FF36B76">
        <w:trPr>
          <w:cantSplit/>
          <w:jc w:val="center"/>
        </w:trPr>
        <w:tc>
          <w:tcPr>
            <w:tcW w:w="2088" w:type="dxa"/>
            <w:tcBorders>
              <w:bottom w:val="single" w:color="D5DEE5" w:sz="4" w:space="0"/>
            </w:tcBorders>
            <w:shd w:val="clear" w:color="auto" w:fill="FFFFFF"/>
            <w:tcMar>
              <w:top w:w="80" w:type="dxa"/>
              <w:left w:w="100" w:type="dxa"/>
              <w:bottom w:w="80" w:type="dxa"/>
              <w:right w:w="100" w:type="dxa"/>
            </w:tcMar>
            <w:vAlign w:val="center"/>
          </w:tcPr>
          <w:p w14:paraId="7260B8CA">
            <w:pPr>
              <w:spacing w:after="0"/>
            </w:pPr>
            <w:r>
              <w:rPr>
                <w:rFonts w:ascii="Aptos" w:hAnsi="Aptos"/>
                <w:b w:val="0"/>
                <w:color w:val="18212B"/>
                <w:sz w:val="16"/>
              </w:rPr>
              <w:t>Views</w:t>
            </w:r>
          </w:p>
        </w:tc>
        <w:tc>
          <w:tcPr>
            <w:tcW w:w="8424" w:type="dxa"/>
            <w:tcBorders>
              <w:bottom w:val="single" w:color="D5DEE5" w:sz="4" w:space="0"/>
            </w:tcBorders>
            <w:shd w:val="clear" w:color="auto" w:fill="FFFFFF"/>
            <w:tcMar>
              <w:top w:w="80" w:type="dxa"/>
              <w:left w:w="100" w:type="dxa"/>
              <w:bottom w:w="80" w:type="dxa"/>
              <w:right w:w="100" w:type="dxa"/>
            </w:tcMar>
            <w:vAlign w:val="center"/>
          </w:tcPr>
          <w:p w14:paraId="784B4372">
            <w:pPr>
              <w:spacing w:after="0"/>
            </w:pPr>
            <w:r>
              <w:rPr>
                <w:rFonts w:ascii="Aptos" w:hAnsi="Aptos"/>
                <w:b w:val="0"/>
                <w:color w:val="18212B"/>
                <w:sz w:val="16"/>
              </w:rPr>
              <w:t>Assigned, Unassigned, In Service, History, and All Trucks.</w:t>
            </w:r>
          </w:p>
        </w:tc>
      </w:tr>
      <w:tr w14:paraId="7E8659AB">
        <w:trPr>
          <w:cantSplit/>
          <w:jc w:val="center"/>
        </w:trPr>
        <w:tc>
          <w:tcPr>
            <w:tcW w:w="2088" w:type="dxa"/>
            <w:tcBorders>
              <w:bottom w:val="single" w:color="D5DEE5" w:sz="4" w:space="0"/>
            </w:tcBorders>
            <w:shd w:val="clear" w:color="auto" w:fill="F6F9FB"/>
            <w:tcMar>
              <w:top w:w="80" w:type="dxa"/>
              <w:left w:w="100" w:type="dxa"/>
              <w:bottom w:w="80" w:type="dxa"/>
              <w:right w:w="100" w:type="dxa"/>
            </w:tcMar>
            <w:vAlign w:val="center"/>
          </w:tcPr>
          <w:p w14:paraId="5D9FE4A6">
            <w:pPr>
              <w:spacing w:after="0"/>
            </w:pPr>
            <w:r>
              <w:rPr>
                <w:rFonts w:ascii="Aptos" w:hAnsi="Aptos"/>
                <w:b w:val="0"/>
                <w:color w:val="18212B"/>
                <w:sz w:val="16"/>
              </w:rPr>
              <w:t>Add truck</w:t>
            </w:r>
          </w:p>
        </w:tc>
        <w:tc>
          <w:tcPr>
            <w:tcW w:w="8424" w:type="dxa"/>
            <w:tcBorders>
              <w:bottom w:val="single" w:color="D5DEE5" w:sz="4" w:space="0"/>
            </w:tcBorders>
            <w:shd w:val="clear" w:color="auto" w:fill="F6F9FB"/>
            <w:tcMar>
              <w:top w:w="80" w:type="dxa"/>
              <w:left w:w="100" w:type="dxa"/>
              <w:bottom w:w="80" w:type="dxa"/>
              <w:right w:w="100" w:type="dxa"/>
            </w:tcMar>
            <w:vAlign w:val="center"/>
          </w:tcPr>
          <w:p w14:paraId="7B96548F">
            <w:pPr>
              <w:spacing w:after="0"/>
            </w:pPr>
            <w:r>
              <w:rPr>
                <w:rFonts w:ascii="Aptos" w:hAnsi="Aptos"/>
                <w:b w:val="0"/>
                <w:color w:val="18212B"/>
                <w:sz w:val="16"/>
              </w:rPr>
              <w:t>Capture unit, VIN, plate, make/year, ownership type, home location, expiration dates, notes, and assigned devices. New trucks enter Unassigned.</w:t>
            </w:r>
          </w:p>
        </w:tc>
      </w:tr>
      <w:tr w14:paraId="198DEBC6">
        <w:trPr>
          <w:cantSplit/>
          <w:jc w:val="center"/>
        </w:trPr>
        <w:tc>
          <w:tcPr>
            <w:tcW w:w="2088" w:type="dxa"/>
            <w:tcBorders>
              <w:bottom w:val="single" w:color="D5DEE5" w:sz="4" w:space="0"/>
            </w:tcBorders>
            <w:shd w:val="clear" w:color="auto" w:fill="FFFFFF"/>
            <w:tcMar>
              <w:top w:w="80" w:type="dxa"/>
              <w:left w:w="100" w:type="dxa"/>
              <w:bottom w:w="80" w:type="dxa"/>
              <w:right w:w="100" w:type="dxa"/>
            </w:tcMar>
            <w:vAlign w:val="center"/>
          </w:tcPr>
          <w:p w14:paraId="665D98AA">
            <w:pPr>
              <w:spacing w:after="0"/>
            </w:pPr>
            <w:r>
              <w:rPr>
                <w:rFonts w:ascii="Aptos" w:hAnsi="Aptos"/>
                <w:b w:val="0"/>
                <w:color w:val="18212B"/>
                <w:sz w:val="16"/>
              </w:rPr>
              <w:t>Assign</w:t>
            </w:r>
          </w:p>
        </w:tc>
        <w:tc>
          <w:tcPr>
            <w:tcW w:w="8424" w:type="dxa"/>
            <w:tcBorders>
              <w:bottom w:val="single" w:color="D5DEE5" w:sz="4" w:space="0"/>
            </w:tcBorders>
            <w:shd w:val="clear" w:color="auto" w:fill="FFFFFF"/>
            <w:tcMar>
              <w:top w:w="80" w:type="dxa"/>
              <w:left w:w="100" w:type="dxa"/>
              <w:bottom w:w="80" w:type="dxa"/>
              <w:right w:w="100" w:type="dxa"/>
            </w:tcMar>
            <w:vAlign w:val="center"/>
          </w:tcPr>
          <w:p w14:paraId="30163500">
            <w:pPr>
              <w:spacing w:after="0"/>
            </w:pPr>
            <w:r>
              <w:rPr>
                <w:rFonts w:ascii="Aptos" w:hAnsi="Aptos"/>
                <w:b w:val="0"/>
                <w:color w:val="18212B"/>
                <w:sz w:val="16"/>
              </w:rPr>
              <w:t>Select an existing driver and pickup date; truck moves to Assigned.</w:t>
            </w:r>
          </w:p>
        </w:tc>
      </w:tr>
      <w:tr w14:paraId="67D91ECC">
        <w:trPr>
          <w:cantSplit/>
          <w:jc w:val="center"/>
        </w:trPr>
        <w:tc>
          <w:tcPr>
            <w:tcW w:w="2088" w:type="dxa"/>
            <w:tcBorders>
              <w:bottom w:val="single" w:color="D5DEE5" w:sz="4" w:space="0"/>
            </w:tcBorders>
            <w:shd w:val="clear" w:color="auto" w:fill="F6F9FB"/>
            <w:tcMar>
              <w:top w:w="80" w:type="dxa"/>
              <w:left w:w="100" w:type="dxa"/>
              <w:bottom w:w="80" w:type="dxa"/>
              <w:right w:w="100" w:type="dxa"/>
            </w:tcMar>
            <w:vAlign w:val="center"/>
          </w:tcPr>
          <w:p w14:paraId="27C148F7">
            <w:pPr>
              <w:spacing w:after="0"/>
            </w:pPr>
            <w:r>
              <w:rPr>
                <w:rFonts w:ascii="Aptos" w:hAnsi="Aptos"/>
                <w:b w:val="0"/>
                <w:color w:val="18212B"/>
                <w:sz w:val="16"/>
              </w:rPr>
              <w:t>Move / Drop</w:t>
            </w:r>
          </w:p>
        </w:tc>
        <w:tc>
          <w:tcPr>
            <w:tcW w:w="8424" w:type="dxa"/>
            <w:tcBorders>
              <w:bottom w:val="single" w:color="D5DEE5" w:sz="4" w:space="0"/>
            </w:tcBorders>
            <w:shd w:val="clear" w:color="auto" w:fill="F6F9FB"/>
            <w:tcMar>
              <w:top w:w="80" w:type="dxa"/>
              <w:left w:w="100" w:type="dxa"/>
              <w:bottom w:w="80" w:type="dxa"/>
              <w:right w:w="100" w:type="dxa"/>
            </w:tcMar>
            <w:vAlign w:val="center"/>
          </w:tcPr>
          <w:p w14:paraId="1A6A09CB">
            <w:pPr>
              <w:spacing w:after="0"/>
            </w:pPr>
            <w:r>
              <w:rPr>
                <w:rFonts w:ascii="Aptos" w:hAnsi="Aptos"/>
                <w:b w:val="0"/>
                <w:color w:val="18212B"/>
                <w:sz w:val="16"/>
              </w:rPr>
              <w:t>Yard + leaving company -&gt; Unassigned + history. Service + leaving company -&gt; In Service + history. Service + going home -&gt; In Service while driver context remains.</w:t>
            </w:r>
          </w:p>
        </w:tc>
      </w:tr>
      <w:tr w14:paraId="0E227E26">
        <w:trPr>
          <w:cantSplit/>
          <w:jc w:val="center"/>
        </w:trPr>
        <w:tc>
          <w:tcPr>
            <w:tcW w:w="2088" w:type="dxa"/>
            <w:tcBorders>
              <w:bottom w:val="single" w:color="D5DEE5" w:sz="4" w:space="0"/>
            </w:tcBorders>
            <w:shd w:val="clear" w:color="auto" w:fill="FFFFFF"/>
            <w:tcMar>
              <w:top w:w="80" w:type="dxa"/>
              <w:left w:w="100" w:type="dxa"/>
              <w:bottom w:w="80" w:type="dxa"/>
              <w:right w:w="100" w:type="dxa"/>
            </w:tcMar>
            <w:vAlign w:val="center"/>
          </w:tcPr>
          <w:p w14:paraId="3AF82369">
            <w:pPr>
              <w:spacing w:after="0"/>
            </w:pPr>
            <w:r>
              <w:rPr>
                <w:rFonts w:ascii="Aptos" w:hAnsi="Aptos"/>
                <w:b w:val="0"/>
                <w:color w:val="18212B"/>
                <w:sz w:val="16"/>
              </w:rPr>
              <w:t>Validation</w:t>
            </w:r>
          </w:p>
        </w:tc>
        <w:tc>
          <w:tcPr>
            <w:tcW w:w="8424" w:type="dxa"/>
            <w:tcBorders>
              <w:bottom w:val="single" w:color="D5DEE5" w:sz="4" w:space="0"/>
            </w:tcBorders>
            <w:shd w:val="clear" w:color="auto" w:fill="FFFFFF"/>
            <w:tcMar>
              <w:top w:w="80" w:type="dxa"/>
              <w:left w:w="100" w:type="dxa"/>
              <w:bottom w:w="80" w:type="dxa"/>
              <w:right w:w="100" w:type="dxa"/>
            </w:tcMar>
            <w:vAlign w:val="center"/>
          </w:tcPr>
          <w:p w14:paraId="58B7432F">
            <w:pPr>
              <w:spacing w:after="0"/>
            </w:pPr>
            <w:r>
              <w:rPr>
                <w:rFonts w:ascii="Aptos" w:hAnsi="Aptos"/>
                <w:b w:val="0"/>
                <w:color w:val="18212B"/>
                <w:sz w:val="16"/>
              </w:rPr>
              <w:t>Unit number, VIN, plate, and every device number must be unique fleet-wide.</w:t>
            </w:r>
          </w:p>
        </w:tc>
      </w:tr>
      <w:tr w14:paraId="1E6D4E40">
        <w:trPr>
          <w:cantSplit/>
          <w:jc w:val="center"/>
        </w:trPr>
        <w:tc>
          <w:tcPr>
            <w:tcW w:w="2088" w:type="dxa"/>
            <w:tcBorders>
              <w:bottom w:val="single" w:color="D5DEE5" w:sz="4" w:space="0"/>
            </w:tcBorders>
            <w:shd w:val="clear" w:color="auto" w:fill="F6F9FB"/>
            <w:tcMar>
              <w:top w:w="80" w:type="dxa"/>
              <w:left w:w="100" w:type="dxa"/>
              <w:bottom w:w="80" w:type="dxa"/>
              <w:right w:w="100" w:type="dxa"/>
            </w:tcMar>
            <w:vAlign w:val="center"/>
          </w:tcPr>
          <w:p w14:paraId="1ECB0DBC">
            <w:pPr>
              <w:spacing w:after="0"/>
            </w:pPr>
            <w:r>
              <w:rPr>
                <w:rFonts w:ascii="Aptos" w:hAnsi="Aptos"/>
                <w:b w:val="0"/>
                <w:color w:val="18212B"/>
                <w:sz w:val="16"/>
              </w:rPr>
              <w:t>Devices</w:t>
            </w:r>
          </w:p>
        </w:tc>
        <w:tc>
          <w:tcPr>
            <w:tcW w:w="8424" w:type="dxa"/>
            <w:tcBorders>
              <w:bottom w:val="single" w:color="D5DEE5" w:sz="4" w:space="0"/>
            </w:tcBorders>
            <w:shd w:val="clear" w:color="auto" w:fill="F6F9FB"/>
            <w:tcMar>
              <w:top w:w="80" w:type="dxa"/>
              <w:left w:w="100" w:type="dxa"/>
              <w:bottom w:w="80" w:type="dxa"/>
              <w:right w:w="100" w:type="dxa"/>
            </w:tcMar>
            <w:vAlign w:val="center"/>
          </w:tcPr>
          <w:p w14:paraId="6E4A422D">
            <w:pPr>
              <w:spacing w:after="0"/>
            </w:pPr>
            <w:r>
              <w:rPr>
                <w:rFonts w:ascii="Aptos" w:hAnsi="Aptos"/>
                <w:b w:val="0"/>
                <w:color w:val="18212B"/>
                <w:sz w:val="16"/>
              </w:rPr>
              <w:t>Motive gateway, camera, PrePass, ELD PT30, tablet, and chains, with assignment history.</w:t>
            </w:r>
          </w:p>
        </w:tc>
      </w:tr>
    </w:tbl>
    <w:p w14:paraId="19676E8F">
      <w:pPr>
        <w:spacing w:after="0"/>
      </w:pPr>
    </w:p>
    <w:p w14:paraId="657248BE">
      <w:pPr>
        <w:pStyle w:val="3"/>
      </w:pPr>
      <w:r>
        <w:t>4.3 Truck Profile</w:t>
      </w:r>
    </w:p>
    <w:p w14:paraId="05FB61C4">
      <w:pPr>
        <w:pStyle w:val="23"/>
        <w:spacing w:after="20"/>
      </w:pPr>
      <w:r>
        <w:rPr>
          <w:sz w:val="18"/>
        </w:rPr>
        <w:t>Overview, current status/driver/location, ownership, expirations, and current devices.</w:t>
      </w:r>
    </w:p>
    <w:p w14:paraId="2C7A64E8">
      <w:pPr>
        <w:pStyle w:val="23"/>
        <w:spacing w:after="20"/>
      </w:pPr>
      <w:r>
        <w:rPr>
          <w:sz w:val="18"/>
        </w:rPr>
        <w:t>Assignment history, device history, service history, expense history, documents, notes, and audit timeline.</w:t>
      </w:r>
    </w:p>
    <w:p w14:paraId="36F271D2">
      <w:pPr>
        <w:pStyle w:val="23"/>
        <w:spacing w:after="20"/>
      </w:pPr>
      <w:r>
        <w:rPr>
          <w:sz w:val="18"/>
        </w:rPr>
        <w:t>Calculated totals: service cost, expense cost, combined cost, counts, monthly cost, and cost breakdown by type/vendor.</w:t>
      </w:r>
    </w:p>
    <w:p w14:paraId="4B06A762">
      <w:pPr>
        <w:pStyle w:val="3"/>
      </w:pPr>
      <w:r>
        <w:t>4.4 Trailers</w:t>
      </w:r>
    </w:p>
    <w:tbl>
      <w:tblPr>
        <w:tblStyle w:val="12"/>
        <w:tblW w:w="0" w:type="auto"/>
        <w:jc w:val="center"/>
        <w:tblLayout w:type="fixed"/>
        <w:tblCellMar>
          <w:top w:w="0" w:type="dxa"/>
          <w:left w:w="108" w:type="dxa"/>
          <w:bottom w:w="0" w:type="dxa"/>
          <w:right w:w="108" w:type="dxa"/>
        </w:tblCellMar>
      </w:tblPr>
      <w:tblGrid>
        <w:gridCol w:w="5141"/>
        <w:gridCol w:w="5141"/>
      </w:tblGrid>
      <w:tr w14:paraId="41FCD592">
        <w:trPr>
          <w:cantSplit/>
          <w:tblHeader/>
          <w:jc w:val="center"/>
        </w:trPr>
        <w:tc>
          <w:tcPr>
            <w:tcW w:w="2088" w:type="dxa"/>
            <w:tcBorders>
              <w:bottom w:val="single" w:color="16324F" w:sz="8" w:space="0"/>
            </w:tcBorders>
            <w:shd w:val="clear" w:color="auto" w:fill="16324F"/>
            <w:tcMar>
              <w:top w:w="80" w:type="dxa"/>
              <w:left w:w="100" w:type="dxa"/>
              <w:bottom w:w="80" w:type="dxa"/>
              <w:right w:w="100" w:type="dxa"/>
            </w:tcMar>
            <w:vAlign w:val="center"/>
          </w:tcPr>
          <w:p w14:paraId="77E046BE">
            <w:pPr>
              <w:spacing w:after="0"/>
            </w:pPr>
            <w:r>
              <w:rPr>
                <w:rFonts w:ascii="Aptos" w:hAnsi="Aptos"/>
                <w:b/>
                <w:color w:val="FFFFFF"/>
                <w:sz w:val="17"/>
              </w:rPr>
              <w:t>View / Action</w:t>
            </w:r>
          </w:p>
        </w:tc>
        <w:tc>
          <w:tcPr>
            <w:tcW w:w="8424" w:type="dxa"/>
            <w:tcBorders>
              <w:bottom w:val="single" w:color="16324F" w:sz="8" w:space="0"/>
            </w:tcBorders>
            <w:shd w:val="clear" w:color="auto" w:fill="16324F"/>
            <w:tcMar>
              <w:top w:w="80" w:type="dxa"/>
              <w:left w:w="100" w:type="dxa"/>
              <w:bottom w:w="80" w:type="dxa"/>
              <w:right w:w="100" w:type="dxa"/>
            </w:tcMar>
            <w:vAlign w:val="center"/>
          </w:tcPr>
          <w:p w14:paraId="4CEA9202">
            <w:pPr>
              <w:spacing w:after="0"/>
            </w:pPr>
            <w:r>
              <w:rPr>
                <w:rFonts w:ascii="Aptos" w:hAnsi="Aptos"/>
                <w:b/>
                <w:color w:val="FFFFFF"/>
                <w:sz w:val="17"/>
              </w:rPr>
              <w:t>Required behavior</w:t>
            </w:r>
          </w:p>
        </w:tc>
      </w:tr>
      <w:tr w14:paraId="0940CCDE">
        <w:trPr>
          <w:cantSplit/>
          <w:jc w:val="center"/>
        </w:trPr>
        <w:tc>
          <w:tcPr>
            <w:tcW w:w="2088" w:type="dxa"/>
            <w:tcBorders>
              <w:bottom w:val="single" w:color="D5DEE5" w:sz="4" w:space="0"/>
            </w:tcBorders>
            <w:shd w:val="clear" w:color="auto" w:fill="FFFFFF"/>
            <w:tcMar>
              <w:top w:w="80" w:type="dxa"/>
              <w:left w:w="100" w:type="dxa"/>
              <w:bottom w:w="80" w:type="dxa"/>
              <w:right w:w="100" w:type="dxa"/>
            </w:tcMar>
            <w:vAlign w:val="center"/>
          </w:tcPr>
          <w:p w14:paraId="3DAC802F">
            <w:pPr>
              <w:spacing w:after="0"/>
            </w:pPr>
            <w:r>
              <w:rPr>
                <w:rFonts w:ascii="Aptos" w:hAnsi="Aptos"/>
                <w:b w:val="0"/>
                <w:color w:val="18212B"/>
                <w:sz w:val="16"/>
              </w:rPr>
              <w:t>Views</w:t>
            </w:r>
          </w:p>
        </w:tc>
        <w:tc>
          <w:tcPr>
            <w:tcW w:w="8424" w:type="dxa"/>
            <w:tcBorders>
              <w:bottom w:val="single" w:color="D5DEE5" w:sz="4" w:space="0"/>
            </w:tcBorders>
            <w:shd w:val="clear" w:color="auto" w:fill="FFFFFF"/>
            <w:tcMar>
              <w:top w:w="80" w:type="dxa"/>
              <w:left w:w="100" w:type="dxa"/>
              <w:bottom w:w="80" w:type="dxa"/>
              <w:right w:w="100" w:type="dxa"/>
            </w:tcMar>
            <w:vAlign w:val="center"/>
          </w:tcPr>
          <w:p w14:paraId="4572D83E">
            <w:pPr>
              <w:spacing w:after="0"/>
            </w:pPr>
            <w:r>
              <w:rPr>
                <w:rFonts w:ascii="Aptos" w:hAnsi="Aptos"/>
                <w:b w:val="0"/>
                <w:color w:val="18212B"/>
                <w:sz w:val="16"/>
              </w:rPr>
              <w:t>Assigned, Unassigned, History, and All Trailers.</w:t>
            </w:r>
          </w:p>
        </w:tc>
      </w:tr>
      <w:tr w14:paraId="3D7C43EE">
        <w:trPr>
          <w:cantSplit/>
          <w:jc w:val="center"/>
        </w:trPr>
        <w:tc>
          <w:tcPr>
            <w:tcW w:w="2088" w:type="dxa"/>
            <w:tcBorders>
              <w:bottom w:val="single" w:color="D5DEE5" w:sz="4" w:space="0"/>
            </w:tcBorders>
            <w:shd w:val="clear" w:color="auto" w:fill="F6F9FB"/>
            <w:tcMar>
              <w:top w:w="80" w:type="dxa"/>
              <w:left w:w="100" w:type="dxa"/>
              <w:bottom w:w="80" w:type="dxa"/>
              <w:right w:w="100" w:type="dxa"/>
            </w:tcMar>
            <w:vAlign w:val="center"/>
          </w:tcPr>
          <w:p w14:paraId="1C40264B">
            <w:pPr>
              <w:spacing w:after="0"/>
            </w:pPr>
            <w:r>
              <w:rPr>
                <w:rFonts w:ascii="Aptos" w:hAnsi="Aptos"/>
                <w:b w:val="0"/>
                <w:color w:val="18212B"/>
                <w:sz w:val="16"/>
              </w:rPr>
              <w:t>Add trailer</w:t>
            </w:r>
          </w:p>
        </w:tc>
        <w:tc>
          <w:tcPr>
            <w:tcW w:w="8424" w:type="dxa"/>
            <w:tcBorders>
              <w:bottom w:val="single" w:color="D5DEE5" w:sz="4" w:space="0"/>
            </w:tcBorders>
            <w:shd w:val="clear" w:color="auto" w:fill="F6F9FB"/>
            <w:tcMar>
              <w:top w:w="80" w:type="dxa"/>
              <w:left w:w="100" w:type="dxa"/>
              <w:bottom w:w="80" w:type="dxa"/>
              <w:right w:w="100" w:type="dxa"/>
            </w:tcMar>
            <w:vAlign w:val="center"/>
          </w:tcPr>
          <w:p w14:paraId="516EA082">
            <w:pPr>
              <w:spacing w:after="0"/>
            </w:pPr>
            <w:r>
              <w:rPr>
                <w:rFonts w:ascii="Aptos" w:hAnsi="Aptos"/>
                <w:b w:val="0"/>
                <w:color w:val="18212B"/>
                <w:sz w:val="16"/>
              </w:rPr>
              <w:t>Capture trailer number, VIN, year/make, plate/state, home location, pickup date, and annual inspection expiration. New trailers enter Unassigned.</w:t>
            </w:r>
          </w:p>
        </w:tc>
      </w:tr>
      <w:tr w14:paraId="3AFD9270">
        <w:trPr>
          <w:cantSplit/>
          <w:jc w:val="center"/>
        </w:trPr>
        <w:tc>
          <w:tcPr>
            <w:tcW w:w="2088" w:type="dxa"/>
            <w:tcBorders>
              <w:bottom w:val="single" w:color="D5DEE5" w:sz="4" w:space="0"/>
            </w:tcBorders>
            <w:shd w:val="clear" w:color="auto" w:fill="FFFFFF"/>
            <w:tcMar>
              <w:top w:w="80" w:type="dxa"/>
              <w:left w:w="100" w:type="dxa"/>
              <w:bottom w:w="80" w:type="dxa"/>
              <w:right w:w="100" w:type="dxa"/>
            </w:tcMar>
            <w:vAlign w:val="center"/>
          </w:tcPr>
          <w:p w14:paraId="64FE33EF">
            <w:pPr>
              <w:spacing w:after="0"/>
            </w:pPr>
            <w:r>
              <w:rPr>
                <w:rFonts w:ascii="Aptos" w:hAnsi="Aptos"/>
                <w:b w:val="0"/>
                <w:color w:val="18212B"/>
                <w:sz w:val="16"/>
              </w:rPr>
              <w:t>Assign / Drop</w:t>
            </w:r>
          </w:p>
        </w:tc>
        <w:tc>
          <w:tcPr>
            <w:tcW w:w="8424" w:type="dxa"/>
            <w:tcBorders>
              <w:bottom w:val="single" w:color="D5DEE5" w:sz="4" w:space="0"/>
            </w:tcBorders>
            <w:shd w:val="clear" w:color="auto" w:fill="FFFFFF"/>
            <w:tcMar>
              <w:top w:w="80" w:type="dxa"/>
              <w:left w:w="100" w:type="dxa"/>
              <w:bottom w:w="80" w:type="dxa"/>
              <w:right w:w="100" w:type="dxa"/>
            </w:tcMar>
            <w:vAlign w:val="center"/>
          </w:tcPr>
          <w:p w14:paraId="648EE7BA">
            <w:pPr>
              <w:spacing w:after="0"/>
            </w:pPr>
            <w:r>
              <w:rPr>
                <w:rFonts w:ascii="Aptos" w:hAnsi="Aptos"/>
                <w:b w:val="0"/>
                <w:color w:val="18212B"/>
                <w:sz w:val="16"/>
              </w:rPr>
              <w:t>Assign to driver with pickup date. Drop captures location/address, city/state, date, reason/status, and optional notes; record moves to history.</w:t>
            </w:r>
          </w:p>
        </w:tc>
      </w:tr>
      <w:tr w14:paraId="423B34A9">
        <w:trPr>
          <w:cantSplit/>
          <w:jc w:val="center"/>
        </w:trPr>
        <w:tc>
          <w:tcPr>
            <w:tcW w:w="2088" w:type="dxa"/>
            <w:tcBorders>
              <w:bottom w:val="single" w:color="D5DEE5" w:sz="4" w:space="0"/>
            </w:tcBorders>
            <w:shd w:val="clear" w:color="auto" w:fill="F6F9FB"/>
            <w:tcMar>
              <w:top w:w="80" w:type="dxa"/>
              <w:left w:w="100" w:type="dxa"/>
              <w:bottom w:w="80" w:type="dxa"/>
              <w:right w:w="100" w:type="dxa"/>
            </w:tcMar>
            <w:vAlign w:val="center"/>
          </w:tcPr>
          <w:p w14:paraId="0C8F6E20">
            <w:pPr>
              <w:spacing w:after="0"/>
            </w:pPr>
            <w:r>
              <w:rPr>
                <w:rFonts w:ascii="Aptos" w:hAnsi="Aptos"/>
                <w:b w:val="0"/>
                <w:color w:val="18212B"/>
                <w:sz w:val="16"/>
              </w:rPr>
              <w:t>Statuses</w:t>
            </w:r>
          </w:p>
        </w:tc>
        <w:tc>
          <w:tcPr>
            <w:tcW w:w="8424" w:type="dxa"/>
            <w:tcBorders>
              <w:bottom w:val="single" w:color="D5DEE5" w:sz="4" w:space="0"/>
            </w:tcBorders>
            <w:shd w:val="clear" w:color="auto" w:fill="F6F9FB"/>
            <w:tcMar>
              <w:top w:w="80" w:type="dxa"/>
              <w:left w:w="100" w:type="dxa"/>
              <w:bottom w:w="80" w:type="dxa"/>
              <w:right w:w="100" w:type="dxa"/>
            </w:tcMar>
            <w:vAlign w:val="center"/>
          </w:tcPr>
          <w:p w14:paraId="04A63A9F">
            <w:pPr>
              <w:spacing w:after="0"/>
            </w:pPr>
            <w:r>
              <w:rPr>
                <w:rFonts w:ascii="Aptos" w:hAnsi="Aptos"/>
                <w:b w:val="0"/>
                <w:color w:val="18212B"/>
                <w:sz w:val="16"/>
              </w:rPr>
              <w:t>Empty, Booked, Lane, Service, and Loaded. Status can be updated from the Unassigned view.</w:t>
            </w:r>
          </w:p>
        </w:tc>
      </w:tr>
      <w:tr w14:paraId="0247AF91">
        <w:trPr>
          <w:cantSplit/>
          <w:jc w:val="center"/>
        </w:trPr>
        <w:tc>
          <w:tcPr>
            <w:tcW w:w="2088" w:type="dxa"/>
            <w:tcBorders>
              <w:bottom w:val="single" w:color="D5DEE5" w:sz="4" w:space="0"/>
            </w:tcBorders>
            <w:shd w:val="clear" w:color="auto" w:fill="FFFFFF"/>
            <w:tcMar>
              <w:top w:w="80" w:type="dxa"/>
              <w:left w:w="100" w:type="dxa"/>
              <w:bottom w:w="80" w:type="dxa"/>
              <w:right w:w="100" w:type="dxa"/>
            </w:tcMar>
            <w:vAlign w:val="center"/>
          </w:tcPr>
          <w:p w14:paraId="6826E208">
            <w:pPr>
              <w:spacing w:after="0"/>
            </w:pPr>
            <w:r>
              <w:rPr>
                <w:rFonts w:ascii="Aptos" w:hAnsi="Aptos"/>
                <w:b w:val="0"/>
                <w:color w:val="18212B"/>
                <w:sz w:val="16"/>
              </w:rPr>
              <w:t>Profile</w:t>
            </w:r>
          </w:p>
        </w:tc>
        <w:tc>
          <w:tcPr>
            <w:tcW w:w="8424" w:type="dxa"/>
            <w:tcBorders>
              <w:bottom w:val="single" w:color="D5DEE5" w:sz="4" w:space="0"/>
            </w:tcBorders>
            <w:shd w:val="clear" w:color="auto" w:fill="FFFFFF"/>
            <w:tcMar>
              <w:top w:w="80" w:type="dxa"/>
              <w:left w:w="100" w:type="dxa"/>
              <w:bottom w:w="80" w:type="dxa"/>
              <w:right w:w="100" w:type="dxa"/>
            </w:tcMar>
            <w:vAlign w:val="center"/>
          </w:tcPr>
          <w:p w14:paraId="061EF44B">
            <w:pPr>
              <w:spacing w:after="0"/>
            </w:pPr>
            <w:r>
              <w:rPr>
                <w:rFonts w:ascii="Aptos" w:hAnsi="Aptos"/>
                <w:b w:val="0"/>
                <w:color w:val="18212B"/>
                <w:sz w:val="16"/>
              </w:rPr>
              <w:t>Usage/location history, service history, expenses, documents, dormant days, and service/expense cost breakdown.</w:t>
            </w:r>
          </w:p>
        </w:tc>
      </w:tr>
    </w:tbl>
    <w:p w14:paraId="5359D9A9">
      <w:pPr>
        <w:spacing w:after="0"/>
      </w:pPr>
    </w:p>
    <w:p w14:paraId="5C7A94C1">
      <w:pPr>
        <w:pStyle w:val="3"/>
      </w:pPr>
      <w:r>
        <w:t>4.5 Services</w:t>
      </w:r>
    </w:p>
    <w:p w14:paraId="70F9DC73">
      <w:pPr>
        <w:pStyle w:val="23"/>
        <w:spacing w:after="20"/>
      </w:pPr>
      <w:r>
        <w:rPr>
          <w:sz w:val="18"/>
        </w:rPr>
        <w:t>Separate Truck and Trailer service views, plus All, In Progress, Completed, and History.</w:t>
      </w:r>
    </w:p>
    <w:p w14:paraId="2EEEC706">
      <w:pPr>
        <w:pStyle w:val="23"/>
        <w:spacing w:after="20"/>
      </w:pPr>
      <w:r>
        <w:rPr>
          <w:sz w:val="18"/>
        </w:rPr>
        <w:t>Fields: unit, asset type, service date/type/status, shop, mechanic, cost, odometer for trucks, arrival/resolution timestamps, description, and attachments.</w:t>
      </w:r>
    </w:p>
    <w:p w14:paraId="3505BD56">
      <w:pPr>
        <w:pStyle w:val="23"/>
        <w:spacing w:after="20"/>
      </w:pPr>
      <w:r>
        <w:rPr>
          <w:sz w:val="18"/>
        </w:rPr>
        <w:t>Cost is optional only for approved rental/lessor-paid service; otherwise mandatory.</w:t>
      </w:r>
    </w:p>
    <w:p w14:paraId="43D7BAF4">
      <w:pPr>
        <w:pStyle w:val="23"/>
        <w:spacing w:after="20"/>
      </w:pPr>
      <w:r>
        <w:rPr>
          <w:sz w:val="18"/>
        </w:rPr>
        <w:t>Search/filter by unit, asset type, service type, status, vendor, and date; calculate totals by unit, month, type, and vendor.</w:t>
      </w:r>
    </w:p>
    <w:p w14:paraId="4F7D94AC">
      <w:pPr>
        <w:pStyle w:val="3"/>
      </w:pPr>
      <w:r>
        <w:t>4.6 Fleet Expenses</w:t>
      </w:r>
    </w:p>
    <w:p w14:paraId="0BA388D0">
      <w:pPr>
        <w:pStyle w:val="23"/>
        <w:spacing w:after="20"/>
      </w:pPr>
      <w:r>
        <w:rPr>
          <w:sz w:val="18"/>
        </w:rPr>
        <w:t>Categories: maintenance, repair, parts, service, parking, wash, equipment, registration, permits, and other.</w:t>
      </w:r>
    </w:p>
    <w:p w14:paraId="2D8A154E">
      <w:pPr>
        <w:pStyle w:val="23"/>
        <w:spacing w:after="20"/>
      </w:pPr>
      <w:r>
        <w:rPr>
          <w:sz w:val="18"/>
        </w:rPr>
        <w:t>Fuel, tolls, and insurance are outside the Fleet expense view for this release.</w:t>
      </w:r>
    </w:p>
    <w:p w14:paraId="098CEB2A">
      <w:pPr>
        <w:pStyle w:val="23"/>
        <w:spacing w:after="20"/>
      </w:pPr>
      <w:r>
        <w:rPr>
          <w:sz w:val="18"/>
        </w:rPr>
        <w:t>Track unit/general fleet, date, category, vendor, amount, payment status/method, description, and attachment.</w:t>
      </w:r>
    </w:p>
    <w:p w14:paraId="265E7385">
      <w:pPr>
        <w:pStyle w:val="23"/>
        <w:spacing w:after="20"/>
      </w:pPr>
      <w:r>
        <w:rPr>
          <w:sz w:val="18"/>
        </w:rPr>
        <w:t>Analytics by date range, unit, category, and paid/pending status; include unit-level expense history and totals.</w:t>
      </w:r>
    </w:p>
    <w:p w14:paraId="5DB35EF5">
      <w:pPr>
        <w:pStyle w:val="3"/>
      </w:pPr>
      <w:r>
        <w:t>4.7 Fleet Documents</w:t>
      </w:r>
    </w:p>
    <w:p w14:paraId="0DD62C50">
      <w:pPr>
        <w:pStyle w:val="23"/>
        <w:spacing w:after="20"/>
      </w:pPr>
      <w:r>
        <w:rPr>
          <w:sz w:val="18"/>
        </w:rPr>
        <w:t>Only Registration, Annual Inspection, and Rental Agreement are required.</w:t>
      </w:r>
    </w:p>
    <w:p w14:paraId="6B27C5D3">
      <w:pPr>
        <w:pStyle w:val="23"/>
        <w:spacing w:after="20"/>
      </w:pPr>
      <w:r>
        <w:rPr>
          <w:sz w:val="18"/>
        </w:rPr>
        <w:t>Upload by asset type, unit number, document type, issue/expiration date, and file.</w:t>
      </w:r>
    </w:p>
    <w:p w14:paraId="6BF9A9FE">
      <w:pPr>
        <w:pStyle w:val="23"/>
        <w:spacing w:after="20"/>
      </w:pPr>
      <w:r>
        <w:rPr>
          <w:sz w:val="18"/>
        </w:rPr>
        <w:t>Search by unit number and download quickly; documents also appear inside Truck/Trailer profiles.</w:t>
      </w:r>
    </w:p>
    <w:p w14:paraId="64745DD6">
      <w:pPr>
        <w:pStyle w:val="23"/>
        <w:spacing w:after="20"/>
      </w:pPr>
      <w:r>
        <w:rPr>
          <w:sz w:val="18"/>
        </w:rPr>
        <w:t>Registration and annual inspection create Expiring Soon and Expired alerts. Rental agreement expiration is optional.</w:t>
      </w:r>
    </w:p>
    <w:p w14:paraId="2A74DA24">
      <w:pPr>
        <w:pStyle w:val="3"/>
      </w:pPr>
      <w:r>
        <w:t>4.8 Fleet Notifications</w:t>
      </w:r>
    </w:p>
    <w:p w14:paraId="6DE8613C">
      <w:pPr>
        <w:pStyle w:val="23"/>
        <w:spacing w:after="20"/>
      </w:pPr>
      <w:r>
        <w:rPr>
          <w:sz w:val="18"/>
        </w:rPr>
        <w:t>Registration/annual inspection expiring or expired, truck in service too long, trailer dormant too long, in-progress service, and pending expense.</w:t>
      </w:r>
    </w:p>
    <w:p w14:paraId="73A98B76">
      <w:pPr>
        <w:pStyle w:val="23"/>
        <w:spacing w:after="20"/>
      </w:pPr>
      <w:r>
        <w:rPr>
          <w:sz w:val="18"/>
        </w:rPr>
        <w:t>Priority, due date, related unit, open/resolved/snoozed status, and direct link to related record.</w:t>
      </w:r>
    </w:p>
    <w:p w14:paraId="107B5D8E">
      <w:pPr>
        <w:pStyle w:val="2"/>
      </w:pPr>
      <w:r>
        <w:t>5. Safety Workspace</w:t>
      </w:r>
    </w:p>
    <w:p w14:paraId="54FC7264">
      <w:pPr>
        <w:pStyle w:val="164"/>
      </w:pPr>
      <w:r>
        <w:t>The Safety workspace centers on the Driver Profile and links compliance records, insurance, accidents, cargo claims, inspections, documents, and alerts to the same driver and unit master data used by Fleet.</w:t>
      </w:r>
    </w:p>
    <w:p w14:paraId="7FFAACE1">
      <w:pPr>
        <w:pStyle w:val="3"/>
      </w:pPr>
      <w:r>
        <w:t>5.1 Safety Dashboard</w:t>
      </w:r>
    </w:p>
    <w:p w14:paraId="2AE8A3DC">
      <w:pPr>
        <w:pStyle w:val="23"/>
        <w:spacing w:after="20"/>
      </w:pPr>
      <w:r>
        <w:rPr>
          <w:sz w:val="18"/>
        </w:rPr>
        <w:t>KPIs: active/terminated drivers, CDL and medical cards expiring, open accidents, open cargo claims, pending post-accident tests, inspections this month, OCC/ACC rejected drivers, and missing/expired documents.</w:t>
      </w:r>
    </w:p>
    <w:p w14:paraId="7A30CFDD">
      <w:pPr>
        <w:pStyle w:val="23"/>
        <w:spacing w:after="20"/>
      </w:pPr>
      <w:r>
        <w:rPr>
          <w:sz w:val="18"/>
        </w:rPr>
        <w:t>Panels: critical alerts, driver compliance, open incidents, insurance watch, inspections, documents, and recent activity.</w:t>
      </w:r>
    </w:p>
    <w:p w14:paraId="493CFCF8">
      <w:pPr>
        <w:pStyle w:val="3"/>
      </w:pPr>
      <w:r>
        <w:t>5.2 Driver Compliance and Driver Profile</w:t>
      </w:r>
    </w:p>
    <w:tbl>
      <w:tblPr>
        <w:tblStyle w:val="12"/>
        <w:tblW w:w="0" w:type="auto"/>
        <w:jc w:val="center"/>
        <w:tblLayout w:type="fixed"/>
        <w:tblCellMar>
          <w:top w:w="0" w:type="dxa"/>
          <w:left w:w="108" w:type="dxa"/>
          <w:bottom w:w="0" w:type="dxa"/>
          <w:right w:w="108" w:type="dxa"/>
        </w:tblCellMar>
      </w:tblPr>
      <w:tblGrid>
        <w:gridCol w:w="5141"/>
        <w:gridCol w:w="5141"/>
      </w:tblGrid>
      <w:tr w14:paraId="1C7FF71A">
        <w:trPr>
          <w:cantSplit/>
          <w:tblHeader/>
          <w:jc w:val="center"/>
        </w:trPr>
        <w:tc>
          <w:tcPr>
            <w:tcW w:w="2088" w:type="dxa"/>
            <w:tcBorders>
              <w:bottom w:val="single" w:color="16324F" w:sz="8" w:space="0"/>
            </w:tcBorders>
            <w:shd w:val="clear" w:color="auto" w:fill="16324F"/>
            <w:tcMar>
              <w:top w:w="80" w:type="dxa"/>
              <w:left w:w="100" w:type="dxa"/>
              <w:bottom w:w="80" w:type="dxa"/>
              <w:right w:w="100" w:type="dxa"/>
            </w:tcMar>
            <w:vAlign w:val="center"/>
          </w:tcPr>
          <w:p w14:paraId="1BA7F4C8">
            <w:pPr>
              <w:spacing w:after="0"/>
            </w:pPr>
            <w:r>
              <w:rPr>
                <w:rFonts w:ascii="Aptos" w:hAnsi="Aptos"/>
                <w:b/>
                <w:color w:val="FFFFFF"/>
                <w:sz w:val="17"/>
              </w:rPr>
              <w:t>Area</w:t>
            </w:r>
          </w:p>
        </w:tc>
        <w:tc>
          <w:tcPr>
            <w:tcW w:w="8424" w:type="dxa"/>
            <w:tcBorders>
              <w:bottom w:val="single" w:color="16324F" w:sz="8" w:space="0"/>
            </w:tcBorders>
            <w:shd w:val="clear" w:color="auto" w:fill="16324F"/>
            <w:tcMar>
              <w:top w:w="80" w:type="dxa"/>
              <w:left w:w="100" w:type="dxa"/>
              <w:bottom w:w="80" w:type="dxa"/>
              <w:right w:w="100" w:type="dxa"/>
            </w:tcMar>
            <w:vAlign w:val="center"/>
          </w:tcPr>
          <w:p w14:paraId="7ADAE4A0">
            <w:pPr>
              <w:spacing w:after="0"/>
            </w:pPr>
            <w:r>
              <w:rPr>
                <w:rFonts w:ascii="Aptos" w:hAnsi="Aptos"/>
                <w:b/>
                <w:color w:val="FFFFFF"/>
                <w:sz w:val="17"/>
              </w:rPr>
              <w:t>Required behavior</w:t>
            </w:r>
          </w:p>
        </w:tc>
      </w:tr>
      <w:tr w14:paraId="4278C911">
        <w:trPr>
          <w:cantSplit/>
          <w:jc w:val="center"/>
        </w:trPr>
        <w:tc>
          <w:tcPr>
            <w:tcW w:w="2088" w:type="dxa"/>
            <w:tcBorders>
              <w:bottom w:val="single" w:color="D5DEE5" w:sz="4" w:space="0"/>
            </w:tcBorders>
            <w:shd w:val="clear" w:color="auto" w:fill="FFFFFF"/>
            <w:tcMar>
              <w:top w:w="80" w:type="dxa"/>
              <w:left w:w="100" w:type="dxa"/>
              <w:bottom w:w="80" w:type="dxa"/>
              <w:right w:w="100" w:type="dxa"/>
            </w:tcMar>
            <w:vAlign w:val="center"/>
          </w:tcPr>
          <w:p w14:paraId="735D86F3">
            <w:pPr>
              <w:spacing w:after="0"/>
            </w:pPr>
            <w:r>
              <w:rPr>
                <w:rFonts w:ascii="Aptos" w:hAnsi="Aptos"/>
                <w:b w:val="0"/>
                <w:color w:val="18212B"/>
                <w:sz w:val="16"/>
              </w:rPr>
              <w:t>Driver list</w:t>
            </w:r>
          </w:p>
        </w:tc>
        <w:tc>
          <w:tcPr>
            <w:tcW w:w="8424" w:type="dxa"/>
            <w:tcBorders>
              <w:bottom w:val="single" w:color="D5DEE5" w:sz="4" w:space="0"/>
            </w:tcBorders>
            <w:shd w:val="clear" w:color="auto" w:fill="FFFFFF"/>
            <w:tcMar>
              <w:top w:w="80" w:type="dxa"/>
              <w:left w:w="100" w:type="dxa"/>
              <w:bottom w:w="80" w:type="dxa"/>
              <w:right w:w="100" w:type="dxa"/>
            </w:tcMar>
            <w:vAlign w:val="center"/>
          </w:tcPr>
          <w:p w14:paraId="55C27928">
            <w:pPr>
              <w:spacing w:after="0"/>
            </w:pPr>
            <w:r>
              <w:rPr>
                <w:rFonts w:ascii="Aptos" w:hAnsi="Aptos"/>
                <w:b w:val="0"/>
                <w:color w:val="18212B"/>
                <w:sz w:val="16"/>
              </w:rPr>
              <w:t>Name, status, DOB, CDL number/state/issue/expiration, medical card expiration, hire and termination dates. Active drivers sort first; terminated drivers move to bottom.</w:t>
            </w:r>
          </w:p>
        </w:tc>
      </w:tr>
      <w:tr w14:paraId="55765E5D">
        <w:trPr>
          <w:cantSplit/>
          <w:jc w:val="center"/>
        </w:trPr>
        <w:tc>
          <w:tcPr>
            <w:tcW w:w="2088" w:type="dxa"/>
            <w:tcBorders>
              <w:bottom w:val="single" w:color="D5DEE5" w:sz="4" w:space="0"/>
            </w:tcBorders>
            <w:shd w:val="clear" w:color="auto" w:fill="F6F9FB"/>
            <w:tcMar>
              <w:top w:w="80" w:type="dxa"/>
              <w:left w:w="100" w:type="dxa"/>
              <w:bottom w:w="80" w:type="dxa"/>
              <w:right w:w="100" w:type="dxa"/>
            </w:tcMar>
            <w:vAlign w:val="center"/>
          </w:tcPr>
          <w:p w14:paraId="4B17BD23">
            <w:pPr>
              <w:spacing w:after="0"/>
            </w:pPr>
            <w:r>
              <w:rPr>
                <w:rFonts w:ascii="Aptos" w:hAnsi="Aptos"/>
                <w:b w:val="0"/>
                <w:color w:val="18212B"/>
                <w:sz w:val="16"/>
              </w:rPr>
              <w:t>Alerts</w:t>
            </w:r>
          </w:p>
        </w:tc>
        <w:tc>
          <w:tcPr>
            <w:tcW w:w="8424" w:type="dxa"/>
            <w:tcBorders>
              <w:bottom w:val="single" w:color="D5DEE5" w:sz="4" w:space="0"/>
            </w:tcBorders>
            <w:shd w:val="clear" w:color="auto" w:fill="F6F9FB"/>
            <w:tcMar>
              <w:top w:w="80" w:type="dxa"/>
              <w:left w:w="100" w:type="dxa"/>
              <w:bottom w:w="80" w:type="dxa"/>
              <w:right w:w="100" w:type="dxa"/>
            </w:tcMar>
            <w:vAlign w:val="center"/>
          </w:tcPr>
          <w:p w14:paraId="20A34446">
            <w:pPr>
              <w:spacing w:after="0"/>
            </w:pPr>
            <w:r>
              <w:rPr>
                <w:rFonts w:ascii="Aptos" w:hAnsi="Aptos"/>
                <w:b w:val="0"/>
                <w:color w:val="18212B"/>
                <w:sz w:val="16"/>
              </w:rPr>
              <w:t>CDL or medical card within 30 days -&gt; warning; expired -&gt; critical alert.</w:t>
            </w:r>
          </w:p>
        </w:tc>
      </w:tr>
      <w:tr w14:paraId="1751EFD5">
        <w:trPr>
          <w:cantSplit/>
          <w:jc w:val="center"/>
        </w:trPr>
        <w:tc>
          <w:tcPr>
            <w:tcW w:w="2088" w:type="dxa"/>
            <w:tcBorders>
              <w:bottom w:val="single" w:color="D5DEE5" w:sz="4" w:space="0"/>
            </w:tcBorders>
            <w:shd w:val="clear" w:color="auto" w:fill="FFFFFF"/>
            <w:tcMar>
              <w:top w:w="80" w:type="dxa"/>
              <w:left w:w="100" w:type="dxa"/>
              <w:bottom w:w="80" w:type="dxa"/>
              <w:right w:w="100" w:type="dxa"/>
            </w:tcMar>
            <w:vAlign w:val="center"/>
          </w:tcPr>
          <w:p w14:paraId="361EF801">
            <w:pPr>
              <w:spacing w:after="0"/>
            </w:pPr>
            <w:r>
              <w:rPr>
                <w:rFonts w:ascii="Aptos" w:hAnsi="Aptos"/>
                <w:b w:val="0"/>
                <w:color w:val="18212B"/>
                <w:sz w:val="16"/>
              </w:rPr>
              <w:t>Driver profile</w:t>
            </w:r>
          </w:p>
        </w:tc>
        <w:tc>
          <w:tcPr>
            <w:tcW w:w="8424" w:type="dxa"/>
            <w:tcBorders>
              <w:bottom w:val="single" w:color="D5DEE5" w:sz="4" w:space="0"/>
            </w:tcBorders>
            <w:shd w:val="clear" w:color="auto" w:fill="FFFFFF"/>
            <w:tcMar>
              <w:top w:w="80" w:type="dxa"/>
              <w:left w:w="100" w:type="dxa"/>
              <w:bottom w:w="80" w:type="dxa"/>
              <w:right w:w="100" w:type="dxa"/>
            </w:tcMar>
            <w:vAlign w:val="center"/>
          </w:tcPr>
          <w:p w14:paraId="21EC1AD0">
            <w:pPr>
              <w:spacing w:after="0"/>
            </w:pPr>
            <w:r>
              <w:rPr>
                <w:rFonts w:ascii="Aptos" w:hAnsi="Aptos"/>
                <w:b w:val="0"/>
                <w:color w:val="18212B"/>
                <w:sz w:val="16"/>
              </w:rPr>
              <w:t>Overview, CDL, medical card, DQ files, OCC/ACC, accidents, cargo claims, inspections, documents, notes, timeline, and current unit from Fleet.</w:t>
            </w:r>
          </w:p>
        </w:tc>
      </w:tr>
      <w:tr w14:paraId="25925837">
        <w:trPr>
          <w:cantSplit/>
          <w:jc w:val="center"/>
        </w:trPr>
        <w:tc>
          <w:tcPr>
            <w:tcW w:w="2088" w:type="dxa"/>
            <w:tcBorders>
              <w:bottom w:val="single" w:color="D5DEE5" w:sz="4" w:space="0"/>
            </w:tcBorders>
            <w:shd w:val="clear" w:color="auto" w:fill="F6F9FB"/>
            <w:tcMar>
              <w:top w:w="80" w:type="dxa"/>
              <w:left w:w="100" w:type="dxa"/>
              <w:bottom w:w="80" w:type="dxa"/>
              <w:right w:w="100" w:type="dxa"/>
            </w:tcMar>
            <w:vAlign w:val="center"/>
          </w:tcPr>
          <w:p w14:paraId="7155AB35">
            <w:pPr>
              <w:spacing w:after="0"/>
            </w:pPr>
            <w:r>
              <w:rPr>
                <w:rFonts w:ascii="Aptos" w:hAnsi="Aptos"/>
                <w:b w:val="0"/>
                <w:color w:val="18212B"/>
                <w:sz w:val="16"/>
              </w:rPr>
              <w:t>Files</w:t>
            </w:r>
          </w:p>
        </w:tc>
        <w:tc>
          <w:tcPr>
            <w:tcW w:w="8424" w:type="dxa"/>
            <w:tcBorders>
              <w:bottom w:val="single" w:color="D5DEE5" w:sz="4" w:space="0"/>
            </w:tcBorders>
            <w:shd w:val="clear" w:color="auto" w:fill="F6F9FB"/>
            <w:tcMar>
              <w:top w:w="80" w:type="dxa"/>
              <w:left w:w="100" w:type="dxa"/>
              <w:bottom w:w="80" w:type="dxa"/>
              <w:right w:w="100" w:type="dxa"/>
            </w:tcMar>
            <w:vAlign w:val="center"/>
          </w:tcPr>
          <w:p w14:paraId="5947252E">
            <w:pPr>
              <w:spacing w:after="0"/>
            </w:pPr>
            <w:r>
              <w:rPr>
                <w:rFonts w:ascii="Aptos" w:hAnsi="Aptos"/>
                <w:b w:val="0"/>
                <w:color w:val="18212B"/>
                <w:sz w:val="16"/>
              </w:rPr>
              <w:t>Click/view/download CDL, medical card, DQ, and related Safety documents.</w:t>
            </w:r>
          </w:p>
        </w:tc>
      </w:tr>
    </w:tbl>
    <w:p w14:paraId="7D15C882">
      <w:pPr>
        <w:spacing w:after="0"/>
      </w:pPr>
    </w:p>
    <w:p w14:paraId="0CD35E3B">
      <w:pPr>
        <w:pStyle w:val="3"/>
      </w:pPr>
      <w:r>
        <w:t>5.3 Insurance</w:t>
      </w:r>
    </w:p>
    <w:tbl>
      <w:tblPr>
        <w:tblStyle w:val="12"/>
        <w:tblW w:w="0" w:type="auto"/>
        <w:jc w:val="center"/>
        <w:tblLayout w:type="fixed"/>
        <w:tblCellMar>
          <w:top w:w="0" w:type="dxa"/>
          <w:left w:w="108" w:type="dxa"/>
          <w:bottom w:w="0" w:type="dxa"/>
          <w:right w:w="108" w:type="dxa"/>
        </w:tblCellMar>
      </w:tblPr>
      <w:tblGrid>
        <w:gridCol w:w="5141"/>
        <w:gridCol w:w="5141"/>
      </w:tblGrid>
      <w:tr w14:paraId="3DC826BD">
        <w:trPr>
          <w:cantSplit/>
          <w:tblHeader/>
          <w:jc w:val="center"/>
        </w:trPr>
        <w:tc>
          <w:tcPr>
            <w:tcW w:w="2088" w:type="dxa"/>
            <w:tcBorders>
              <w:bottom w:val="single" w:color="16324F" w:sz="8" w:space="0"/>
            </w:tcBorders>
            <w:shd w:val="clear" w:color="auto" w:fill="16324F"/>
            <w:tcMar>
              <w:top w:w="80" w:type="dxa"/>
              <w:left w:w="100" w:type="dxa"/>
              <w:bottom w:w="80" w:type="dxa"/>
              <w:right w:w="100" w:type="dxa"/>
            </w:tcMar>
            <w:vAlign w:val="center"/>
          </w:tcPr>
          <w:p w14:paraId="226A7E48">
            <w:pPr>
              <w:spacing w:after="0"/>
            </w:pPr>
            <w:r>
              <w:rPr>
                <w:rFonts w:ascii="Aptos" w:hAnsi="Aptos"/>
                <w:b/>
                <w:color w:val="FFFFFF"/>
                <w:sz w:val="17"/>
              </w:rPr>
              <w:t>Module</w:t>
            </w:r>
          </w:p>
        </w:tc>
        <w:tc>
          <w:tcPr>
            <w:tcW w:w="8424" w:type="dxa"/>
            <w:tcBorders>
              <w:bottom w:val="single" w:color="16324F" w:sz="8" w:space="0"/>
            </w:tcBorders>
            <w:shd w:val="clear" w:color="auto" w:fill="16324F"/>
            <w:tcMar>
              <w:top w:w="80" w:type="dxa"/>
              <w:left w:w="100" w:type="dxa"/>
              <w:bottom w:w="80" w:type="dxa"/>
              <w:right w:w="100" w:type="dxa"/>
            </w:tcMar>
            <w:vAlign w:val="center"/>
          </w:tcPr>
          <w:p w14:paraId="028509C9">
            <w:pPr>
              <w:spacing w:after="0"/>
            </w:pPr>
            <w:r>
              <w:rPr>
                <w:rFonts w:ascii="Aptos" w:hAnsi="Aptos"/>
                <w:b/>
                <w:color w:val="FFFFFF"/>
                <w:sz w:val="17"/>
              </w:rPr>
              <w:t>Fields and rules</w:t>
            </w:r>
          </w:p>
        </w:tc>
      </w:tr>
      <w:tr w14:paraId="3329101F">
        <w:trPr>
          <w:cantSplit/>
          <w:jc w:val="center"/>
        </w:trPr>
        <w:tc>
          <w:tcPr>
            <w:tcW w:w="2088" w:type="dxa"/>
            <w:tcBorders>
              <w:bottom w:val="single" w:color="D5DEE5" w:sz="4" w:space="0"/>
            </w:tcBorders>
            <w:shd w:val="clear" w:color="auto" w:fill="FFFFFF"/>
            <w:tcMar>
              <w:top w:w="80" w:type="dxa"/>
              <w:left w:w="100" w:type="dxa"/>
              <w:bottom w:w="80" w:type="dxa"/>
              <w:right w:w="100" w:type="dxa"/>
            </w:tcMar>
            <w:vAlign w:val="center"/>
          </w:tcPr>
          <w:p w14:paraId="66B48E4B">
            <w:pPr>
              <w:spacing w:after="0"/>
            </w:pPr>
            <w:r>
              <w:rPr>
                <w:rFonts w:ascii="Aptos" w:hAnsi="Aptos"/>
                <w:b w:val="0"/>
                <w:color w:val="18212B"/>
                <w:sz w:val="16"/>
              </w:rPr>
              <w:t>OCC/ACC</w:t>
            </w:r>
          </w:p>
        </w:tc>
        <w:tc>
          <w:tcPr>
            <w:tcW w:w="8424" w:type="dxa"/>
            <w:tcBorders>
              <w:bottom w:val="single" w:color="D5DEE5" w:sz="4" w:space="0"/>
            </w:tcBorders>
            <w:shd w:val="clear" w:color="auto" w:fill="FFFFFF"/>
            <w:tcMar>
              <w:top w:w="80" w:type="dxa"/>
              <w:left w:w="100" w:type="dxa"/>
              <w:bottom w:w="80" w:type="dxa"/>
              <w:right w:w="100" w:type="dxa"/>
            </w:tcMar>
            <w:vAlign w:val="center"/>
          </w:tcPr>
          <w:p w14:paraId="3AFC459B">
            <w:pPr>
              <w:spacing w:after="0"/>
            </w:pPr>
            <w:r>
              <w:rPr>
                <w:rFonts w:ascii="Aptos" w:hAnsi="Aptos"/>
                <w:b w:val="0"/>
                <w:color w:val="18212B"/>
                <w:sz w:val="16"/>
              </w:rPr>
              <w:t>Driver, DOB, CDL, hire/removal date, status Active/Removed/Rejected, rejection indicator, notes. Active first; removed at bottom; rejected clearly flagged and counted.</w:t>
            </w:r>
          </w:p>
        </w:tc>
      </w:tr>
      <w:tr w14:paraId="3E1F292F">
        <w:trPr>
          <w:cantSplit/>
          <w:jc w:val="center"/>
        </w:trPr>
        <w:tc>
          <w:tcPr>
            <w:tcW w:w="2088" w:type="dxa"/>
            <w:tcBorders>
              <w:bottom w:val="single" w:color="D5DEE5" w:sz="4" w:space="0"/>
            </w:tcBorders>
            <w:shd w:val="clear" w:color="auto" w:fill="F6F9FB"/>
            <w:tcMar>
              <w:top w:w="80" w:type="dxa"/>
              <w:left w:w="100" w:type="dxa"/>
              <w:bottom w:w="80" w:type="dxa"/>
              <w:right w:w="100" w:type="dxa"/>
            </w:tcMar>
            <w:vAlign w:val="center"/>
          </w:tcPr>
          <w:p w14:paraId="35E873DC">
            <w:pPr>
              <w:spacing w:after="0"/>
            </w:pPr>
            <w:r>
              <w:rPr>
                <w:rFonts w:ascii="Aptos" w:hAnsi="Aptos"/>
                <w:b w:val="0"/>
                <w:color w:val="18212B"/>
                <w:sz w:val="16"/>
              </w:rPr>
              <w:t>PD/Bobtail</w:t>
            </w:r>
          </w:p>
        </w:tc>
        <w:tc>
          <w:tcPr>
            <w:tcW w:w="8424" w:type="dxa"/>
            <w:tcBorders>
              <w:bottom w:val="single" w:color="D5DEE5" w:sz="4" w:space="0"/>
            </w:tcBorders>
            <w:shd w:val="clear" w:color="auto" w:fill="F6F9FB"/>
            <w:tcMar>
              <w:top w:w="80" w:type="dxa"/>
              <w:left w:w="100" w:type="dxa"/>
              <w:bottom w:w="80" w:type="dxa"/>
              <w:right w:w="100" w:type="dxa"/>
            </w:tcMar>
            <w:vAlign w:val="center"/>
          </w:tcPr>
          <w:p w14:paraId="6626F2D9">
            <w:pPr>
              <w:spacing w:after="0"/>
            </w:pPr>
            <w:r>
              <w:rPr>
                <w:rFonts w:ascii="Aptos" w:hAnsi="Aptos"/>
                <w:b w:val="0"/>
                <w:color w:val="18212B"/>
                <w:sz w:val="16"/>
              </w:rPr>
              <w:t>Owner, unit, year/make, VIN, plate, COI file, expiration, status Active/Expired/Missing, notes. Connect to Fleet truck and alert on expired/missing COI.</w:t>
            </w:r>
          </w:p>
        </w:tc>
      </w:tr>
    </w:tbl>
    <w:p w14:paraId="025672DC">
      <w:pPr>
        <w:spacing w:after="0"/>
      </w:pPr>
    </w:p>
    <w:p w14:paraId="31569F43">
      <w:pPr>
        <w:pStyle w:val="3"/>
      </w:pPr>
      <w:r>
        <w:t>5.4 Accidents</w:t>
      </w:r>
    </w:p>
    <w:p w14:paraId="5656C3B7">
      <w:pPr>
        <w:pStyle w:val="23"/>
        <w:spacing w:after="20"/>
      </w:pPr>
      <w:r>
        <w:rPr>
          <w:sz w:val="18"/>
        </w:rPr>
        <w:t>Fields: fault, date, driver, unit/year/make, location, post-accident test completed, claim number, adjuster, status Pending/Closed, notes, and files.</w:t>
      </w:r>
    </w:p>
    <w:p w14:paraId="615168D4">
      <w:pPr>
        <w:pStyle w:val="23"/>
        <w:spacing w:after="20"/>
      </w:pPr>
      <w:r>
        <w:rPr>
          <w:sz w:val="18"/>
        </w:rPr>
        <w:t>Pending accidents sort first; closed accidents sort last. Incomplete post-accident test creates critical alert.</w:t>
      </w:r>
    </w:p>
    <w:p w14:paraId="2A7E8752">
      <w:pPr>
        <w:pStyle w:val="23"/>
        <w:spacing w:after="20"/>
      </w:pPr>
      <w:r>
        <w:rPr>
          <w:sz w:val="18"/>
        </w:rPr>
        <w:t>Accident detail includes files, timeline, status changes, linked Driver Profile, and linked Truck Profile.</w:t>
      </w:r>
    </w:p>
    <w:p w14:paraId="6139DE16">
      <w:pPr>
        <w:pStyle w:val="3"/>
      </w:pPr>
      <w:r>
        <w:t>5.5 Cargo Claims</w:t>
      </w:r>
    </w:p>
    <w:p w14:paraId="17AC27B7">
      <w:pPr>
        <w:pStyle w:val="23"/>
        <w:spacing w:after="20"/>
      </w:pPr>
      <w:r>
        <w:rPr>
          <w:sz w:val="18"/>
        </w:rPr>
        <w:t>Fields: loss date, driver, unit, load, broker, loss location, claim number, adjuster, status Pending/Closed, notes, and files.</w:t>
      </w:r>
    </w:p>
    <w:p w14:paraId="7317CAF2">
      <w:pPr>
        <w:pStyle w:val="23"/>
        <w:spacing w:after="20"/>
      </w:pPr>
      <w:r>
        <w:rPr>
          <w:sz w:val="18"/>
        </w:rPr>
        <w:t>Pending claims sort first; closed claims sort last. Claim detail links to driver and unit profiles.</w:t>
      </w:r>
    </w:p>
    <w:p w14:paraId="4F2E71A9">
      <w:pPr>
        <w:pStyle w:val="3"/>
      </w:pPr>
      <w:r>
        <w:t>5.6 Inspections</w:t>
      </w:r>
    </w:p>
    <w:p w14:paraId="6134AEBB">
      <w:pPr>
        <w:pStyle w:val="23"/>
        <w:spacing w:after="20"/>
      </w:pPr>
      <w:r>
        <w:rPr>
          <w:sz w:val="18"/>
        </w:rPr>
        <w:t>Fields: inspection date, driver, unit, state, level, notes/violations, bonus or charge, report file, and status Clean/Violation/Pending Review/Closed.</w:t>
      </w:r>
    </w:p>
    <w:p w14:paraId="11986AD1">
      <w:pPr>
        <w:pStyle w:val="23"/>
        <w:spacing w:after="20"/>
      </w:pPr>
      <w:r>
        <w:rPr>
          <w:sz w:val="18"/>
        </w:rPr>
        <w:t>Inspection detail links to Driver and Truck profiles. Report must be viewable/downloadable.</w:t>
      </w:r>
    </w:p>
    <w:p w14:paraId="730E1CFE">
      <w:pPr>
        <w:pStyle w:val="23"/>
        <w:spacing w:after="20"/>
      </w:pPr>
      <w:r>
        <w:rPr>
          <w:sz w:val="18"/>
        </w:rPr>
        <w:t>Dashboard and reports summarize inspections, violations, pending reviews, bonuses, and charges.</w:t>
      </w:r>
    </w:p>
    <w:p w14:paraId="62ABA9DB">
      <w:pPr>
        <w:pStyle w:val="3"/>
      </w:pPr>
      <w:r>
        <w:t>5.7 Safety Documents and Notifications</w:t>
      </w:r>
    </w:p>
    <w:p w14:paraId="00CA0322">
      <w:pPr>
        <w:pStyle w:val="23"/>
        <w:spacing w:after="20"/>
      </w:pPr>
      <w:r>
        <w:rPr>
          <w:sz w:val="18"/>
        </w:rPr>
        <w:t>Document categories: CDL, Medical Card, DQ File, OCC/ACC File, PD/Bobtail COI, Accident File, Cargo Claim File, and Inspection Report.</w:t>
      </w:r>
    </w:p>
    <w:p w14:paraId="37EA34AF">
      <w:pPr>
        <w:pStyle w:val="23"/>
        <w:spacing w:after="20"/>
      </w:pPr>
      <w:r>
        <w:rPr>
          <w:sz w:val="18"/>
        </w:rPr>
        <w:t>Search by driver, unit, CDL, claim number, inspection ID, or document name; show files within related profiles.</w:t>
      </w:r>
    </w:p>
    <w:p w14:paraId="787F5611">
      <w:pPr>
        <w:pStyle w:val="23"/>
        <w:spacing w:after="20"/>
      </w:pPr>
      <w:r>
        <w:rPr>
          <w:sz w:val="18"/>
        </w:rPr>
        <w:t>Notifications: expiring/expired CDL or medical card, rejected OCC/ACC, COI expiring/missing, pending post-accident test, open accident/claim, pending inspection review, and missing required document.</w:t>
      </w:r>
    </w:p>
    <w:p w14:paraId="16055520">
      <w:pPr>
        <w:pStyle w:val="2"/>
      </w:pPr>
      <w:r>
        <w:t>6. Production and Technical Requirements</w:t>
      </w:r>
    </w:p>
    <w:tbl>
      <w:tblPr>
        <w:tblStyle w:val="12"/>
        <w:tblW w:w="0" w:type="auto"/>
        <w:jc w:val="center"/>
        <w:tblLayout w:type="fixed"/>
        <w:tblCellMar>
          <w:top w:w="0" w:type="dxa"/>
          <w:left w:w="108" w:type="dxa"/>
          <w:bottom w:w="0" w:type="dxa"/>
          <w:right w:w="108" w:type="dxa"/>
        </w:tblCellMar>
      </w:tblPr>
      <w:tblGrid>
        <w:gridCol w:w="5141"/>
        <w:gridCol w:w="5141"/>
      </w:tblGrid>
      <w:tr w14:paraId="0458F364">
        <w:trPr>
          <w:cantSplit/>
          <w:tblHeader/>
          <w:jc w:val="center"/>
        </w:trPr>
        <w:tc>
          <w:tcPr>
            <w:tcW w:w="2232" w:type="dxa"/>
            <w:tcBorders>
              <w:bottom w:val="single" w:color="16324F" w:sz="8" w:space="0"/>
            </w:tcBorders>
            <w:shd w:val="clear" w:color="auto" w:fill="16324F"/>
            <w:tcMar>
              <w:top w:w="80" w:type="dxa"/>
              <w:left w:w="100" w:type="dxa"/>
              <w:bottom w:w="80" w:type="dxa"/>
              <w:right w:w="100" w:type="dxa"/>
            </w:tcMar>
            <w:vAlign w:val="center"/>
          </w:tcPr>
          <w:p w14:paraId="351DE304">
            <w:pPr>
              <w:spacing w:after="0"/>
            </w:pPr>
            <w:r>
              <w:rPr>
                <w:rFonts w:ascii="Aptos" w:hAnsi="Aptos"/>
                <w:b/>
                <w:color w:val="FFFFFF"/>
                <w:sz w:val="17"/>
              </w:rPr>
              <w:t>Category</w:t>
            </w:r>
          </w:p>
        </w:tc>
        <w:tc>
          <w:tcPr>
            <w:tcW w:w="8280" w:type="dxa"/>
            <w:tcBorders>
              <w:bottom w:val="single" w:color="16324F" w:sz="8" w:space="0"/>
            </w:tcBorders>
            <w:shd w:val="clear" w:color="auto" w:fill="16324F"/>
            <w:tcMar>
              <w:top w:w="80" w:type="dxa"/>
              <w:left w:w="100" w:type="dxa"/>
              <w:bottom w:w="80" w:type="dxa"/>
              <w:right w:w="100" w:type="dxa"/>
            </w:tcMar>
            <w:vAlign w:val="center"/>
          </w:tcPr>
          <w:p w14:paraId="6AAD169F">
            <w:pPr>
              <w:spacing w:after="0"/>
            </w:pPr>
            <w:r>
              <w:rPr>
                <w:rFonts w:ascii="Aptos" w:hAnsi="Aptos"/>
                <w:b/>
                <w:color w:val="FFFFFF"/>
                <w:sz w:val="17"/>
              </w:rPr>
              <w:t>Minimum requirement</w:t>
            </w:r>
          </w:p>
        </w:tc>
      </w:tr>
      <w:tr w14:paraId="780DD471">
        <w:trPr>
          <w:cantSplit/>
          <w:jc w:val="center"/>
        </w:trPr>
        <w:tc>
          <w:tcPr>
            <w:tcW w:w="2232" w:type="dxa"/>
            <w:tcBorders>
              <w:bottom w:val="single" w:color="D5DEE5" w:sz="4" w:space="0"/>
            </w:tcBorders>
            <w:shd w:val="clear" w:color="auto" w:fill="FFFFFF"/>
            <w:tcMar>
              <w:top w:w="80" w:type="dxa"/>
              <w:left w:w="100" w:type="dxa"/>
              <w:bottom w:w="80" w:type="dxa"/>
              <w:right w:w="100" w:type="dxa"/>
            </w:tcMar>
            <w:vAlign w:val="center"/>
          </w:tcPr>
          <w:p w14:paraId="4B497433">
            <w:pPr>
              <w:spacing w:after="0"/>
            </w:pPr>
            <w:r>
              <w:rPr>
                <w:rFonts w:ascii="Aptos" w:hAnsi="Aptos"/>
                <w:b w:val="0"/>
                <w:color w:val="18212B"/>
                <w:sz w:val="16"/>
              </w:rPr>
              <w:t>Architecture</w:t>
            </w:r>
          </w:p>
        </w:tc>
        <w:tc>
          <w:tcPr>
            <w:tcW w:w="8280" w:type="dxa"/>
            <w:tcBorders>
              <w:bottom w:val="single" w:color="D5DEE5" w:sz="4" w:space="0"/>
            </w:tcBorders>
            <w:shd w:val="clear" w:color="auto" w:fill="FFFFFF"/>
            <w:tcMar>
              <w:top w:w="80" w:type="dxa"/>
              <w:left w:w="100" w:type="dxa"/>
              <w:bottom w:w="80" w:type="dxa"/>
              <w:right w:w="100" w:type="dxa"/>
            </w:tcMar>
            <w:vAlign w:val="center"/>
          </w:tcPr>
          <w:p w14:paraId="547FA7B1">
            <w:pPr>
              <w:spacing w:after="0"/>
            </w:pPr>
            <w:r>
              <w:rPr>
                <w:rFonts w:ascii="Aptos" w:hAnsi="Aptos"/>
                <w:b w:val="0"/>
                <w:color w:val="18212B"/>
                <w:sz w:val="16"/>
              </w:rPr>
              <w:t>Maintainable modular web application. Existing Next.js prototype may be reused or rebuilt after code review; workflow behavior is authoritative.</w:t>
            </w:r>
          </w:p>
        </w:tc>
      </w:tr>
      <w:tr w14:paraId="28B3D076">
        <w:trPr>
          <w:cantSplit/>
          <w:jc w:val="center"/>
        </w:trPr>
        <w:tc>
          <w:tcPr>
            <w:tcW w:w="2232" w:type="dxa"/>
            <w:tcBorders>
              <w:bottom w:val="single" w:color="D5DEE5" w:sz="4" w:space="0"/>
            </w:tcBorders>
            <w:shd w:val="clear" w:color="auto" w:fill="F6F9FB"/>
            <w:tcMar>
              <w:top w:w="80" w:type="dxa"/>
              <w:left w:w="100" w:type="dxa"/>
              <w:bottom w:w="80" w:type="dxa"/>
              <w:right w:w="100" w:type="dxa"/>
            </w:tcMar>
            <w:vAlign w:val="center"/>
          </w:tcPr>
          <w:p w14:paraId="17FB0DA5">
            <w:pPr>
              <w:spacing w:after="0"/>
            </w:pPr>
            <w:r>
              <w:rPr>
                <w:rFonts w:ascii="Aptos" w:hAnsi="Aptos"/>
                <w:b w:val="0"/>
                <w:color w:val="18212B"/>
                <w:sz w:val="16"/>
              </w:rPr>
              <w:t>Backend &amp; database</w:t>
            </w:r>
          </w:p>
        </w:tc>
        <w:tc>
          <w:tcPr>
            <w:tcW w:w="8280" w:type="dxa"/>
            <w:tcBorders>
              <w:bottom w:val="single" w:color="D5DEE5" w:sz="4" w:space="0"/>
            </w:tcBorders>
            <w:shd w:val="clear" w:color="auto" w:fill="F6F9FB"/>
            <w:tcMar>
              <w:top w:w="80" w:type="dxa"/>
              <w:left w:w="100" w:type="dxa"/>
              <w:bottom w:w="80" w:type="dxa"/>
              <w:right w:w="100" w:type="dxa"/>
            </w:tcMar>
            <w:vAlign w:val="center"/>
          </w:tcPr>
          <w:p w14:paraId="3791047C">
            <w:pPr>
              <w:spacing w:after="0"/>
            </w:pPr>
            <w:r>
              <w:rPr>
                <w:rFonts w:ascii="Aptos" w:hAnsi="Aptos"/>
                <w:b w:val="0"/>
                <w:color w:val="18212B"/>
                <w:sz w:val="16"/>
              </w:rPr>
              <w:t>Persistent relational data model with proper foreign keys for users, drivers, assets, assignments, services, expenses, documents, incidents, inspections, notifications, and audit events.</w:t>
            </w:r>
          </w:p>
        </w:tc>
      </w:tr>
      <w:tr w14:paraId="0D775387">
        <w:trPr>
          <w:cantSplit/>
          <w:jc w:val="center"/>
        </w:trPr>
        <w:tc>
          <w:tcPr>
            <w:tcW w:w="2232" w:type="dxa"/>
            <w:tcBorders>
              <w:bottom w:val="single" w:color="D5DEE5" w:sz="4" w:space="0"/>
            </w:tcBorders>
            <w:shd w:val="clear" w:color="auto" w:fill="FFFFFF"/>
            <w:tcMar>
              <w:top w:w="80" w:type="dxa"/>
              <w:left w:w="100" w:type="dxa"/>
              <w:bottom w:w="80" w:type="dxa"/>
              <w:right w:w="100" w:type="dxa"/>
            </w:tcMar>
            <w:vAlign w:val="center"/>
          </w:tcPr>
          <w:p w14:paraId="763C7227">
            <w:pPr>
              <w:spacing w:after="0"/>
            </w:pPr>
            <w:r>
              <w:rPr>
                <w:rFonts w:ascii="Aptos" w:hAnsi="Aptos"/>
                <w:b w:val="0"/>
                <w:color w:val="18212B"/>
                <w:sz w:val="16"/>
              </w:rPr>
              <w:t>Authentication</w:t>
            </w:r>
          </w:p>
        </w:tc>
        <w:tc>
          <w:tcPr>
            <w:tcW w:w="8280" w:type="dxa"/>
            <w:tcBorders>
              <w:bottom w:val="single" w:color="D5DEE5" w:sz="4" w:space="0"/>
            </w:tcBorders>
            <w:shd w:val="clear" w:color="auto" w:fill="FFFFFF"/>
            <w:tcMar>
              <w:top w:w="80" w:type="dxa"/>
              <w:left w:w="100" w:type="dxa"/>
              <w:bottom w:w="80" w:type="dxa"/>
              <w:right w:w="100" w:type="dxa"/>
            </w:tcMar>
            <w:vAlign w:val="center"/>
          </w:tcPr>
          <w:p w14:paraId="4859A470">
            <w:pPr>
              <w:spacing w:after="0"/>
            </w:pPr>
            <w:r>
              <w:rPr>
                <w:rFonts w:ascii="Aptos" w:hAnsi="Aptos"/>
                <w:b w:val="0"/>
                <w:color w:val="18212B"/>
                <w:sz w:val="16"/>
              </w:rPr>
              <w:t>Secure login, password reset, session management, role/permission enforcement, inactive-user handling, and optional MFA readiness.</w:t>
            </w:r>
          </w:p>
        </w:tc>
      </w:tr>
      <w:tr w14:paraId="3FA7ED29">
        <w:trPr>
          <w:cantSplit/>
          <w:jc w:val="center"/>
        </w:trPr>
        <w:tc>
          <w:tcPr>
            <w:tcW w:w="2232" w:type="dxa"/>
            <w:tcBorders>
              <w:bottom w:val="single" w:color="D5DEE5" w:sz="4" w:space="0"/>
            </w:tcBorders>
            <w:shd w:val="clear" w:color="auto" w:fill="F6F9FB"/>
            <w:tcMar>
              <w:top w:w="80" w:type="dxa"/>
              <w:left w:w="100" w:type="dxa"/>
              <w:bottom w:w="80" w:type="dxa"/>
              <w:right w:w="100" w:type="dxa"/>
            </w:tcMar>
            <w:vAlign w:val="center"/>
          </w:tcPr>
          <w:p w14:paraId="1DE29F4B">
            <w:pPr>
              <w:spacing w:after="0"/>
            </w:pPr>
            <w:r>
              <w:rPr>
                <w:rFonts w:ascii="Aptos" w:hAnsi="Aptos"/>
                <w:b w:val="0"/>
                <w:color w:val="18212B"/>
                <w:sz w:val="16"/>
              </w:rPr>
              <w:t>Files</w:t>
            </w:r>
          </w:p>
        </w:tc>
        <w:tc>
          <w:tcPr>
            <w:tcW w:w="8280" w:type="dxa"/>
            <w:tcBorders>
              <w:bottom w:val="single" w:color="D5DEE5" w:sz="4" w:space="0"/>
            </w:tcBorders>
            <w:shd w:val="clear" w:color="auto" w:fill="F6F9FB"/>
            <w:tcMar>
              <w:top w:w="80" w:type="dxa"/>
              <w:left w:w="100" w:type="dxa"/>
              <w:bottom w:w="80" w:type="dxa"/>
              <w:right w:w="100" w:type="dxa"/>
            </w:tcMar>
            <w:vAlign w:val="center"/>
          </w:tcPr>
          <w:p w14:paraId="0E8630DA">
            <w:pPr>
              <w:spacing w:after="0"/>
            </w:pPr>
            <w:r>
              <w:rPr>
                <w:rFonts w:ascii="Aptos" w:hAnsi="Aptos"/>
                <w:b w:val="0"/>
                <w:color w:val="18212B"/>
                <w:sz w:val="16"/>
              </w:rPr>
              <w:t>Private object storage, signed access, validation of file type/size, metadata, version/replacement history, and backups.</w:t>
            </w:r>
          </w:p>
        </w:tc>
      </w:tr>
      <w:tr w14:paraId="5BC9FAF4">
        <w:trPr>
          <w:cantSplit/>
          <w:jc w:val="center"/>
        </w:trPr>
        <w:tc>
          <w:tcPr>
            <w:tcW w:w="2232" w:type="dxa"/>
            <w:tcBorders>
              <w:bottom w:val="single" w:color="D5DEE5" w:sz="4" w:space="0"/>
            </w:tcBorders>
            <w:shd w:val="clear" w:color="auto" w:fill="FFFFFF"/>
            <w:tcMar>
              <w:top w:w="80" w:type="dxa"/>
              <w:left w:w="100" w:type="dxa"/>
              <w:bottom w:w="80" w:type="dxa"/>
              <w:right w:w="100" w:type="dxa"/>
            </w:tcMar>
            <w:vAlign w:val="center"/>
          </w:tcPr>
          <w:p w14:paraId="2A407F25">
            <w:pPr>
              <w:spacing w:after="0"/>
            </w:pPr>
            <w:r>
              <w:rPr>
                <w:rFonts w:ascii="Aptos" w:hAnsi="Aptos"/>
                <w:b w:val="0"/>
                <w:color w:val="18212B"/>
                <w:sz w:val="16"/>
              </w:rPr>
              <w:t>Security</w:t>
            </w:r>
          </w:p>
        </w:tc>
        <w:tc>
          <w:tcPr>
            <w:tcW w:w="8280" w:type="dxa"/>
            <w:tcBorders>
              <w:bottom w:val="single" w:color="D5DEE5" w:sz="4" w:space="0"/>
            </w:tcBorders>
            <w:shd w:val="clear" w:color="auto" w:fill="FFFFFF"/>
            <w:tcMar>
              <w:top w:w="80" w:type="dxa"/>
              <w:left w:w="100" w:type="dxa"/>
              <w:bottom w:w="80" w:type="dxa"/>
              <w:right w:w="100" w:type="dxa"/>
            </w:tcMar>
            <w:vAlign w:val="center"/>
          </w:tcPr>
          <w:p w14:paraId="1C4E7CFC">
            <w:pPr>
              <w:spacing w:after="0"/>
            </w:pPr>
            <w:r>
              <w:rPr>
                <w:rFonts w:ascii="Aptos" w:hAnsi="Aptos"/>
                <w:b w:val="0"/>
                <w:color w:val="18212B"/>
                <w:sz w:val="16"/>
              </w:rPr>
              <w:t>HTTPS, least privilege, input validation, server-side authorization, audit logging, encrypted secrets, and protection of personal/driver records.</w:t>
            </w:r>
          </w:p>
        </w:tc>
      </w:tr>
      <w:tr w14:paraId="08DA2971">
        <w:trPr>
          <w:cantSplit/>
          <w:jc w:val="center"/>
        </w:trPr>
        <w:tc>
          <w:tcPr>
            <w:tcW w:w="2232" w:type="dxa"/>
            <w:tcBorders>
              <w:bottom w:val="single" w:color="D5DEE5" w:sz="4" w:space="0"/>
            </w:tcBorders>
            <w:shd w:val="clear" w:color="auto" w:fill="F6F9FB"/>
            <w:tcMar>
              <w:top w:w="80" w:type="dxa"/>
              <w:left w:w="100" w:type="dxa"/>
              <w:bottom w:w="80" w:type="dxa"/>
              <w:right w:w="100" w:type="dxa"/>
            </w:tcMar>
            <w:vAlign w:val="center"/>
          </w:tcPr>
          <w:p w14:paraId="1B36E78F">
            <w:pPr>
              <w:spacing w:after="0"/>
            </w:pPr>
            <w:r>
              <w:rPr>
                <w:rFonts w:ascii="Aptos" w:hAnsi="Aptos"/>
                <w:b w:val="0"/>
                <w:color w:val="18212B"/>
                <w:sz w:val="16"/>
              </w:rPr>
              <w:t>Quality</w:t>
            </w:r>
          </w:p>
        </w:tc>
        <w:tc>
          <w:tcPr>
            <w:tcW w:w="8280" w:type="dxa"/>
            <w:tcBorders>
              <w:bottom w:val="single" w:color="D5DEE5" w:sz="4" w:space="0"/>
            </w:tcBorders>
            <w:shd w:val="clear" w:color="auto" w:fill="F6F9FB"/>
            <w:tcMar>
              <w:top w:w="80" w:type="dxa"/>
              <w:left w:w="100" w:type="dxa"/>
              <w:bottom w:w="80" w:type="dxa"/>
              <w:right w:w="100" w:type="dxa"/>
            </w:tcMar>
            <w:vAlign w:val="center"/>
          </w:tcPr>
          <w:p w14:paraId="001E6BFA">
            <w:pPr>
              <w:spacing w:after="0"/>
            </w:pPr>
            <w:r>
              <w:rPr>
                <w:rFonts w:ascii="Aptos" w:hAnsi="Aptos"/>
                <w:b w:val="0"/>
                <w:color w:val="18212B"/>
                <w:sz w:val="16"/>
              </w:rPr>
              <w:t>Automated tests for critical workflows, lint/type/build checks, error handling, loading/empty states, and QA/UAT environment.</w:t>
            </w:r>
          </w:p>
        </w:tc>
      </w:tr>
      <w:tr w14:paraId="5CE2C273">
        <w:trPr>
          <w:cantSplit/>
          <w:jc w:val="center"/>
        </w:trPr>
        <w:tc>
          <w:tcPr>
            <w:tcW w:w="2232" w:type="dxa"/>
            <w:tcBorders>
              <w:bottom w:val="single" w:color="D5DEE5" w:sz="4" w:space="0"/>
            </w:tcBorders>
            <w:shd w:val="clear" w:color="auto" w:fill="FFFFFF"/>
            <w:tcMar>
              <w:top w:w="80" w:type="dxa"/>
              <w:left w:w="100" w:type="dxa"/>
              <w:bottom w:w="80" w:type="dxa"/>
              <w:right w:w="100" w:type="dxa"/>
            </w:tcMar>
            <w:vAlign w:val="center"/>
          </w:tcPr>
          <w:p w14:paraId="42A99868">
            <w:pPr>
              <w:spacing w:after="0"/>
            </w:pPr>
            <w:r>
              <w:rPr>
                <w:rFonts w:ascii="Aptos" w:hAnsi="Aptos"/>
                <w:b w:val="0"/>
                <w:color w:val="18212B"/>
                <w:sz w:val="16"/>
              </w:rPr>
              <w:t>Deployment</w:t>
            </w:r>
          </w:p>
        </w:tc>
        <w:tc>
          <w:tcPr>
            <w:tcW w:w="8280" w:type="dxa"/>
            <w:tcBorders>
              <w:bottom w:val="single" w:color="D5DEE5" w:sz="4" w:space="0"/>
            </w:tcBorders>
            <w:shd w:val="clear" w:color="auto" w:fill="FFFFFF"/>
            <w:tcMar>
              <w:top w:w="80" w:type="dxa"/>
              <w:left w:w="100" w:type="dxa"/>
              <w:bottom w:w="80" w:type="dxa"/>
              <w:right w:w="100" w:type="dxa"/>
            </w:tcMar>
            <w:vAlign w:val="center"/>
          </w:tcPr>
          <w:p w14:paraId="338E84DE">
            <w:pPr>
              <w:spacing w:after="0"/>
            </w:pPr>
            <w:r>
              <w:rPr>
                <w:rFonts w:ascii="Aptos" w:hAnsi="Aptos"/>
                <w:b w:val="0"/>
                <w:color w:val="18212B"/>
                <w:sz w:val="16"/>
              </w:rPr>
              <w:t>Separate development/staging/production environments, CI/CD, monitoring, backups, and handover documentation.</w:t>
            </w:r>
          </w:p>
        </w:tc>
      </w:tr>
    </w:tbl>
    <w:p w14:paraId="5FC4A545">
      <w:pPr>
        <w:spacing w:after="0"/>
      </w:pPr>
    </w:p>
    <w:p w14:paraId="24A6B601">
      <w:pPr>
        <w:pStyle w:val="2"/>
      </w:pPr>
      <w:r>
        <w:t>7. Acceptance Criteria</w:t>
      </w:r>
    </w:p>
    <w:p w14:paraId="3A38F80A">
      <w:pPr>
        <w:pStyle w:val="29"/>
        <w:spacing w:after="40"/>
      </w:pPr>
      <w:r>
        <w:t>A user can log in and is redirected to the correct Fleet or Safety workspace; unauthorized access is blocked.</w:t>
      </w:r>
    </w:p>
    <w:p w14:paraId="0127D46D">
      <w:pPr>
        <w:pStyle w:val="29"/>
        <w:spacing w:after="40"/>
      </w:pPr>
      <w:r>
        <w:t>Fleet users can add, assign, move, and track trucks and trailers while preserving complete history.</w:t>
      </w:r>
    </w:p>
    <w:p w14:paraId="159C712B">
      <w:pPr>
        <w:pStyle w:val="29"/>
        <w:spacing w:after="40"/>
      </w:pPr>
      <w:r>
        <w:t>Truck and Trailer profiles show only related assignments, services, expenses, documents, devices, locations, and calculated costs.</w:t>
      </w:r>
    </w:p>
    <w:p w14:paraId="6E9AE1FF">
      <w:pPr>
        <w:pStyle w:val="29"/>
        <w:spacing w:after="40"/>
      </w:pPr>
      <w:r>
        <w:t>Safety users can manage driver compliance, insurance, accidents, cargo claims, inspections, documents, and related alerts from connected profiles.</w:t>
      </w:r>
    </w:p>
    <w:p w14:paraId="710B2615">
      <w:pPr>
        <w:pStyle w:val="29"/>
        <w:spacing w:after="40"/>
      </w:pPr>
      <w:r>
        <w:t>Expiration and overdue rules generate correct notifications and dashboard counts.</w:t>
      </w:r>
    </w:p>
    <w:p w14:paraId="1CC04509">
      <w:pPr>
        <w:pStyle w:val="29"/>
        <w:spacing w:after="40"/>
      </w:pPr>
      <w:r>
        <w:t>Uploaded files can be securely stored, previewed where supported, searched, and downloaded by authorized users.</w:t>
      </w:r>
    </w:p>
    <w:p w14:paraId="480311C0">
      <w:pPr>
        <w:pStyle w:val="29"/>
        <w:spacing w:after="40"/>
      </w:pPr>
      <w:r>
        <w:t>Search, filters, sorting, status changes, and key dashboard metrics work with production data and persist after refresh/login.</w:t>
      </w:r>
    </w:p>
    <w:p w14:paraId="52457B7B">
      <w:pPr>
        <w:pStyle w:val="29"/>
        <w:spacing w:after="40"/>
      </w:pPr>
      <w:r>
        <w:t>Audit history identifies who changed each operational record and when.</w:t>
      </w:r>
    </w:p>
    <w:p w14:paraId="5EDB9AE6">
      <w:pPr>
        <w:pStyle w:val="29"/>
        <w:spacing w:after="40"/>
      </w:pPr>
      <w:r>
        <w:t>The release passes agreed UAT scenarios, security review, and production deployment checklist.</w:t>
      </w:r>
    </w:p>
    <w:p w14:paraId="7607E927">
      <w:pPr>
        <w:spacing w:before="80" w:after="40"/>
      </w:pPr>
      <w:bookmarkStart w:id="0" w:name="_GoBack"/>
      <w:bookmarkEnd w:id="0"/>
    </w:p>
    <w:sectPr>
      <w:headerReference r:id="rId5" w:type="default"/>
      <w:footerReference r:id="rId6" w:type="default"/>
      <w:pgSz w:w="12240" w:h="15840"/>
      <w:pgMar w:top="648" w:right="979" w:bottom="648" w:left="97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Aptos Display">
    <w:altName w:val="Helvetica Neue"/>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0000000000000000000"/>
    <w:charset w:val="00"/>
    <w:family w:val="auto"/>
    <w:pitch w:val="default"/>
    <w:sig w:usb0="E00002FF" w:usb1="5000785B" w:usb2="00000000" w:usb3="00000000" w:csb0="2000019F" w:csb1="4F01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E5FAC">
    <w:pPr>
      <w:pStyle w:val="18"/>
      <w:jc w:val="center"/>
    </w:pPr>
    <w:r>
      <w:rPr>
        <w:rFonts w:ascii="Aptos" w:hAnsi="Aptos"/>
        <w:color w:val="5B6573"/>
        <w:sz w:val="14"/>
      </w:rPr>
      <w:t>Confidential - SHOD Express LLC  |  Fleet &amp; Safety MVP</w:t>
    </w:r>
    <w:r>
      <w:t xml:space="preserv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CB8E4">
    <w:pPr>
      <w:pStyle w:val="19"/>
      <w:jc w:val="right"/>
    </w:pPr>
    <w:r>
      <w:rPr>
        <w:rFonts w:ascii="Aptos" w:hAnsi="Aptos"/>
        <w:b/>
        <w:color w:val="2E6F9E"/>
        <w:sz w:val="15"/>
      </w:rPr>
      <w:t>SHOD FLOW  |  PRODUCT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F952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Aptos" w:hAnsi="Aptos"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6324F"/>
      <w:sz w:val="34"/>
      <w:szCs w:val="28"/>
    </w:rPr>
  </w:style>
  <w:style w:type="paragraph" w:styleId="3">
    <w:name w:val="heading 2"/>
    <w:basedOn w:val="1"/>
    <w:next w:val="1"/>
    <w:link w:val="139"/>
    <w:unhideWhenUsed/>
    <w:qFormat/>
    <w:uiPriority w:val="9"/>
    <w:pPr>
      <w:keepNext/>
      <w:keepLines/>
      <w:spacing w:before="140" w:after="60"/>
      <w:outlineLvl w:val="1"/>
    </w:pPr>
    <w:rPr>
      <w:rFonts w:asciiTheme="majorHAnsi" w:hAnsiTheme="majorHAnsi" w:eastAsiaTheme="majorEastAsia" w:cstheme="majorBidi"/>
      <w:b/>
      <w:bCs/>
      <w:color w:val="2E6F9E"/>
      <w:sz w:val="25"/>
      <w:szCs w:val="26"/>
    </w:rPr>
  </w:style>
  <w:style w:type="paragraph" w:styleId="4">
    <w:name w:val="heading 3"/>
    <w:basedOn w:val="1"/>
    <w:next w:val="1"/>
    <w:link w:val="140"/>
    <w:unhideWhenUsed/>
    <w:qFormat/>
    <w:uiPriority w:val="9"/>
    <w:pPr>
      <w:keepNext/>
      <w:keepLines/>
      <w:spacing w:before="100" w:after="40"/>
      <w:outlineLvl w:val="2"/>
    </w:pPr>
    <w:rPr>
      <w:rFonts w:asciiTheme="majorHAnsi" w:hAnsiTheme="majorHAnsi" w:eastAsiaTheme="majorEastAsia" w:cstheme="majorBidi"/>
      <w:b/>
      <w:bCs/>
      <w:color w:val="1F7A8C"/>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keepNext/>
      <w:spacing w:before="0" w:after="200"/>
    </w:pPr>
    <w:rPr>
      <w:rFonts w:asciiTheme="majorHAnsi" w:hAnsiTheme="majorHAnsi" w:eastAsiaTheme="majorEastAsia" w:cstheme="majorBidi"/>
      <w:b/>
      <w:i/>
      <w:iCs/>
      <w:color w:val="5B6573"/>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120" w:line="240" w:lineRule="auto"/>
      <w:contextualSpacing/>
    </w:pPr>
    <w:rPr>
      <w:rFonts w:asciiTheme="majorHAnsi" w:hAnsiTheme="majorHAnsi" w:eastAsiaTheme="majorEastAsia" w:cstheme="majorBidi"/>
      <w:b/>
      <w:color w:val="16324F"/>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Lead"/>
    <w:uiPriority w:val="0"/>
    <w:pPr>
      <w:spacing w:after="140" w:line="269" w:lineRule="auto"/>
    </w:pPr>
    <w:rPr>
      <w:rFonts w:ascii="Aptos" w:hAnsi="Aptos" w:eastAsiaTheme="minorEastAsia" w:cstheme="minorBidi"/>
      <w:color w:val="18212B"/>
      <w:sz w:val="22"/>
      <w:szCs w:val="22"/>
      <w:lang w:val="en-US" w:eastAsia="en-US" w:bidi="ar-SA"/>
    </w:rPr>
  </w:style>
  <w:style w:type="paragraph" w:customStyle="1" w:styleId="165">
    <w:name w:val="Small"/>
    <w:uiPriority w:val="0"/>
    <w:pPr>
      <w:spacing w:after="40" w:line="276" w:lineRule="auto"/>
    </w:pPr>
    <w:rPr>
      <w:rFonts w:ascii="Aptos" w:hAnsi="Aptos" w:eastAsiaTheme="minorEastAsia" w:cstheme="minorBidi"/>
      <w:color w:val="5B6573"/>
      <w:sz w:val="16"/>
      <w:szCs w:val="22"/>
      <w:lang w:val="en-US" w:eastAsia="en-US" w:bidi="ar-SA"/>
    </w:rPr>
  </w:style>
  <w:style w:type="paragraph" w:customStyle="1" w:styleId="166">
    <w:name w:val="Callout"/>
    <w:uiPriority w:val="0"/>
    <w:pPr>
      <w:spacing w:after="40" w:line="276" w:lineRule="auto"/>
    </w:pPr>
    <w:rPr>
      <w:rFonts w:ascii="Aptos" w:hAnsi="Aptos" w:eastAsiaTheme="minorEastAsia" w:cstheme="minorBidi"/>
      <w:b/>
      <w:color w:val="16324F"/>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2013-12-24T05:15:00Z</dcterms:created>
  <dc:creator>SHOD Express LLC</dc:creator>
  <dc:description>generated by python-docx</dc:description>
  <cp:keywords>Shod Flow, Fleet, Safety, PRD, developer handoff</cp:keywords>
  <cp:lastModifiedBy>Sohibjon Ibrohimjonov</cp:lastModifiedBy>
  <dcterms:modified xsi:type="dcterms:W3CDTF">2026-06-18T05:17:29Z</dcterms:modified>
  <dc:subject>Developer handoff for Fleet and Safety MVP</dc:subject>
  <dc:title>Shod Flow Fleet &amp; Safety Platform PRD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65867775EE84C38F1939336AB8481468_42</vt:lpwstr>
  </property>
</Properties>
</file>