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59" w:lineRule="auto"/>
      </w:pPr>
      <w:r>
        <w:rPr>
          <w:rFonts w:ascii="Arial" w:hAnsi="Arial"/>
          <w:b/>
          <w:color w:val="56705F"/>
          <w:sz w:val="17"/>
        </w:rPr>
        <w:t>HACKATHON PROJECT OVERVIEW</w:t>
      </w:r>
    </w:p>
    <w:p>
      <w:pPr>
        <w:pStyle w:val="Title"/>
        <w:spacing w:before="120" w:after="80"/>
      </w:pPr>
      <w:r>
        <w:rPr>
          <w:rFonts w:ascii="Arial" w:hAnsi="Arial"/>
          <w:b/>
          <w:color w:val="000000"/>
          <w:sz w:val="62"/>
        </w:rPr>
        <w:t>PrivacyGate</w:t>
      </w:r>
    </w:p>
    <w:p>
      <w:pPr>
        <w:spacing w:before="0" w:after="240" w:line="259" w:lineRule="auto"/>
      </w:pPr>
      <w:r>
        <w:rPr>
          <w:rFonts w:ascii="Arial" w:hAnsi="Arial"/>
          <w:b w:val="0"/>
          <w:color w:val="4E5C54"/>
          <w:sz w:val="32"/>
        </w:rPr>
        <w:t>On device privacy protection for safer image sharing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6172200" cy="3473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vacygate-he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3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9" w:lineRule="auto"/>
      </w:pPr>
      <w:r>
        <w:rPr>
          <w:rFonts w:ascii="Arial" w:hAnsi="Arial"/>
          <w:b w:val="0"/>
          <w:color w:val="171C19"/>
          <w:sz w:val="24"/>
        </w:rPr>
        <w:t>PrivacyGate examines an outgoing image at the moment of sharing, identifies sensitive information locally and gives the user a practical way to mask it before the image leaves the phone.</w:t>
      </w:r>
    </w:p>
    <w:p>
      <w:pPr>
        <w:spacing w:before="0" w:after="120" w:line="259" w:lineRule="auto"/>
      </w:pPr>
      <w:r>
        <w:rPr>
          <w:rFonts w:ascii="Arial" w:hAnsi="Arial"/>
          <w:b/>
          <w:color w:val="64736B"/>
          <w:sz w:val="19"/>
        </w:rPr>
        <w:t>Native Android prototype for iQOO 15 and Snapdragon 8 Elite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rial" w:hAnsi="Arial"/>
          <w:b/>
          <w:color w:val="56705F"/>
          <w:sz w:val="17"/>
        </w:rPr>
        <w:t>PROBLEM STATEMENT</w:t>
      </w:r>
    </w:p>
    <w:p>
      <w:pPr>
        <w:pStyle w:val="Heading1"/>
        <w:spacing w:before="40" w:after="140"/>
      </w:pPr>
      <w:r>
        <w:rPr>
          <w:rFonts w:ascii="Arial" w:hAnsi="Arial"/>
          <w:b/>
          <w:color w:val="000000"/>
          <w:sz w:val="42"/>
        </w:rPr>
        <w:t>The risky moment happens just before send</w:t>
      </w:r>
    </w:p>
    <w:p>
      <w:pPr>
        <w:spacing w:before="0" w:after="180" w:line="269" w:lineRule="auto"/>
      </w:pPr>
      <w:r>
        <w:rPr>
          <w:rFonts w:ascii="Arial" w:hAnsi="Arial"/>
          <w:b w:val="0"/>
          <w:color w:val="000000"/>
          <w:sz w:val="22"/>
        </w:rPr>
        <w:t>People routinely share identity documents, payment evidence, invoices and prescriptions through messaging apps. The recipient may need the document, while many visible fields remain unnecessary for the task. A full name, account number, address, card number or vehicle plate can travel farther than the sender expects.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935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fe-share-before-af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3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 w:line="252" w:lineRule="auto"/>
        <w:ind w:left="312" w:hanging="159"/>
      </w:pPr>
      <w:r>
        <w:rPr>
          <w:rFonts w:ascii="Arial" w:hAnsi="Arial"/>
          <w:b/>
          <w:color w:val="000000"/>
          <w:sz w:val="20"/>
        </w:rPr>
        <w:t xml:space="preserve">Awareness arrives too late. </w:t>
      </w:r>
      <w:r>
        <w:rPr>
          <w:rFonts w:ascii="Arial" w:hAnsi="Arial"/>
          <w:b w:val="0"/>
          <w:color w:val="626C66"/>
          <w:sz w:val="20"/>
        </w:rPr>
        <w:t>Users often notice exposed details only after the message has been sent or forwarded.</w:t>
      </w:r>
    </w:p>
    <w:p>
      <w:pPr>
        <w:pStyle w:val="ListBullet"/>
        <w:spacing w:after="80" w:line="252" w:lineRule="auto"/>
        <w:ind w:left="312" w:hanging="159"/>
      </w:pPr>
      <w:r>
        <w:rPr>
          <w:rFonts w:ascii="Arial" w:hAnsi="Arial"/>
          <w:b/>
          <w:color w:val="000000"/>
          <w:sz w:val="20"/>
        </w:rPr>
        <w:t xml:space="preserve">Generic warnings create friction. </w:t>
      </w:r>
      <w:r>
        <w:rPr>
          <w:rFonts w:ascii="Arial" w:hAnsi="Arial"/>
          <w:b w:val="0"/>
          <w:color w:val="626C66"/>
          <w:sz w:val="20"/>
        </w:rPr>
        <w:t>A warning that only says stop does not help when the document must still be shared.</w:t>
      </w:r>
    </w:p>
    <w:p>
      <w:pPr>
        <w:pStyle w:val="ListBullet"/>
        <w:spacing w:after="80" w:line="252" w:lineRule="auto"/>
        <w:ind w:left="312" w:hanging="159"/>
      </w:pPr>
      <w:r>
        <w:rPr>
          <w:rFonts w:ascii="Arial" w:hAnsi="Arial"/>
          <w:b/>
          <w:color w:val="000000"/>
          <w:sz w:val="20"/>
        </w:rPr>
        <w:t xml:space="preserve">Cloud scanning creates another privacy decision. </w:t>
      </w:r>
      <w:r>
        <w:rPr>
          <w:rFonts w:ascii="Arial" w:hAnsi="Arial"/>
          <w:b w:val="0"/>
          <w:color w:val="626C66"/>
          <w:sz w:val="20"/>
        </w:rPr>
        <w:t>Uploading the image for analysis exposes the same material the product is meant to protect.</w:t>
      </w:r>
    </w:p>
    <w:p>
      <w:pPr>
        <w:spacing w:before="100" w:after="60" w:line="259" w:lineRule="auto"/>
      </w:pPr>
      <w:r>
        <w:rPr>
          <w:rFonts w:ascii="Arial" w:hAnsi="Arial"/>
          <w:b/>
          <w:color w:val="56705F"/>
          <w:sz w:val="22"/>
        </w:rPr>
        <w:t>Product objective</w:t>
      </w:r>
    </w:p>
    <w:p>
      <w:pPr>
        <w:spacing w:before="0" w:after="0" w:line="259" w:lineRule="auto"/>
      </w:pPr>
      <w:r>
        <w:rPr>
          <w:rFonts w:ascii="Arial" w:hAnsi="Arial"/>
          <w:b/>
          <w:color w:val="000000"/>
          <w:sz w:val="23"/>
        </w:rPr>
        <w:t>Add a short, useful privacy checkpoint that helps the sender complete the share safely.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rial" w:hAnsi="Arial"/>
          <w:b/>
          <w:color w:val="56705F"/>
          <w:sz w:val="17"/>
        </w:rPr>
        <w:t>SOLUTION</w:t>
      </w:r>
    </w:p>
    <w:p>
      <w:pPr>
        <w:pStyle w:val="Heading1"/>
        <w:spacing w:before="40" w:after="140"/>
      </w:pPr>
      <w:r>
        <w:rPr>
          <w:rFonts w:ascii="Arial" w:hAnsi="Arial"/>
          <w:b/>
          <w:color w:val="000000"/>
          <w:sz w:val="42"/>
        </w:rPr>
        <w:t>A privacy assistant inside the sharing flow</w:t>
      </w:r>
    </w:p>
    <w:p>
      <w:pPr>
        <w:spacing w:before="0" w:after="160" w:line="264" w:lineRule="auto"/>
      </w:pPr>
      <w:r>
        <w:rPr>
          <w:rFonts w:ascii="Arial" w:hAnsi="Arial"/>
          <w:b w:val="0"/>
          <w:color w:val="000000"/>
          <w:sz w:val="21"/>
        </w:rPr>
        <w:t>PrivacyGate watches supported outgoing image flows and analyzes the selected image on the device. When it finds a meaningful risk, the first send attempt opens a compact privacy warning. The user can mask detected regions, dismiss the warning or continue deliberately.</w:t>
      </w:r>
    </w:p>
    <w:p>
      <w:pPr>
        <w:spacing w:after="100" w:line="250" w:lineRule="auto"/>
        <w:ind w:left="170" w:hanging="170"/>
      </w:pPr>
      <w:r>
        <w:rPr>
          <w:rFonts w:ascii="Arial" w:hAnsi="Arial"/>
          <w:b/>
          <w:color w:val="56705F"/>
          <w:sz w:val="21"/>
        </w:rPr>
        <w:t xml:space="preserve">01  </w:t>
      </w:r>
      <w:r>
        <w:rPr>
          <w:rFonts w:ascii="Arial" w:hAnsi="Arial"/>
          <w:b/>
          <w:color w:val="000000"/>
          <w:sz w:val="21"/>
        </w:rPr>
        <w:t xml:space="preserve">Observe  </w:t>
      </w:r>
      <w:r>
        <w:rPr>
          <w:rFonts w:ascii="Arial" w:hAnsi="Arial"/>
          <w:b w:val="0"/>
          <w:color w:val="626C66"/>
          <w:sz w:val="20"/>
        </w:rPr>
        <w:t>Detect an outgoing image preview or direct share action.</w:t>
      </w:r>
    </w:p>
    <w:p>
      <w:pPr>
        <w:spacing w:after="100" w:line="250" w:lineRule="auto"/>
        <w:ind w:left="170" w:hanging="170"/>
      </w:pPr>
      <w:r>
        <w:rPr>
          <w:rFonts w:ascii="Arial" w:hAnsi="Arial"/>
          <w:b/>
          <w:color w:val="56705F"/>
          <w:sz w:val="21"/>
        </w:rPr>
        <w:t xml:space="preserve">02  </w:t>
      </w:r>
      <w:r>
        <w:rPr>
          <w:rFonts w:ascii="Arial" w:hAnsi="Arial"/>
          <w:b/>
          <w:color w:val="000000"/>
          <w:sz w:val="21"/>
        </w:rPr>
        <w:t xml:space="preserve">Inspect locally  </w:t>
      </w:r>
      <w:r>
        <w:rPr>
          <w:rFonts w:ascii="Arial" w:hAnsi="Arial"/>
          <w:b w:val="0"/>
          <w:color w:val="626C66"/>
          <w:sz w:val="20"/>
        </w:rPr>
        <w:t>Run image labels, face detection and OCR without sending the image to a server.</w:t>
      </w:r>
    </w:p>
    <w:p>
      <w:pPr>
        <w:spacing w:after="100" w:line="250" w:lineRule="auto"/>
        <w:ind w:left="170" w:hanging="170"/>
      </w:pPr>
      <w:r>
        <w:rPr>
          <w:rFonts w:ascii="Arial" w:hAnsi="Arial"/>
          <w:b/>
          <w:color w:val="56705F"/>
          <w:sz w:val="21"/>
        </w:rPr>
        <w:t xml:space="preserve">03  </w:t>
      </w:r>
      <w:r>
        <w:rPr>
          <w:rFonts w:ascii="Arial" w:hAnsi="Arial"/>
          <w:b/>
          <w:color w:val="000000"/>
          <w:sz w:val="21"/>
        </w:rPr>
        <w:t xml:space="preserve">Assess risk  </w:t>
      </w:r>
      <w:r>
        <w:rPr>
          <w:rFonts w:ascii="Arial" w:hAnsi="Arial"/>
          <w:b w:val="0"/>
          <w:color w:val="626C66"/>
          <w:sz w:val="20"/>
        </w:rPr>
        <w:t>Apply category settings, structural rules and checksum validators.</w:t>
      </w:r>
    </w:p>
    <w:p>
      <w:pPr>
        <w:spacing w:after="100" w:line="250" w:lineRule="auto"/>
        <w:ind w:left="170" w:hanging="170"/>
      </w:pPr>
      <w:r>
        <w:rPr>
          <w:rFonts w:ascii="Arial" w:hAnsi="Arial"/>
          <w:b/>
          <w:color w:val="56705F"/>
          <w:sz w:val="21"/>
        </w:rPr>
        <w:t xml:space="preserve">04  </w:t>
      </w:r>
      <w:r>
        <w:rPr>
          <w:rFonts w:ascii="Arial" w:hAnsi="Arial"/>
          <w:b/>
          <w:color w:val="000000"/>
          <w:sz w:val="21"/>
        </w:rPr>
        <w:t xml:space="preserve">Warn at the right moment  </w:t>
      </w:r>
      <w:r>
        <w:rPr>
          <w:rFonts w:ascii="Arial" w:hAnsi="Arial"/>
          <w:b w:val="0"/>
          <w:color w:val="626C66"/>
          <w:sz w:val="20"/>
        </w:rPr>
        <w:t>Pause the first send action and show the reason for the warning.</w:t>
      </w:r>
    </w:p>
    <w:p>
      <w:pPr>
        <w:spacing w:after="100" w:line="250" w:lineRule="auto"/>
        <w:ind w:left="170" w:hanging="170"/>
      </w:pPr>
      <w:r>
        <w:rPr>
          <w:rFonts w:ascii="Arial" w:hAnsi="Arial"/>
          <w:b/>
          <w:color w:val="56705F"/>
          <w:sz w:val="21"/>
        </w:rPr>
        <w:t xml:space="preserve">05  </w:t>
      </w:r>
      <w:r>
        <w:rPr>
          <w:rFonts w:ascii="Arial" w:hAnsi="Arial"/>
          <w:b/>
          <w:color w:val="000000"/>
          <w:sz w:val="21"/>
        </w:rPr>
        <w:t xml:space="preserve">Mask and share  </w:t>
      </w:r>
      <w:r>
        <w:rPr>
          <w:rFonts w:ascii="Arial" w:hAnsi="Arial"/>
          <w:b w:val="0"/>
          <w:color w:val="626C66"/>
          <w:sz w:val="20"/>
        </w:rPr>
        <w:t>Create a protected copy and reopen the Android sharesheet.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1993392" cy="43854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vacygate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93392" cy="4385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59" w:lineRule="auto"/>
        <w:jc w:val="center"/>
      </w:pPr>
      <w:r>
        <w:rPr>
          <w:rFonts w:ascii="Arial" w:hAnsi="Arial"/>
          <w:b w:val="0"/>
          <w:color w:val="626C66"/>
          <w:sz w:val="18"/>
        </w:rPr>
        <w:t>The policy screen lets users choose sensitivity and enable only the categories that matter to them.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rial" w:hAnsi="Arial"/>
          <w:b/>
          <w:color w:val="56705F"/>
          <w:sz w:val="17"/>
        </w:rPr>
        <w:t>HIGH LEVEL ARCHITECTURE</w:t>
      </w:r>
    </w:p>
    <w:p>
      <w:pPr>
        <w:pStyle w:val="Heading1"/>
        <w:spacing w:before="40" w:after="140"/>
      </w:pPr>
      <w:r>
        <w:rPr>
          <w:rFonts w:ascii="Arial" w:hAnsi="Arial"/>
          <w:b/>
          <w:color w:val="000000"/>
          <w:sz w:val="42"/>
        </w:rPr>
        <w:t>All analysis remains on the phone</w:t>
      </w:r>
    </w:p>
    <w:p>
      <w:pPr>
        <w:spacing w:before="0" w:after="160" w:line="264" w:lineRule="auto"/>
      </w:pPr>
      <w:r>
        <w:rPr>
          <w:rFonts w:ascii="Arial" w:hAnsi="Arial"/>
          <w:b w:val="0"/>
          <w:color w:val="000000"/>
          <w:sz w:val="21"/>
        </w:rPr>
        <w:t>The architecture separates capture, understanding, policy and output. Android provides the image. On-device ML Kit extracts visual and text signals. PrivacyGate applies deterministic privacy rules, then generates a protected bitmap for sharing.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63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-device-a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39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9D2CC"/>
          <w:left w:val="single" w:sz="5" w:color="C9D2CC"/>
          <w:bottom w:val="single" w:sz="5" w:color="C9D2CC"/>
          <w:right w:val="single" w:sz="5" w:color="C9D2CC"/>
          <w:insideH w:val="single" w:sz="5" w:color="C9D2CC"/>
          <w:insideV w:val="single" w:sz="5" w:color="C9D2CC"/>
        </w:tblBorders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871"/>
            <w:vAlign w:val="center"/>
            <w:tcMar>
              <w:top w:w="130" w:type="dxa"/>
              <w:start w:w="100" w:type="dxa"/>
              <w:bottom w:w="130" w:type="dxa"/>
              <w:end w:w="100" w:type="dxa"/>
            </w:tcMar>
            <w:shd w:fill="F3F6F4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56705F"/>
                <w:sz w:val="17"/>
              </w:rPr>
              <w:t>1</w:t>
              <w:br/>
            </w:r>
            <w:r>
              <w:rPr>
                <w:rFonts w:ascii="Arial" w:hAnsi="Arial"/>
                <w:b/>
                <w:color w:val="000000"/>
                <w:sz w:val="18"/>
              </w:rPr>
              <w:t>Image source</w:t>
              <w:br/>
            </w:r>
            <w:r>
              <w:rPr>
                <w:rFonts w:ascii="Arial" w:hAnsi="Arial"/>
                <w:b w:val="0"/>
                <w:color w:val="626C66"/>
                <w:sz w:val="15"/>
              </w:rPr>
              <w:t>MediaStore or share screen</w:t>
            </w:r>
          </w:p>
        </w:tc>
        <w:tc>
          <w:tcPr>
            <w:tcW w:type="dxa" w:w="1871"/>
            <w:vAlign w:val="center"/>
            <w:tcMar>
              <w:top w:w="130" w:type="dxa"/>
              <w:start w:w="100" w:type="dxa"/>
              <w:bottom w:w="130" w:type="dxa"/>
              <w:end w:w="100" w:type="dxa"/>
            </w:tcMar>
            <w:shd w:fill="F3F6F4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56705F"/>
                <w:sz w:val="17"/>
              </w:rPr>
              <w:t>2</w:t>
              <w:br/>
            </w:r>
            <w:r>
              <w:rPr>
                <w:rFonts w:ascii="Arial" w:hAnsi="Arial"/>
                <w:b/>
                <w:color w:val="000000"/>
                <w:sz w:val="18"/>
              </w:rPr>
              <w:t>Local perception</w:t>
              <w:br/>
            </w:r>
            <w:r>
              <w:rPr>
                <w:rFonts w:ascii="Arial" w:hAnsi="Arial"/>
                <w:b w:val="0"/>
                <w:color w:val="626C66"/>
                <w:sz w:val="15"/>
              </w:rPr>
              <w:t>Labels, faces and OCR</w:t>
            </w:r>
          </w:p>
        </w:tc>
        <w:tc>
          <w:tcPr>
            <w:tcW w:type="dxa" w:w="1871"/>
            <w:vAlign w:val="center"/>
            <w:tcMar>
              <w:top w:w="130" w:type="dxa"/>
              <w:start w:w="100" w:type="dxa"/>
              <w:bottom w:w="130" w:type="dxa"/>
              <w:end w:w="100" w:type="dxa"/>
            </w:tcMar>
            <w:shd w:fill="DFF6E7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56705F"/>
                <w:sz w:val="17"/>
              </w:rPr>
              <w:t>3</w:t>
              <w:br/>
            </w:r>
            <w:r>
              <w:rPr>
                <w:rFonts w:ascii="Arial" w:hAnsi="Arial"/>
                <w:b/>
                <w:color w:val="000000"/>
                <w:sz w:val="18"/>
              </w:rPr>
              <w:t>Privacy policy</w:t>
              <w:br/>
            </w:r>
            <w:r>
              <w:rPr>
                <w:rFonts w:ascii="Arial" w:hAnsi="Arial"/>
                <w:b w:val="0"/>
                <w:color w:val="626C66"/>
                <w:sz w:val="15"/>
              </w:rPr>
              <w:t>Rules and validators</w:t>
            </w:r>
          </w:p>
        </w:tc>
        <w:tc>
          <w:tcPr>
            <w:tcW w:type="dxa" w:w="1871"/>
            <w:vAlign w:val="center"/>
            <w:tcMar>
              <w:top w:w="130" w:type="dxa"/>
              <w:start w:w="100" w:type="dxa"/>
              <w:bottom w:w="130" w:type="dxa"/>
              <w:end w:w="100" w:type="dxa"/>
            </w:tcMar>
            <w:shd w:fill="F3F6F4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56705F"/>
                <w:sz w:val="17"/>
              </w:rPr>
              <w:t>4</w:t>
              <w:br/>
            </w:r>
            <w:r>
              <w:rPr>
                <w:rFonts w:ascii="Arial" w:hAnsi="Arial"/>
                <w:b/>
                <w:color w:val="000000"/>
                <w:sz w:val="18"/>
              </w:rPr>
              <w:t>User decision</w:t>
              <w:br/>
            </w:r>
            <w:r>
              <w:rPr>
                <w:rFonts w:ascii="Arial" w:hAnsi="Arial"/>
                <w:b w:val="0"/>
                <w:color w:val="626C66"/>
                <w:sz w:val="15"/>
              </w:rPr>
              <w:t>Warn, mask or continue</w:t>
            </w:r>
          </w:p>
        </w:tc>
        <w:tc>
          <w:tcPr>
            <w:tcW w:type="dxa" w:w="1871"/>
            <w:vAlign w:val="center"/>
            <w:tcMar>
              <w:top w:w="130" w:type="dxa"/>
              <w:start w:w="100" w:type="dxa"/>
              <w:bottom w:w="130" w:type="dxa"/>
              <w:end w:w="100" w:type="dxa"/>
            </w:tcMar>
            <w:shd w:fill="F3F6F4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56705F"/>
                <w:sz w:val="17"/>
              </w:rPr>
              <w:t>5</w:t>
              <w:br/>
            </w:r>
            <w:r>
              <w:rPr>
                <w:rFonts w:ascii="Arial" w:hAnsi="Arial"/>
                <w:b/>
                <w:color w:val="000000"/>
                <w:sz w:val="18"/>
              </w:rPr>
              <w:t>Protected output</w:t>
              <w:br/>
            </w:r>
            <w:r>
              <w:rPr>
                <w:rFonts w:ascii="Arial" w:hAnsi="Arial"/>
                <w:b w:val="0"/>
                <w:color w:val="626C66"/>
                <w:sz w:val="15"/>
              </w:rPr>
              <w:t>FileProvider and sharesheet</w:t>
            </w:r>
          </w:p>
        </w:tc>
      </w:tr>
    </w:tbl>
    <w:p>
      <w:pPr>
        <w:spacing w:before="200" w:after="60" w:line="259" w:lineRule="auto"/>
      </w:pPr>
      <w:r>
        <w:rPr>
          <w:rFonts w:ascii="Arial" w:hAnsi="Arial"/>
          <w:b/>
          <w:color w:val="56705F"/>
          <w:sz w:val="22"/>
        </w:rPr>
        <w:t>Privacy boundary</w:t>
      </w:r>
    </w:p>
    <w:p>
      <w:pPr>
        <w:spacing w:before="0" w:after="0" w:line="259" w:lineRule="auto"/>
      </w:pPr>
      <w:r>
        <w:rPr>
          <w:rFonts w:ascii="Arial" w:hAnsi="Arial"/>
          <w:b w:val="0"/>
          <w:color w:val="000000"/>
          <w:sz w:val="21"/>
        </w:rPr>
        <w:t>The manifest removes internet access. The app keeps inference, policy decisions and masking within Android storage and memory.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rial" w:hAnsi="Arial"/>
          <w:b/>
          <w:color w:val="56705F"/>
          <w:sz w:val="17"/>
        </w:rPr>
        <w:t>DETECTION COVERAGE</w:t>
      </w:r>
    </w:p>
    <w:p>
      <w:pPr>
        <w:pStyle w:val="Heading1"/>
        <w:spacing w:before="40" w:after="140"/>
      </w:pPr>
      <w:r>
        <w:rPr>
          <w:rFonts w:ascii="Arial" w:hAnsi="Arial"/>
          <w:b/>
          <w:color w:val="000000"/>
          <w:sz w:val="42"/>
        </w:rPr>
        <w:t>Privacy categories and their current signals</w:t>
      </w:r>
    </w:p>
    <w:p>
      <w:pPr>
        <w:spacing w:before="0" w:after="160" w:line="259" w:lineRule="auto"/>
      </w:pPr>
      <w:r>
        <w:rPr>
          <w:rFonts w:ascii="Arial" w:hAnsi="Arial"/>
          <w:b w:val="0"/>
          <w:color w:val="000000"/>
          <w:sz w:val="21"/>
        </w:rPr>
        <w:t>The first layer combines several small, fast detectors. Each category uses the signal best suited to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07"/>
        <w:gridCol w:w="3307"/>
        <w:gridCol w:w="3307"/>
      </w:tblGrid>
      <w:tr>
        <w:tc>
          <w:tcPr>
            <w:tcW w:type="dxa" w:w="2608"/>
            <w:vAlign w:val="center"/>
            <w:shd w:fill="171C1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3458"/>
            <w:vAlign w:val="center"/>
            <w:shd w:fill="171C1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Detection signal</w:t>
            </w:r>
          </w:p>
        </w:tc>
        <w:tc>
          <w:tcPr>
            <w:tcW w:type="dxa" w:w="3175"/>
            <w:vAlign w:val="center"/>
            <w:shd w:fill="171C1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Protection purpose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Identity and ID cards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626C66"/>
                <w:sz w:val="16"/>
              </w:rPr>
              <w:t>OCR, document structure, Verhoeff and patterns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626C66"/>
                <w:sz w:val="16"/>
              </w:rPr>
              <w:t>Aadhaar, PAN, passport and licence details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4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Banking and cards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4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626C66"/>
                <w:sz w:val="16"/>
              </w:rPr>
              <w:t>OCR, Luhn and financial patterns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4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626C66"/>
                <w:sz w:val="16"/>
              </w:rPr>
              <w:t>Card and account information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Passwords and OTPs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626C66"/>
                <w:sz w:val="16"/>
              </w:rPr>
              <w:t>OCR with credential keywords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626C66"/>
                <w:sz w:val="16"/>
              </w:rPr>
              <w:t>PINs, codes and verification messages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4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Medical and health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4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626C66"/>
                <w:sz w:val="16"/>
              </w:rPr>
              <w:t>OCR with prescription and medical cues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4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626C66"/>
                <w:sz w:val="16"/>
              </w:rPr>
              <w:t>Patient and prescription information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Bills and invoices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626C66"/>
                <w:sz w:val="16"/>
              </w:rPr>
              <w:t>OCR with invoice and GST structure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626C66"/>
                <w:sz w:val="16"/>
              </w:rPr>
              <w:t>Customer contact and transaction details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4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Phone and email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4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626C66"/>
                <w:sz w:val="16"/>
              </w:rPr>
              <w:t>Pattern validators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4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626C66"/>
                <w:sz w:val="16"/>
              </w:rPr>
              <w:t>Personal contact information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Faces and people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626C66"/>
                <w:sz w:val="16"/>
              </w:rPr>
              <w:t>Face detection and selfie segmentation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626C66"/>
                <w:sz w:val="16"/>
              </w:rPr>
              <w:t>Portrait and people awareness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4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Vehicles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4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626C66"/>
                <w:sz w:val="16"/>
              </w:rPr>
              <w:t>Image labels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4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626C66"/>
                <w:sz w:val="16"/>
              </w:rPr>
              <w:t>Vehicle gallery grouping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Screenshots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626C66"/>
                <w:sz w:val="16"/>
              </w:rPr>
              <w:t>MediaStore context, filename and image labels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626C66"/>
                <w:sz w:val="16"/>
              </w:rPr>
              <w:t>Screenshot gallery grouping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4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Vehicle number plates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4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626C66"/>
                <w:sz w:val="16"/>
              </w:rPr>
              <w:t>Dedicated localization remains in the next milestone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4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626C66"/>
                <w:sz w:val="16"/>
              </w:rPr>
              <w:t>Plate warning and precise masking</w:t>
            </w:r>
          </w:p>
        </w:tc>
      </w:tr>
    </w:tbl>
    <w:p>
      <w:pPr>
        <w:spacing w:before="140" w:after="0" w:line="259" w:lineRule="auto"/>
      </w:pPr>
      <w:r>
        <w:rPr>
          <w:rFonts w:ascii="Arial" w:hAnsi="Arial"/>
          <w:b w:val="0"/>
          <w:color w:val="626C66"/>
          <w:sz w:val="18"/>
        </w:rPr>
        <w:t>Gallery discovery also groups Food and Nature images using ML Kit labels. These groups improve browsing but do not automatically create a privacy warning.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rial" w:hAnsi="Arial"/>
          <w:b/>
          <w:color w:val="56705F"/>
          <w:sz w:val="17"/>
        </w:rPr>
        <w:t>USEFULNESS AND PLAN</w:t>
      </w:r>
    </w:p>
    <w:p>
      <w:pPr>
        <w:pStyle w:val="Heading1"/>
        <w:spacing w:before="40" w:after="140"/>
      </w:pPr>
      <w:r>
        <w:rPr>
          <w:rFonts w:ascii="Arial" w:hAnsi="Arial"/>
          <w:b/>
          <w:color w:val="000000"/>
          <w:sz w:val="42"/>
        </w:rPr>
        <w:t>Useful protection without blocking legitimate sharing</w:t>
      </w:r>
    </w:p>
    <w:p>
      <w:pPr>
        <w:pStyle w:val="ListBullet"/>
        <w:spacing w:after="80" w:line="252" w:lineRule="auto"/>
        <w:ind w:left="312" w:hanging="159"/>
      </w:pPr>
      <w:r>
        <w:rPr>
          <w:rFonts w:ascii="Arial" w:hAnsi="Arial"/>
          <w:b/>
          <w:color w:val="000000"/>
          <w:sz w:val="20"/>
        </w:rPr>
        <w:t xml:space="preserve">Hotel check in and KYC. </w:t>
      </w:r>
      <w:r>
        <w:rPr>
          <w:rFonts w:ascii="Arial" w:hAnsi="Arial"/>
          <w:b w:val="0"/>
          <w:color w:val="626C66"/>
          <w:sz w:val="20"/>
        </w:rPr>
        <w:t>Share an identity document while hiding fields the recipient does not need.</w:t>
      </w:r>
    </w:p>
    <w:p>
      <w:pPr>
        <w:pStyle w:val="ListBullet"/>
        <w:spacing w:after="80" w:line="252" w:lineRule="auto"/>
        <w:ind w:left="312" w:hanging="159"/>
      </w:pPr>
      <w:r>
        <w:rPr>
          <w:rFonts w:ascii="Arial" w:hAnsi="Arial"/>
          <w:b/>
          <w:color w:val="000000"/>
          <w:sz w:val="20"/>
        </w:rPr>
        <w:t xml:space="preserve">Payment disputes. </w:t>
      </w:r>
      <w:r>
        <w:rPr>
          <w:rFonts w:ascii="Arial" w:hAnsi="Arial"/>
          <w:b w:val="0"/>
          <w:color w:val="626C66"/>
          <w:sz w:val="20"/>
        </w:rPr>
        <w:t>Protect card and account details while keeping the evidence visible.</w:t>
      </w:r>
    </w:p>
    <w:p>
      <w:pPr>
        <w:pStyle w:val="ListBullet"/>
        <w:spacing w:after="80" w:line="252" w:lineRule="auto"/>
        <w:ind w:left="312" w:hanging="159"/>
      </w:pPr>
      <w:r>
        <w:rPr>
          <w:rFonts w:ascii="Arial" w:hAnsi="Arial"/>
          <w:b/>
          <w:color w:val="000000"/>
          <w:sz w:val="20"/>
        </w:rPr>
        <w:t xml:space="preserve">Medical coordination. </w:t>
      </w:r>
      <w:r>
        <w:rPr>
          <w:rFonts w:ascii="Arial" w:hAnsi="Arial"/>
          <w:b w:val="0"/>
          <w:color w:val="626C66"/>
          <w:sz w:val="20"/>
        </w:rPr>
        <w:t>Hide patient contact details while preserving the prescription context.</w:t>
      </w:r>
    </w:p>
    <w:p>
      <w:pPr>
        <w:pStyle w:val="ListBullet"/>
        <w:spacing w:after="80" w:line="252" w:lineRule="auto"/>
        <w:ind w:left="312" w:hanging="159"/>
      </w:pPr>
      <w:r>
        <w:rPr>
          <w:rFonts w:ascii="Arial" w:hAnsi="Arial"/>
          <w:b/>
          <w:color w:val="000000"/>
          <w:sz w:val="20"/>
        </w:rPr>
        <w:t xml:space="preserve">Business messaging. </w:t>
      </w:r>
      <w:r>
        <w:rPr>
          <w:rFonts w:ascii="Arial" w:hAnsi="Arial"/>
          <w:b w:val="0"/>
          <w:color w:val="626C66"/>
          <w:sz w:val="20"/>
        </w:rPr>
        <w:t>Reduce accidental exposure when invoices, receipts and screenshots move through WhatsApp Business.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000000"/>
          <w:sz w:val="26"/>
        </w:rPr>
        <w:t>Delivery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07"/>
        <w:gridCol w:w="3307"/>
        <w:gridCol w:w="3307"/>
      </w:tblGrid>
      <w:tr>
        <w:tc>
          <w:tcPr>
            <w:tcW w:type="dxa" w:w="1814"/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  <w:shd w:fill="171C19"/>
          </w:tcPr>
          <w:p>
            <w:pPr>
              <w:spacing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4706"/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  <w:shd w:fill="171C19"/>
          </w:tcPr>
          <w:p>
            <w:pPr>
              <w:spacing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Product result</w:t>
            </w:r>
          </w:p>
        </w:tc>
        <w:tc>
          <w:tcPr>
            <w:tcW w:type="dxa" w:w="2721"/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  <w:shd w:fill="171C19"/>
          </w:tcPr>
          <w:p>
            <w:pPr>
              <w:spacing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Acceptance evidence</w:t>
            </w:r>
          </w:p>
        </w:tc>
      </w:tr>
      <w:tr>
        <w:tc>
          <w:tcPr>
            <w:tcW w:type="dxa" w:w="1814"/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  <w:shd w:fill="FFFFFF"/>
          </w:tcPr>
          <w:p>
            <w:pPr>
              <w:spacing w:line="245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Current prototype</w:t>
            </w:r>
          </w:p>
        </w:tc>
        <w:tc>
          <w:tcPr>
            <w:tcW w:type="dxa" w:w="4706"/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  <w:shd w:fill="FFFFFF"/>
          </w:tcPr>
          <w:p>
            <w:pPr>
              <w:spacing w:line="245" w:lineRule="auto"/>
            </w:pPr>
            <w:r>
              <w:rPr>
                <w:rFonts w:ascii="Arial" w:hAnsi="Arial"/>
                <w:b w:val="0"/>
                <w:color w:val="626C66"/>
                <w:sz w:val="17"/>
              </w:rPr>
              <w:t>First send warning, local OCR and classification, full-region masking, gallery index</w:t>
            </w:r>
          </w:p>
        </w:tc>
        <w:tc>
          <w:tcPr>
            <w:tcW w:type="dxa" w:w="2721"/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  <w:shd w:fill="FFFFFF"/>
          </w:tcPr>
          <w:p>
            <w:pPr>
              <w:spacing w:line="245" w:lineRule="auto"/>
            </w:pPr>
            <w:r>
              <w:rPr>
                <w:rFonts w:ascii="Arial" w:hAnsi="Arial"/>
                <w:b w:val="0"/>
                <w:color w:val="626C66"/>
                <w:sz w:val="17"/>
              </w:rPr>
              <w:t>Physical device demo and offline manifest check</w:t>
            </w:r>
          </w:p>
        </w:tc>
      </w:tr>
      <w:tr>
        <w:tc>
          <w:tcPr>
            <w:tcW w:type="dxa" w:w="1814"/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  <w:shd w:fill="F3F6F4"/>
          </w:tcPr>
          <w:p>
            <w:pPr>
              <w:spacing w:line="245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Next milestone</w:t>
            </w:r>
          </w:p>
        </w:tc>
        <w:tc>
          <w:tcPr>
            <w:tcW w:type="dxa" w:w="4706"/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  <w:shd w:fill="F3F6F4"/>
          </w:tcPr>
          <w:p>
            <w:pPr>
              <w:spacing w:line="245" w:lineRule="auto"/>
            </w:pPr>
            <w:r>
              <w:rPr>
                <w:rFonts w:ascii="Arial" w:hAnsi="Arial"/>
                <w:b w:val="0"/>
                <w:color w:val="626C66"/>
                <w:sz w:val="17"/>
              </w:rPr>
              <w:t>Smart partial masks, cleaner Privacy Island, reliable vehicle plate localization</w:t>
            </w:r>
          </w:p>
        </w:tc>
        <w:tc>
          <w:tcPr>
            <w:tcW w:type="dxa" w:w="2721"/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  <w:shd w:fill="F3F6F4"/>
          </w:tcPr>
          <w:p>
            <w:pPr>
              <w:spacing w:line="245" w:lineRule="auto"/>
            </w:pPr>
            <w:r>
              <w:rPr>
                <w:rFonts w:ascii="Arial" w:hAnsi="Arial"/>
                <w:b w:val="0"/>
                <w:color w:val="626C66"/>
                <w:sz w:val="17"/>
              </w:rPr>
              <w:t>Aadhaar, card, invoice and plate test set</w:t>
            </w:r>
          </w:p>
        </w:tc>
      </w:tr>
      <w:tr>
        <w:tc>
          <w:tcPr>
            <w:tcW w:type="dxa" w:w="1814"/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  <w:shd w:fill="FFFFFF"/>
          </w:tcPr>
          <w:p>
            <w:pPr>
              <w:spacing w:line="245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Product hardening</w:t>
            </w:r>
          </w:p>
        </w:tc>
        <w:tc>
          <w:tcPr>
            <w:tcW w:type="dxa" w:w="4706"/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  <w:shd w:fill="FFFFFF"/>
          </w:tcPr>
          <w:p>
            <w:pPr>
              <w:spacing w:line="245" w:lineRule="auto"/>
            </w:pPr>
            <w:r>
              <w:rPr>
                <w:rFonts w:ascii="Arial" w:hAnsi="Arial"/>
                <w:b w:val="0"/>
                <w:color w:val="626C66"/>
                <w:sz w:val="17"/>
              </w:rPr>
              <w:t>Background indexing controls, audit history, battery and thermal safeguards</w:t>
            </w:r>
          </w:p>
        </w:tc>
        <w:tc>
          <w:tcPr>
            <w:tcW w:type="dxa" w:w="2721"/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  <w:shd w:fill="FFFFFF"/>
          </w:tcPr>
          <w:p>
            <w:pPr>
              <w:spacing w:line="245" w:lineRule="auto"/>
            </w:pPr>
            <w:r>
              <w:rPr>
                <w:rFonts w:ascii="Arial" w:hAnsi="Arial"/>
                <w:b w:val="0"/>
                <w:color w:val="626C66"/>
                <w:sz w:val="17"/>
              </w:rPr>
              <w:t>Long-run device tests and privacy review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/>
          <w:b/>
          <w:color w:val="000000"/>
          <w:sz w:val="26"/>
        </w:rPr>
        <w:t>Hackathon success criteria</w:t>
      </w:r>
    </w:p>
    <w:p>
      <w:pPr>
        <w:spacing w:before="0" w:after="160" w:line="264" w:lineRule="auto"/>
      </w:pPr>
      <w:r>
        <w:rPr>
          <w:rFonts w:ascii="Arial" w:hAnsi="Arial"/>
          <w:b w:val="0"/>
          <w:color w:val="000000"/>
          <w:sz w:val="21"/>
        </w:rPr>
        <w:t>A convincing demonstration shows the first send attempt stopping, a clear explanation of the detected risk, a protected copy reaching the Android sharesheet and continued operation with airplane mode enabled.</w:t>
      </w:r>
    </w:p>
    <w:p>
      <w:pPr>
        <w:spacing w:before="0" w:after="60" w:line="259" w:lineRule="auto"/>
      </w:pPr>
      <w:r>
        <w:rPr>
          <w:rFonts w:ascii="Arial" w:hAnsi="Arial"/>
          <w:b/>
          <w:color w:val="56705F"/>
          <w:sz w:val="22"/>
        </w:rPr>
        <w:t>Recommended direction</w:t>
      </w:r>
    </w:p>
    <w:p>
      <w:pPr>
        <w:spacing w:before="0" w:after="0" w:line="259" w:lineRule="auto"/>
      </w:pPr>
      <w:r>
        <w:rPr>
          <w:rFonts w:ascii="Arial" w:hAnsi="Arial"/>
          <w:b/>
          <w:color w:val="000000"/>
          <w:sz w:val="23"/>
        </w:rPr>
        <w:t>Continue with PrivacyGate. The idea addresses a visible everyday problem and the on-device constraint gives the prototype a clear technical identity.</w:t>
      </w:r>
    </w:p>
    <w:p>
      <w:r>
        <w:br w:type="page"/>
      </w:r>
    </w:p>
    <w:p>
      <w:pPr>
        <w:spacing w:before="0" w:after="60" w:line="259" w:lineRule="auto"/>
      </w:pPr>
      <w:r>
        <w:rPr>
          <w:rFonts w:ascii="Arial" w:hAnsi="Arial"/>
          <w:b/>
          <w:color w:val="56705F"/>
          <w:sz w:val="17"/>
        </w:rPr>
        <w:t>FUTURE SCOPE AND PRODUCT POTENTIAL</w:t>
      </w:r>
    </w:p>
    <w:p>
      <w:pPr>
        <w:pStyle w:val="Heading1"/>
        <w:spacing w:before="40" w:after="140"/>
      </w:pPr>
      <w:r>
        <w:rPr>
          <w:rFonts w:ascii="Arial" w:hAnsi="Arial"/>
          <w:b/>
          <w:color w:val="000000"/>
          <w:sz w:val="42"/>
        </w:rPr>
        <w:t>A privacy layer for every type of digital sharing</w:t>
      </w:r>
    </w:p>
    <w:p>
      <w:pPr>
        <w:spacing w:before="0" w:after="180" w:line="264" w:lineRule="auto"/>
      </w:pPr>
      <w:r>
        <w:rPr>
          <w:rFonts w:ascii="Arial" w:hAnsi="Arial"/>
          <w:b w:val="0"/>
          <w:color w:val="000000"/>
          <w:sz w:val="21"/>
        </w:rPr>
        <w:t>The current prototype focuses on still images and supported Android sharing flows. The same local detection, policy and masking pattern can grow into a broader privacy layer across communication and productivity apps.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07"/>
        <w:gridCol w:w="3307"/>
        <w:gridCol w:w="3307"/>
      </w:tblGrid>
      <w:tr>
        <w:tc>
          <w:tcPr>
            <w:tcW w:type="dxa" w:w="1928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shd w:fill="171C19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3402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shd w:fill="171C19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Examples</w:t>
            </w:r>
          </w:p>
        </w:tc>
        <w:tc>
          <w:tcPr>
            <w:tcW w:type="dxa" w:w="3969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shd w:fill="171C19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Expansion opportunity</w:t>
            </w:r>
          </w:p>
        </w:tc>
      </w:tr>
      <w:tr>
        <w:tc>
          <w:tcPr>
            <w:tcW w:type="dxa" w:w="1928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shd w:fill="FFFFFF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color w:val="000000"/>
                <w:sz w:val="15"/>
              </w:rPr>
              <w:t>Documents and files</w:t>
            </w:r>
          </w:p>
        </w:tc>
        <w:tc>
          <w:tcPr>
            <w:tcW w:type="dxa" w:w="3402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shd w:fill="FFFFFF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color w:val="626C66"/>
                <w:sz w:val="15"/>
              </w:rPr>
              <w:t>IDs, cards, invoices, prescriptions and PDFs</w:t>
            </w:r>
          </w:p>
        </w:tc>
        <w:tc>
          <w:tcPr>
            <w:tcW w:type="dxa" w:w="3969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shd w:fill="FFFFFF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color w:val="626C66"/>
                <w:sz w:val="15"/>
              </w:rPr>
              <w:t>Detect fields and create purpose-specific protected copies</w:t>
            </w:r>
          </w:p>
        </w:tc>
      </w:tr>
      <w:tr>
        <w:tc>
          <w:tcPr>
            <w:tcW w:type="dxa" w:w="1928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shd w:fill="F3F6F4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color w:val="000000"/>
                <w:sz w:val="15"/>
              </w:rPr>
              <w:t>Messages and screenshots</w:t>
            </w:r>
          </w:p>
        </w:tc>
        <w:tc>
          <w:tcPr>
            <w:tcW w:type="dxa" w:w="3402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shd w:fill="F3F6F4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color w:val="626C66"/>
                <w:sz w:val="15"/>
              </w:rPr>
              <w:t>Chat text, OTP screenshots and account conversations</w:t>
            </w:r>
          </w:p>
        </w:tc>
        <w:tc>
          <w:tcPr>
            <w:tcW w:type="dxa" w:w="3969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shd w:fill="F3F6F4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color w:val="626C66"/>
                <w:sz w:val="15"/>
              </w:rPr>
              <w:t>Warn before sharing secrets, contact details or credentials</w:t>
            </w:r>
          </w:p>
        </w:tc>
      </w:tr>
      <w:tr>
        <w:tc>
          <w:tcPr>
            <w:tcW w:type="dxa" w:w="1928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shd w:fill="FFFFFF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color w:val="000000"/>
                <w:sz w:val="15"/>
              </w:rPr>
              <w:t>Video and screen recordings</w:t>
            </w:r>
          </w:p>
        </w:tc>
        <w:tc>
          <w:tcPr>
            <w:tcW w:type="dxa" w:w="3402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shd w:fill="FFFFFF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color w:val="626C66"/>
                <w:sz w:val="15"/>
              </w:rPr>
              <w:t>Clips, Reels, Status videos and screen captures</w:t>
            </w:r>
          </w:p>
        </w:tc>
        <w:tc>
          <w:tcPr>
            <w:tcW w:type="dxa" w:w="3969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shd w:fill="FFFFFF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color w:val="626C66"/>
                <w:sz w:val="15"/>
              </w:rPr>
              <w:t>Track faces, plates and private regions across frames</w:t>
            </w:r>
          </w:p>
        </w:tc>
      </w:tr>
      <w:tr>
        <w:tc>
          <w:tcPr>
            <w:tcW w:type="dxa" w:w="1928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shd w:fill="F3F6F4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color w:val="000000"/>
                <w:sz w:val="15"/>
              </w:rPr>
              <w:t>Email</w:t>
            </w:r>
          </w:p>
        </w:tc>
        <w:tc>
          <w:tcPr>
            <w:tcW w:type="dxa" w:w="3402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shd w:fill="F3F6F4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color w:val="626C66"/>
                <w:sz w:val="15"/>
              </w:rPr>
              <w:t>Gmail, Outlook, email bodies and attachments</w:t>
            </w:r>
          </w:p>
        </w:tc>
        <w:tc>
          <w:tcPr>
            <w:tcW w:type="dxa" w:w="3969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shd w:fill="F3F6F4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color w:val="626C66"/>
                <w:sz w:val="15"/>
              </w:rPr>
              <w:t>Run a local preflight check before send or upload</w:t>
            </w:r>
          </w:p>
        </w:tc>
      </w:tr>
      <w:tr>
        <w:tc>
          <w:tcPr>
            <w:tcW w:type="dxa" w:w="1928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shd w:fill="FFFFFF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color w:val="000000"/>
                <w:sz w:val="15"/>
              </w:rPr>
              <w:t>Social and messaging</w:t>
            </w:r>
          </w:p>
        </w:tc>
        <w:tc>
          <w:tcPr>
            <w:tcW w:type="dxa" w:w="3402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shd w:fill="FFFFFF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color w:val="626C66"/>
                <w:sz w:val="15"/>
              </w:rPr>
              <w:t>WhatsApp, WhatsApp Business, Instagram, Messenger, Telegram and Signal</w:t>
            </w:r>
          </w:p>
        </w:tc>
        <w:tc>
          <w:tcPr>
            <w:tcW w:type="dxa" w:w="3969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shd w:fill="FFFFFF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color w:val="626C66"/>
                <w:sz w:val="15"/>
              </w:rPr>
              <w:t>Provide consistent protection through share targets and supported send flows</w:t>
            </w:r>
          </w:p>
        </w:tc>
      </w:tr>
      <w:tr>
        <w:tc>
          <w:tcPr>
            <w:tcW w:type="dxa" w:w="1928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shd w:fill="F3F6F4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color w:val="000000"/>
                <w:sz w:val="15"/>
              </w:rPr>
              <w:t>Work and cloud apps</w:t>
            </w:r>
          </w:p>
        </w:tc>
        <w:tc>
          <w:tcPr>
            <w:tcW w:type="dxa" w:w="3402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shd w:fill="F3F6F4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color w:val="626C66"/>
                <w:sz w:val="15"/>
              </w:rPr>
              <w:t>Teams, Slack, Drive, Photos and Files</w:t>
            </w:r>
          </w:p>
        </w:tc>
        <w:tc>
          <w:tcPr>
            <w:tcW w:type="dxa" w:w="3969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shd w:fill="F3F6F4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color w:val="626C66"/>
                <w:sz w:val="15"/>
              </w:rPr>
              <w:t>Apply personal or organization policies before content leaves the device</w:t>
            </w:r>
          </w:p>
        </w:tc>
      </w:tr>
      <w:tr>
        <w:tc>
          <w:tcPr>
            <w:tcW w:type="dxa" w:w="1928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shd w:fill="FFFFFF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color w:val="000000"/>
                <w:sz w:val="15"/>
              </w:rPr>
              <w:t>Audio and voice notes</w:t>
            </w:r>
          </w:p>
        </w:tc>
        <w:tc>
          <w:tcPr>
            <w:tcW w:type="dxa" w:w="3402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shd w:fill="FFFFFF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color w:val="626C66"/>
                <w:sz w:val="15"/>
              </w:rPr>
              <w:t>Voice messages and locally generated transcripts</w:t>
            </w:r>
          </w:p>
        </w:tc>
        <w:tc>
          <w:tcPr>
            <w:tcW w:type="dxa" w:w="3969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shd w:fill="FFFFFF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color w:val="626C66"/>
                <w:sz w:val="15"/>
              </w:rPr>
              <w:t>Detect spoken personal data, passwords and financial details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/>
          <w:b/>
          <w:color w:val="000000"/>
          <w:sz w:val="26"/>
        </w:rPr>
        <w:t>Long-term opportunity</w:t>
      </w:r>
    </w:p>
    <w:p>
      <w:pPr>
        <w:pStyle w:val="ListBullet"/>
        <w:spacing w:after="80" w:line="252" w:lineRule="auto"/>
        <w:ind w:left="312" w:hanging="159"/>
      </w:pPr>
      <w:r>
        <w:rPr>
          <w:rFonts w:ascii="Arial" w:hAnsi="Arial"/>
          <w:b/>
          <w:color w:val="000000"/>
          <w:sz w:val="20"/>
        </w:rPr>
        <w:t xml:space="preserve">Consumer privacy assistant. </w:t>
      </w:r>
      <w:r>
        <w:rPr>
          <w:rFonts w:ascii="Arial" w:hAnsi="Arial"/>
          <w:b w:val="0"/>
          <w:color w:val="626C66"/>
          <w:sz w:val="20"/>
        </w:rPr>
        <w:t>One protection policy across personal photos, conversations, email and social sharing.</w:t>
      </w:r>
    </w:p>
    <w:p>
      <w:pPr>
        <w:pStyle w:val="ListBullet"/>
        <w:spacing w:after="80" w:line="252" w:lineRule="auto"/>
        <w:ind w:left="312" w:hanging="159"/>
      </w:pPr>
      <w:r>
        <w:rPr>
          <w:rFonts w:ascii="Arial" w:hAnsi="Arial"/>
          <w:b/>
          <w:color w:val="000000"/>
          <w:sz w:val="20"/>
        </w:rPr>
        <w:t xml:space="preserve">Business and regulated use. </w:t>
      </w:r>
      <w:r>
        <w:rPr>
          <w:rFonts w:ascii="Arial" w:hAnsi="Arial"/>
          <w:b w:val="0"/>
          <w:color w:val="626C66"/>
          <w:sz w:val="20"/>
        </w:rPr>
        <w:t>Configurable controls for healthcare, finance, field sales and customer-support teams.</w:t>
      </w:r>
    </w:p>
    <w:p>
      <w:pPr>
        <w:pStyle w:val="ListBullet"/>
        <w:spacing w:after="80" w:line="252" w:lineRule="auto"/>
        <w:ind w:left="312" w:hanging="159"/>
      </w:pPr>
      <w:r>
        <w:rPr>
          <w:rFonts w:ascii="Arial" w:hAnsi="Arial"/>
          <w:b/>
          <w:color w:val="000000"/>
          <w:sz w:val="20"/>
        </w:rPr>
        <w:t xml:space="preserve">Platform capability. </w:t>
      </w:r>
      <w:r>
        <w:rPr>
          <w:rFonts w:ascii="Arial" w:hAnsi="Arial"/>
          <w:b w:val="0"/>
          <w:color w:val="626C66"/>
          <w:sz w:val="20"/>
        </w:rPr>
        <w:t>An Android SDK or system-level share service that other apps can use without uploading private content.</w:t>
      </w:r>
    </w:p>
    <w:p>
      <w:pPr>
        <w:spacing w:before="0" w:after="60" w:line="259" w:lineRule="auto"/>
      </w:pPr>
      <w:r>
        <w:rPr>
          <w:rFonts w:ascii="Arial" w:hAnsi="Arial"/>
          <w:b/>
          <w:color w:val="56705F"/>
          <w:sz w:val="21"/>
        </w:rPr>
        <w:t>Potential direction</w:t>
      </w:r>
    </w:p>
    <w:p>
      <w:pPr>
        <w:spacing w:before="0" w:after="0" w:line="259" w:lineRule="auto"/>
      </w:pPr>
      <w:r>
        <w:rPr>
          <w:rFonts w:ascii="Arial" w:hAnsi="Arial"/>
          <w:b/>
          <w:color w:val="000000"/>
          <w:sz w:val="22"/>
        </w:rPr>
        <w:t>PrivacyGate can evolve from a hackathon image-safety feature into an on-device privacy companion that protects content wherever people communicate.</w:t>
      </w:r>
    </w:p>
    <w:sectPr w:rsidR="00FC693F" w:rsidRPr="0006063C" w:rsidSect="00034616">
      <w:footerReference w:type="default" r:id="rId9"/>
      <w:pgSz w:w="11906" w:h="16838"/>
      <w:pgMar w:top="879" w:right="992" w:bottom="822" w:left="992" w:header="72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color w:val="77817B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PrivacyGate Project Overview</dc:title>
  <dc:subject>Problem statement, solution, architecture, detection categories, delivery plan and future scope</dc:subject>
  <dc:creator>PrivacyGate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