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jc w:val="center"/>
      </w:pPr>
      <w:r>
        <w:rPr>
          <w:rFonts w:ascii="Calibri" w:hAnsi="Calibri"/>
          <w:b/>
          <w:color w:val="148A8A"/>
          <w:sz w:val="22"/>
        </w:rPr>
        <w:t>PROJECT BOOTSTRAP GUIDE</w:t>
      </w:r>
    </w:p>
    <w:p>
      <w:pPr>
        <w:spacing w:before="240" w:after="240"/>
        <w:jc w:val="center"/>
      </w:pPr>
      <w:r>
        <w:rPr>
          <w:rFonts w:ascii="Calibri" w:hAnsi="Calibri"/>
          <w:b/>
          <w:color w:val="17324D"/>
          <w:sz w:val="60"/>
        </w:rPr>
        <w:t>Image Hardening Factory</w:t>
      </w:r>
    </w:p>
    <w:p>
      <w:pPr>
        <w:spacing w:after="560"/>
        <w:jc w:val="center"/>
      </w:pPr>
      <w:r>
        <w:rPr>
          <w:rFonts w:ascii="Calibri" w:hAnsi="Calibri"/>
          <w:color w:val="5F6B76"/>
          <w:sz w:val="28"/>
        </w:rPr>
        <w:t>Design, delivery flow, implementation milestones, and Day 2 operations</w:t>
      </w:r>
    </w:p>
    <w:p>
      <w:pPr>
        <w:spacing w:after="800"/>
        <w:jc w:val="center"/>
      </w:pPr>
      <w:r>
        <w:rPr>
          <w:rFonts w:ascii="Calibri" w:hAnsi="Calibri"/>
          <w:i/>
          <w:color w:val="5F6B76"/>
          <w:sz w:val="21"/>
        </w:rPr>
        <w:t>A Confluence-importable introduction for platform engineering, security, product image maintainers, release authorities, and operations</w:t>
      </w:r>
    </w:p>
    <w:p>
      <w:pPr>
        <w:spacing w:after="120"/>
        <w:jc w:val="center"/>
      </w:pPr>
      <w:r>
        <w:rPr>
          <w:rFonts w:ascii="Calibri" w:hAnsi="Calibri"/>
          <w:b/>
          <w:color w:val="17324D"/>
          <w:sz w:val="20"/>
        </w:rPr>
        <w:t>Version 1.0  |  14 August 2026</w:t>
      </w:r>
    </w:p>
    <w:p>
      <w:pPr>
        <w:jc w:val="center"/>
      </w:pPr>
      <w:r>
        <w:rPr>
          <w:rFonts w:ascii="Calibri" w:hAnsi="Calibri"/>
          <w:color w:val="5F6B76"/>
          <w:sz w:val="19"/>
        </w:rPr>
        <w:t>Starter catalog: UBI 9.8 production lineage, UBI 10.2 canary, Atlassian Data Center LTS images</w:t>
      </w:r>
    </w:p>
    <w:p>
      <w:r>
        <w:br w:type="page"/>
      </w:r>
    </w:p>
    <w:p>
      <w:pPr>
        <w:pStyle w:val="Heading1"/>
      </w:pPr>
      <w:r>
        <w:t>How to use this guide</w:t>
      </w:r>
    </w:p>
    <w:p>
      <w:r>
        <w:t>This guide is the shared bootstrap narrative for the Image Hardening Factory. It explains why the factory exists, how work crosses trust boundaries, how the ten implementation milestones fit together, and how the service is operated after launch. It complements the executable starter repository; the repository remains authoritative for code, catalog pins, policy, and scripts.</w:t>
      </w:r>
    </w:p>
    <w:p>
      <w:pPr>
        <w:spacing w:before="120" w:after="180"/>
        <w:ind w:left="230" w:right="230"/>
        <w:shd w:fill="E9F6F1"/>
        <w:pBdr>
          <w:left w:val="single" w:sz="20" w:color="2B7A4B"/>
        </w:pBdr>
      </w:pPr>
      <w:r>
        <w:rPr>
          <w:rFonts w:ascii="Calibri" w:hAnsi="Calibri"/>
          <w:b/>
          <w:color w:val="17324D"/>
        </w:rPr>
        <w:t xml:space="preserve">Primary outcome: </w:t>
      </w:r>
      <w:r>
        <w:rPr>
          <w:rFonts w:ascii="Calibri" w:hAnsi="Calibri"/>
          <w:color w:val="17202A"/>
        </w:rPr>
        <w:t>A repeatable, offline-capable path that converts pinned Repo One sources into internally built, tested, signed, policy-approved OCI images without depending on the Iron Bank platform at runtime.</w:t>
      </w:r>
    </w:p>
    <w:p>
      <w:pPr>
        <w:pStyle w:val="Heading2"/>
      </w:pPr>
      <w:r>
        <w:t>Confluence compatibility</w:t>
      </w:r>
    </w:p>
    <w:p>
      <w:pPr>
        <w:pStyle w:val="ListBullet"/>
      </w:pPr>
      <w:r>
        <w:t>The document uses real Word Heading 1-3 styles so Confluence can create a navigable page hierarchy.</w:t>
      </w:r>
    </w:p>
    <w:p>
      <w:pPr>
        <w:pStyle w:val="ListBullet"/>
      </w:pPr>
      <w:r>
        <w:t>Diagrams are embedded inline as high-resolution PNG files; there is no Mermaid, SmartArt, floating object, or external image dependency.</w:t>
      </w:r>
    </w:p>
    <w:p>
      <w:pPr>
        <w:pStyle w:val="ListBullet"/>
      </w:pPr>
      <w:r>
        <w:t>Tables are simple fixed-width grids with a single header row and no merged layout cells.</w:t>
      </w:r>
    </w:p>
    <w:p>
      <w:pPr>
        <w:pStyle w:val="ListBullet"/>
      </w:pPr>
      <w:r>
        <w:t>Hyperlinks are ordinary external links. Command examples use plain preformatted paragraphs.</w:t>
      </w:r>
    </w:p>
    <w:p>
      <w:pPr>
        <w:pStyle w:val="ListBullet"/>
      </w:pPr>
      <w:r>
        <w:t>After import, replace this page's static contents list with the Confluence Table of Contents macro and verify image alt text.</w:t>
      </w:r>
    </w:p>
    <w:p>
      <w:pPr>
        <w:pStyle w:val="Heading2"/>
      </w:pPr>
      <w:r>
        <w:t>Contents</w:t>
      </w:r>
    </w:p>
    <w:p>
      <w:pPr>
        <w:pStyle w:val="ListBullet"/>
      </w:pPr>
      <w:r>
        <w:t>Purpose, scope, and design principles</w:t>
      </w:r>
    </w:p>
    <w:p>
      <w:pPr>
        <w:pStyle w:val="ListBullet"/>
      </w:pPr>
      <w:r>
        <w:t>Architecture, trust zones, and dependency model</w:t>
      </w:r>
    </w:p>
    <w:p>
      <w:pPr>
        <w:pStyle w:val="ListBullet"/>
      </w:pPr>
      <w:r>
        <w:t>End-to-end process and release evidence</w:t>
      </w:r>
    </w:p>
    <w:p>
      <w:pPr>
        <w:pStyle w:val="ListBullet"/>
      </w:pPr>
      <w:r>
        <w:t>Ten implementation milestones and launch sequence</w:t>
      </w:r>
    </w:p>
    <w:p>
      <w:pPr>
        <w:pStyle w:val="ListBullet"/>
      </w:pPr>
      <w:r>
        <w:t>Roles, controls, and AI operating boundaries</w:t>
      </w:r>
    </w:p>
    <w:p>
      <w:pPr>
        <w:pStyle w:val="ListBullet"/>
      </w:pPr>
      <w:r>
        <w:t>Day 2 cadence, runbooks, metrics, and support model</w:t>
      </w:r>
    </w:p>
    <w:p>
      <w:pPr>
        <w:pStyle w:val="ListBullet"/>
      </w:pPr>
      <w:r>
        <w:t>Confluence publishing checklist and source references</w:t>
      </w:r>
    </w:p>
    <w:p>
      <w:pPr>
        <w:spacing w:before="120" w:after="180"/>
        <w:ind w:left="230" w:right="230"/>
        <w:shd w:fill="FFF7E6"/>
        <w:pBdr>
          <w:left w:val="single" w:sz="20" w:color="A06A00"/>
        </w:pBdr>
      </w:pPr>
      <w:r>
        <w:rPr>
          <w:rFonts w:ascii="Calibri" w:hAnsi="Calibri"/>
          <w:b/>
          <w:color w:val="17324D"/>
        </w:rPr>
        <w:t>Status: The starter repository is deployable and locally validated. Environment binding remains for GitLab, Artifactory, Cosign/Artifactory, protected runners, certificates, U.S.-person approval groups, and production integration tests.</w:t>
      </w:r>
      <w:r>
        <w:rPr>
          <w:rFonts w:ascii="Calibri" w:hAnsi="Calibri"/>
          <w:color w:val="17202A"/>
        </w:rPr>
      </w:r>
    </w:p>
    <w:p>
      <w:pPr>
        <w:pStyle w:val="Heading1"/>
      </w:pPr>
      <w:r>
        <w:t>1. Purpose and intended outcomes</w:t>
      </w:r>
    </w:p>
    <w:p>
      <w:r>
        <w:t>The Image Hardening Factory separates source intake, offline build, evidence generation, signing, and promotion into independently controlled stages. It reuses Repo One content as upstream source guidance while replacing Iron Bank platform services with internal Artifactory and GitLab, mirrored community tooling, Artifactory-compatible Cosign signing, and a protected CrowdStrike FCS assessment runner.</w:t>
      </w:r>
    </w:p>
    <w:p>
      <w:pPr>
        <w:pStyle w:val="Heading2"/>
      </w:pPr>
      <w:r>
        <w:t>What the factory delivers</w:t>
      </w:r>
    </w:p>
    <w:p>
      <w:pPr>
        <w:pStyle w:val="ListBullet"/>
      </w:pPr>
      <w:r>
        <w:rPr>
          <w:rFonts w:ascii="Calibri" w:hAnsi="Calibri"/>
          <w:b/>
          <w:color w:val="17324D"/>
        </w:rPr>
        <w:t xml:space="preserve">Reproducible inputs. </w:t>
      </w:r>
      <w:r>
        <w:rPr>
          <w:rFonts w:ascii="Calibri" w:hAnsi="Calibri"/>
          <w:color w:val="17202A"/>
        </w:rPr>
        <w:t>Full commit pins, content checksums, OCI digests, RPM snapshot IDs, and toolchain digests are captured in an immutable resource lock.</w:t>
      </w:r>
    </w:p>
    <w:p>
      <w:pPr>
        <w:pStyle w:val="ListBullet"/>
      </w:pPr>
      <w:r>
        <w:rPr>
          <w:rFonts w:ascii="Calibri" w:hAnsi="Calibri"/>
          <w:b/>
          <w:color w:val="17324D"/>
        </w:rPr>
        <w:t xml:space="preserve">Offline builds. </w:t>
      </w:r>
      <w:r>
        <w:rPr>
          <w:rFonts w:ascii="Calibri" w:hAnsi="Calibri"/>
          <w:color w:val="17202A"/>
        </w:rPr>
        <w:t>Build jobs reach only internal Git, immutable Artifactory repositories, and the GitLab coordinator.</w:t>
      </w:r>
    </w:p>
    <w:p>
      <w:pPr>
        <w:pStyle w:val="ListBullet"/>
      </w:pPr>
      <w:r>
        <w:rPr>
          <w:rFonts w:ascii="Calibri" w:hAnsi="Calibri"/>
          <w:b/>
          <w:color w:val="17324D"/>
        </w:rPr>
        <w:t xml:space="preserve">Evidence-first releases. </w:t>
      </w:r>
      <w:r>
        <w:rPr>
          <w:rFonts w:ascii="Calibri" w:hAnsi="Calibri"/>
          <w:color w:val="17202A"/>
        </w:rPr>
        <w:t>Every candidate carries SBOM, vulnerability, compliance, test, provenance, gate, and approval evidence tied to the same digest.</w:t>
      </w:r>
    </w:p>
    <w:p>
      <w:pPr>
        <w:pStyle w:val="ListBullet"/>
      </w:pPr>
      <w:r>
        <w:rPr>
          <w:rFonts w:ascii="Calibri" w:hAnsi="Calibri"/>
          <w:b/>
          <w:color w:val="17324D"/>
        </w:rPr>
        <w:t xml:space="preserve">Separated authority. </w:t>
      </w:r>
      <w:r>
        <w:rPr>
          <w:rFonts w:ascii="Calibri" w:hAnsi="Calibri"/>
          <w:color w:val="17202A"/>
        </w:rPr>
        <w:t>Build, import, sign, and promote credentials are held by different protected jobs and runner classes.</w:t>
      </w:r>
    </w:p>
    <w:p>
      <w:pPr>
        <w:pStyle w:val="ListBullet"/>
      </w:pPr>
      <w:r>
        <w:rPr>
          <w:rFonts w:ascii="Calibri" w:hAnsi="Calibri"/>
          <w:b/>
          <w:color w:val="17324D"/>
        </w:rPr>
        <w:t xml:space="preserve">Digest-preserving promotion. </w:t>
      </w:r>
      <w:r>
        <w:rPr>
          <w:rFonts w:ascii="Calibri" w:hAnsi="Calibri"/>
          <w:color w:val="17202A"/>
        </w:rPr>
        <w:t>Commercial, Gov1, and Gov2 pull the exact approved digest and its OCI referrer closure; they do not rebuild.</w:t>
      </w:r>
    </w:p>
    <w:p>
      <w:pPr>
        <w:pStyle w:val="ListBullet"/>
      </w:pPr>
      <w:r>
        <w:rPr>
          <w:rFonts w:ascii="Calibri" w:hAnsi="Calibri"/>
          <w:b/>
          <w:color w:val="17324D"/>
        </w:rPr>
        <w:t xml:space="preserve">Guarded automation. </w:t>
      </w:r>
      <w:r>
        <w:rPr>
          <w:rFonts w:ascii="Calibri" w:hAnsi="Calibri"/>
          <w:color w:val="17202A"/>
        </w:rPr>
        <w:t>AI may summarize evidence or propose a patch, but deterministic tools and humans retain decision and release authority.</w:t>
      </w:r>
    </w:p>
    <w:p>
      <w:pPr>
        <w:pStyle w:val="Heading2"/>
      </w:pPr>
      <w:r>
        <w:t>Non-goals</w:t>
      </w:r>
    </w:p>
    <w:p>
      <w:pPr>
        <w:pStyle w:val="ListBullet"/>
      </w:pPr>
      <w:r>
        <w:t>Re-creating the Registry1/Iron Bank platform, VAT workflow, or external Harbor dependency.</w:t>
      </w:r>
    </w:p>
    <w:p>
      <w:pPr>
        <w:pStyle w:val="ListBullet"/>
      </w:pPr>
      <w:r>
        <w:t>Allowing public internet access from build, offline-scan, test, sign, or promotion jobs. The protected FCS runner is the sole scan-egress exception and may reach only the selected Falcon region.</w:t>
      </w:r>
    </w:p>
    <w:p>
      <w:pPr>
        <w:pStyle w:val="ListBullet"/>
      </w:pPr>
      <w:r>
        <w:t>Promoting mutable tags as evidence identity; the digest is the release identity.</w:t>
      </w:r>
    </w:p>
    <w:p>
      <w:pPr>
        <w:pStyle w:val="ListBullet"/>
      </w:pPr>
      <w:r>
        <w:t>Bundling the legacy Helm content from the Repo One source repositories into this image pipeline.</w:t>
      </w:r>
    </w:p>
    <w:p>
      <w:pPr>
        <w:pStyle w:val="ListBullet"/>
      </w:pPr>
      <w:r>
        <w:t>Allowing an AI agent to approve exceptions, edit policy/VEX, sign, publish, or promote.</w:t>
      </w:r>
    </w:p>
    <w:p>
      <w:pPr>
        <w:pStyle w:val="Heading2"/>
      </w:pPr>
      <w:r>
        <w:t>Initial product scope</w:t>
      </w:r>
    </w:p>
    <w:tbl>
      <w:tblPr>
        <w:tblStyle w:val="TableGrid"/>
        <w:tblW w:type="dxa" w:w="9360"/>
        <w:jc w:val="left"/>
        <w:tblLayout w:type="fixed"/>
        <w:tblLook w:firstColumn="1" w:firstRow="1" w:lastColumn="0" w:lastRow="0" w:noHBand="0" w:noVBand="1" w:val="04A0"/>
        <w:tblInd w:w="120" w:type="dxa"/>
      </w:tblPr>
      <w:tblGrid>
        <w:gridCol w:w="2088"/>
        <w:gridCol w:w="1512"/>
        <w:gridCol w:w="1224"/>
        <w:gridCol w:w="4536"/>
      </w:tblGrid>
      <w:tr>
        <w:trPr>
          <w:tblHeader w:val="true"/>
        </w:trPr>
        <w:tc>
          <w:tcPr>
            <w:tcW w:type="dxa" w:w="2088"/>
            <w:shd w:fill="E8EEF5"/>
            <w:tcMar>
              <w:top w:w="90" w:type="dxa"/>
              <w:start w:w="120" w:type="dxa"/>
              <w:bottom w:w="90" w:type="dxa"/>
              <w:end w:w="120" w:type="dxa"/>
            </w:tcMar>
            <w:vAlign w:val="center"/>
          </w:tcPr>
          <w:p>
            <w:pPr>
              <w:spacing w:after="0"/>
            </w:pPr>
            <w:r>
              <w:rPr>
                <w:b/>
                <w:color w:val="17324D"/>
                <w:sz w:val="18"/>
              </w:rPr>
              <w:t>Image</w:t>
            </w:r>
          </w:p>
        </w:tc>
        <w:tc>
          <w:tcPr>
            <w:tcW w:type="dxa" w:w="1512"/>
            <w:shd w:fill="E8EEF5"/>
            <w:tcMar>
              <w:top w:w="90" w:type="dxa"/>
              <w:start w:w="120" w:type="dxa"/>
              <w:bottom w:w="90" w:type="dxa"/>
              <w:end w:w="120" w:type="dxa"/>
            </w:tcMar>
            <w:vAlign w:val="center"/>
          </w:tcPr>
          <w:p>
            <w:pPr>
              <w:spacing w:after="0"/>
            </w:pPr>
            <w:r>
              <w:rPr>
                <w:b/>
                <w:color w:val="17324D"/>
                <w:sz w:val="18"/>
              </w:rPr>
              <w:t>Starter pin</w:t>
            </w:r>
          </w:p>
        </w:tc>
        <w:tc>
          <w:tcPr>
            <w:tcW w:type="dxa" w:w="1224"/>
            <w:shd w:fill="E8EEF5"/>
            <w:tcMar>
              <w:top w:w="90" w:type="dxa"/>
              <w:start w:w="120" w:type="dxa"/>
              <w:bottom w:w="90" w:type="dxa"/>
              <w:end w:w="120" w:type="dxa"/>
            </w:tcMar>
            <w:vAlign w:val="center"/>
          </w:tcPr>
          <w:p>
            <w:pPr>
              <w:spacing w:after="0"/>
            </w:pPr>
            <w:r>
              <w:rPr>
                <w:b/>
                <w:color w:val="17324D"/>
                <w:sz w:val="18"/>
              </w:rPr>
              <w:t>Track</w:t>
            </w:r>
          </w:p>
        </w:tc>
        <w:tc>
          <w:tcPr>
            <w:tcW w:type="dxa" w:w="4536"/>
            <w:shd w:fill="E8EEF5"/>
            <w:tcMar>
              <w:top w:w="90" w:type="dxa"/>
              <w:start w:w="120" w:type="dxa"/>
              <w:bottom w:w="90" w:type="dxa"/>
              <w:end w:w="120" w:type="dxa"/>
            </w:tcMar>
            <w:vAlign w:val="center"/>
          </w:tcPr>
          <w:p>
            <w:pPr>
              <w:spacing w:after="0"/>
            </w:pPr>
            <w:r>
              <w:rPr>
                <w:b/>
                <w:color w:val="17324D"/>
                <w:sz w:val="18"/>
              </w:rPr>
              <w:t>Dependency / intent</w:t>
            </w:r>
          </w:p>
        </w:tc>
      </w:tr>
      <w:tr>
        <w:tc>
          <w:tcPr>
            <w:tcW w:type="dxa" w:w="2088"/>
            <w:tcMar>
              <w:top w:w="90" w:type="dxa"/>
              <w:start w:w="120" w:type="dxa"/>
              <w:bottom w:w="90" w:type="dxa"/>
              <w:end w:w="120" w:type="dxa"/>
            </w:tcMar>
            <w:vAlign w:val="center"/>
          </w:tcPr>
          <w:p>
            <w:pPr>
              <w:spacing w:after="0" w:line="259" w:lineRule="auto"/>
            </w:pPr>
            <w:r>
              <w:rPr>
                <w:color w:val="17202A"/>
                <w:sz w:val="18"/>
              </w:rPr>
              <w:t>ubi9-minimal</w:t>
            </w:r>
          </w:p>
        </w:tc>
        <w:tc>
          <w:tcPr>
            <w:tcW w:type="dxa" w:w="1512"/>
            <w:tcMar>
              <w:top w:w="90" w:type="dxa"/>
              <w:start w:w="120" w:type="dxa"/>
              <w:bottom w:w="90" w:type="dxa"/>
              <w:end w:w="120" w:type="dxa"/>
            </w:tcMar>
            <w:vAlign w:val="center"/>
          </w:tcPr>
          <w:p>
            <w:pPr>
              <w:spacing w:after="0" w:line="259" w:lineRule="auto"/>
            </w:pPr>
            <w:r>
              <w:rPr>
                <w:color w:val="17202A"/>
                <w:sz w:val="18"/>
              </w:rPr>
              <w:t>9.8</w:t>
            </w:r>
          </w:p>
        </w:tc>
        <w:tc>
          <w:tcPr>
            <w:tcW w:type="dxa" w:w="1224"/>
            <w:tcMar>
              <w:top w:w="90" w:type="dxa"/>
              <w:start w:w="120" w:type="dxa"/>
              <w:bottom w:w="90" w:type="dxa"/>
              <w:end w:w="120" w:type="dxa"/>
            </w:tcMar>
            <w:vAlign w:val="center"/>
          </w:tcPr>
          <w:p>
            <w:pPr>
              <w:spacing w:after="0" w:line="259" w:lineRule="auto"/>
            </w:pPr>
            <w:r>
              <w:rPr>
                <w:color w:val="17202A"/>
                <w:sz w:val="18"/>
              </w:rPr>
              <w:t>Release</w:t>
            </w:r>
          </w:p>
        </w:tc>
        <w:tc>
          <w:tcPr>
            <w:tcW w:type="dxa" w:w="4536"/>
            <w:tcMar>
              <w:top w:w="90" w:type="dxa"/>
              <w:start w:w="120" w:type="dxa"/>
              <w:bottom w:w="90" w:type="dxa"/>
              <w:end w:w="120" w:type="dxa"/>
            </w:tcMar>
            <w:vAlign w:val="center"/>
          </w:tcPr>
          <w:p>
            <w:pPr>
              <w:spacing w:after="0" w:line="259" w:lineRule="auto"/>
            </w:pPr>
            <w:r>
              <w:rPr>
                <w:color w:val="17202A"/>
                <w:sz w:val="18"/>
              </w:rPr>
              <w:t>Active hardened base for the Atlassian lineage</w:t>
            </w:r>
          </w:p>
        </w:tc>
      </w:tr>
      <w:tr>
        <w:tc>
          <w:tcPr>
            <w:tcW w:type="dxa" w:w="2088"/>
            <w:shd w:fill="FAFBFC"/>
            <w:tcMar>
              <w:top w:w="90" w:type="dxa"/>
              <w:start w:w="120" w:type="dxa"/>
              <w:bottom w:w="90" w:type="dxa"/>
              <w:end w:w="120" w:type="dxa"/>
            </w:tcMar>
            <w:vAlign w:val="center"/>
          </w:tcPr>
          <w:p>
            <w:pPr>
              <w:spacing w:after="0" w:line="259" w:lineRule="auto"/>
            </w:pPr>
            <w:r>
              <w:rPr>
                <w:color w:val="17202A"/>
                <w:sz w:val="18"/>
              </w:rPr>
              <w:t>bitbucket-lts</w:t>
            </w:r>
          </w:p>
        </w:tc>
        <w:tc>
          <w:tcPr>
            <w:tcW w:type="dxa" w:w="1512"/>
            <w:shd w:fill="FAFBFC"/>
            <w:tcMar>
              <w:top w:w="90" w:type="dxa"/>
              <w:start w:w="120" w:type="dxa"/>
              <w:bottom w:w="90" w:type="dxa"/>
              <w:end w:w="120" w:type="dxa"/>
            </w:tcMar>
            <w:vAlign w:val="center"/>
          </w:tcPr>
          <w:p>
            <w:pPr>
              <w:spacing w:after="0" w:line="259" w:lineRule="auto"/>
            </w:pPr>
            <w:r>
              <w:rPr>
                <w:color w:val="17202A"/>
                <w:sz w:val="18"/>
              </w:rPr>
              <w:t>10.2.6</w:t>
            </w:r>
          </w:p>
        </w:tc>
        <w:tc>
          <w:tcPr>
            <w:tcW w:type="dxa" w:w="1224"/>
            <w:shd w:fill="FAFBFC"/>
            <w:tcMar>
              <w:top w:w="90" w:type="dxa"/>
              <w:start w:w="120" w:type="dxa"/>
              <w:bottom w:w="90" w:type="dxa"/>
              <w:end w:w="120" w:type="dxa"/>
            </w:tcMar>
            <w:vAlign w:val="center"/>
          </w:tcPr>
          <w:p>
            <w:pPr>
              <w:spacing w:after="0" w:line="259" w:lineRule="auto"/>
            </w:pPr>
            <w:r>
              <w:rPr>
                <w:color w:val="17202A"/>
                <w:sz w:val="18"/>
              </w:rPr>
              <w:t>Release</w:t>
            </w:r>
          </w:p>
        </w:tc>
        <w:tc>
          <w:tcPr>
            <w:tcW w:type="dxa" w:w="4536"/>
            <w:shd w:fill="FAFBFC"/>
            <w:tcMar>
              <w:top w:w="90" w:type="dxa"/>
              <w:start w:w="120" w:type="dxa"/>
              <w:bottom w:w="90" w:type="dxa"/>
              <w:end w:w="120" w:type="dxa"/>
            </w:tcMar>
            <w:vAlign w:val="center"/>
          </w:tcPr>
          <w:p>
            <w:pPr>
              <w:spacing w:after="0" w:line="259" w:lineRule="auto"/>
            </w:pPr>
            <w:r>
              <w:rPr>
                <w:color w:val="17202A"/>
                <w:sz w:val="18"/>
              </w:rPr>
              <w:t>Depends on the approved UBI 9 digest</w:t>
            </w:r>
          </w:p>
        </w:tc>
      </w:tr>
      <w:tr>
        <w:tc>
          <w:tcPr>
            <w:tcW w:type="dxa" w:w="2088"/>
            <w:tcMar>
              <w:top w:w="90" w:type="dxa"/>
              <w:start w:w="120" w:type="dxa"/>
              <w:bottom w:w="90" w:type="dxa"/>
              <w:end w:w="120" w:type="dxa"/>
            </w:tcMar>
            <w:vAlign w:val="center"/>
          </w:tcPr>
          <w:p>
            <w:pPr>
              <w:spacing w:after="0" w:line="259" w:lineRule="auto"/>
            </w:pPr>
            <w:r>
              <w:rPr>
                <w:color w:val="17202A"/>
                <w:sz w:val="18"/>
              </w:rPr>
              <w:t>confluence-lts</w:t>
            </w:r>
          </w:p>
        </w:tc>
        <w:tc>
          <w:tcPr>
            <w:tcW w:type="dxa" w:w="1512"/>
            <w:tcMar>
              <w:top w:w="90" w:type="dxa"/>
              <w:start w:w="120" w:type="dxa"/>
              <w:bottom w:w="90" w:type="dxa"/>
              <w:end w:w="120" w:type="dxa"/>
            </w:tcMar>
            <w:vAlign w:val="center"/>
          </w:tcPr>
          <w:p>
            <w:pPr>
              <w:spacing w:after="0" w:line="259" w:lineRule="auto"/>
            </w:pPr>
            <w:r>
              <w:rPr>
                <w:color w:val="17202A"/>
                <w:sz w:val="18"/>
              </w:rPr>
              <w:t>10.2.15</w:t>
            </w:r>
          </w:p>
        </w:tc>
        <w:tc>
          <w:tcPr>
            <w:tcW w:type="dxa" w:w="1224"/>
            <w:tcMar>
              <w:top w:w="90" w:type="dxa"/>
              <w:start w:w="120" w:type="dxa"/>
              <w:bottom w:w="90" w:type="dxa"/>
              <w:end w:w="120" w:type="dxa"/>
            </w:tcMar>
            <w:vAlign w:val="center"/>
          </w:tcPr>
          <w:p>
            <w:pPr>
              <w:spacing w:after="0" w:line="259" w:lineRule="auto"/>
            </w:pPr>
            <w:r>
              <w:rPr>
                <w:color w:val="17202A"/>
                <w:sz w:val="18"/>
              </w:rPr>
              <w:t>Release</w:t>
            </w:r>
          </w:p>
        </w:tc>
        <w:tc>
          <w:tcPr>
            <w:tcW w:type="dxa" w:w="4536"/>
            <w:tcMar>
              <w:top w:w="90" w:type="dxa"/>
              <w:start w:w="120" w:type="dxa"/>
              <w:bottom w:w="90" w:type="dxa"/>
              <w:end w:w="120" w:type="dxa"/>
            </w:tcMar>
            <w:vAlign w:val="center"/>
          </w:tcPr>
          <w:p>
            <w:pPr>
              <w:spacing w:after="0" w:line="259" w:lineRule="auto"/>
            </w:pPr>
            <w:r>
              <w:rPr>
                <w:color w:val="17202A"/>
                <w:sz w:val="18"/>
              </w:rPr>
              <w:t>Depends on the approved UBI 9 digest</w:t>
            </w:r>
          </w:p>
        </w:tc>
      </w:tr>
      <w:tr>
        <w:tc>
          <w:tcPr>
            <w:tcW w:type="dxa" w:w="2088"/>
            <w:shd w:fill="FAFBFC"/>
            <w:tcMar>
              <w:top w:w="90" w:type="dxa"/>
              <w:start w:w="120" w:type="dxa"/>
              <w:bottom w:w="90" w:type="dxa"/>
              <w:end w:w="120" w:type="dxa"/>
            </w:tcMar>
            <w:vAlign w:val="center"/>
          </w:tcPr>
          <w:p>
            <w:pPr>
              <w:spacing w:after="0" w:line="259" w:lineRule="auto"/>
            </w:pPr>
            <w:r>
              <w:rPr>
                <w:color w:val="17202A"/>
                <w:sz w:val="18"/>
              </w:rPr>
              <w:t>jira-lts</w:t>
            </w:r>
          </w:p>
        </w:tc>
        <w:tc>
          <w:tcPr>
            <w:tcW w:type="dxa" w:w="1512"/>
            <w:shd w:fill="FAFBFC"/>
            <w:tcMar>
              <w:top w:w="90" w:type="dxa"/>
              <w:start w:w="120" w:type="dxa"/>
              <w:bottom w:w="90" w:type="dxa"/>
              <w:end w:w="120" w:type="dxa"/>
            </w:tcMar>
            <w:vAlign w:val="center"/>
          </w:tcPr>
          <w:p>
            <w:pPr>
              <w:spacing w:after="0" w:line="259" w:lineRule="auto"/>
            </w:pPr>
            <w:r>
              <w:rPr>
                <w:color w:val="17202A"/>
                <w:sz w:val="18"/>
              </w:rPr>
              <w:t>11.3.10</w:t>
            </w:r>
          </w:p>
        </w:tc>
        <w:tc>
          <w:tcPr>
            <w:tcW w:type="dxa" w:w="1224"/>
            <w:shd w:fill="FAFBFC"/>
            <w:tcMar>
              <w:top w:w="90" w:type="dxa"/>
              <w:start w:w="120" w:type="dxa"/>
              <w:bottom w:w="90" w:type="dxa"/>
              <w:end w:w="120" w:type="dxa"/>
            </w:tcMar>
            <w:vAlign w:val="center"/>
          </w:tcPr>
          <w:p>
            <w:pPr>
              <w:spacing w:after="0" w:line="259" w:lineRule="auto"/>
            </w:pPr>
            <w:r>
              <w:rPr>
                <w:color w:val="17202A"/>
                <w:sz w:val="18"/>
              </w:rPr>
              <w:t>Release</w:t>
            </w:r>
          </w:p>
        </w:tc>
        <w:tc>
          <w:tcPr>
            <w:tcW w:type="dxa" w:w="4536"/>
            <w:shd w:fill="FAFBFC"/>
            <w:tcMar>
              <w:top w:w="90" w:type="dxa"/>
              <w:start w:w="120" w:type="dxa"/>
              <w:bottom w:w="90" w:type="dxa"/>
              <w:end w:w="120" w:type="dxa"/>
            </w:tcMar>
            <w:vAlign w:val="center"/>
          </w:tcPr>
          <w:p>
            <w:pPr>
              <w:spacing w:after="0" w:line="259" w:lineRule="auto"/>
            </w:pPr>
            <w:r>
              <w:rPr>
                <w:color w:val="17202A"/>
                <w:sz w:val="18"/>
              </w:rPr>
              <w:t>Depends on the approved UBI 9 digest</w:t>
            </w:r>
          </w:p>
        </w:tc>
      </w:tr>
      <w:tr>
        <w:tc>
          <w:tcPr>
            <w:tcW w:type="dxa" w:w="2088"/>
            <w:tcMar>
              <w:top w:w="90" w:type="dxa"/>
              <w:start w:w="120" w:type="dxa"/>
              <w:bottom w:w="90" w:type="dxa"/>
              <w:end w:w="120" w:type="dxa"/>
            </w:tcMar>
            <w:vAlign w:val="center"/>
          </w:tcPr>
          <w:p>
            <w:pPr>
              <w:spacing w:after="0" w:line="259" w:lineRule="auto"/>
            </w:pPr>
            <w:r>
              <w:rPr>
                <w:color w:val="17202A"/>
                <w:sz w:val="18"/>
              </w:rPr>
              <w:t>ubi10-minimal</w:t>
            </w:r>
          </w:p>
        </w:tc>
        <w:tc>
          <w:tcPr>
            <w:tcW w:type="dxa" w:w="1512"/>
            <w:tcMar>
              <w:top w:w="90" w:type="dxa"/>
              <w:start w:w="120" w:type="dxa"/>
              <w:bottom w:w="90" w:type="dxa"/>
              <w:end w:w="120" w:type="dxa"/>
            </w:tcMar>
            <w:vAlign w:val="center"/>
          </w:tcPr>
          <w:p>
            <w:pPr>
              <w:spacing w:after="0" w:line="259" w:lineRule="auto"/>
            </w:pPr>
            <w:r>
              <w:rPr>
                <w:color w:val="17202A"/>
                <w:sz w:val="18"/>
              </w:rPr>
              <w:t>10.2</w:t>
            </w:r>
          </w:p>
        </w:tc>
        <w:tc>
          <w:tcPr>
            <w:tcW w:type="dxa" w:w="1224"/>
            <w:tcMar>
              <w:top w:w="90" w:type="dxa"/>
              <w:start w:w="120" w:type="dxa"/>
              <w:bottom w:w="90" w:type="dxa"/>
              <w:end w:w="120" w:type="dxa"/>
            </w:tcMar>
            <w:vAlign w:val="center"/>
          </w:tcPr>
          <w:p>
            <w:pPr>
              <w:spacing w:after="0" w:line="259" w:lineRule="auto"/>
            </w:pPr>
            <w:r>
              <w:rPr>
                <w:color w:val="17202A"/>
                <w:sz w:val="18"/>
              </w:rPr>
              <w:t>Canary</w:t>
            </w:r>
          </w:p>
        </w:tc>
        <w:tc>
          <w:tcPr>
            <w:tcW w:type="dxa" w:w="4536"/>
            <w:tcMar>
              <w:top w:w="90" w:type="dxa"/>
              <w:start w:w="120" w:type="dxa"/>
              <w:bottom w:w="90" w:type="dxa"/>
              <w:end w:w="120" w:type="dxa"/>
            </w:tcMar>
            <w:vAlign w:val="center"/>
          </w:tcPr>
          <w:p>
            <w:pPr>
              <w:spacing w:after="0" w:line="259" w:lineRule="auto"/>
            </w:pPr>
            <w:r>
              <w:rPr>
                <w:color w:val="17202A"/>
                <w:sz w:val="18"/>
              </w:rPr>
              <w:t>Independent compatibility evidence only</w:t>
            </w:r>
          </w:p>
        </w:tc>
      </w:tr>
    </w:tbl>
    <w:p>
      <w:pPr>
        <w:pStyle w:val="Heading1"/>
      </w:pPr>
      <w:r>
        <w:t>2. Design principles</w:t>
      </w:r>
    </w:p>
    <w:p>
      <w:pPr>
        <w:spacing w:before="160" w:after="60"/>
      </w:pPr>
      <w:r>
        <w:rPr>
          <w:rFonts w:ascii="Calibri" w:hAnsi="Calibri"/>
          <w:b/>
          <w:color w:val="17324D"/>
          <w:sz w:val="23"/>
        </w:rPr>
        <w:t>1. Internal-first dependency resolution</w:t>
      </w:r>
    </w:p>
    <w:p>
      <w:pPr>
        <w:ind w:left="317"/>
      </w:pPr>
      <w:r>
        <w:t>Git, OCI bases, RPMs, offline scanner databases, security feeds, binaries, and source archives resolve from internal Artifactory or internal Git. FCS assesses the local candidate through a protected Podman socket and uses allowlisted Falcon API access.</w:t>
      </w:r>
    </w:p>
    <w:p>
      <w:pPr>
        <w:spacing w:before="160" w:after="60"/>
      </w:pPr>
      <w:r>
        <w:rPr>
          <w:rFonts w:ascii="Calibri" w:hAnsi="Calibri"/>
          <w:b/>
          <w:color w:val="17324D"/>
          <w:sz w:val="23"/>
        </w:rPr>
        <w:t>2. Connected intake is a controlled exception</w:t>
      </w:r>
    </w:p>
    <w:p>
      <w:pPr>
        <w:ind w:left="317"/>
      </w:pPr>
      <w:r>
        <w:t>Only the intake class can reach approved upstream endpoints. It verifies content, records immutable identities, and produces a signed transfer bundle.</w:t>
      </w:r>
    </w:p>
    <w:p>
      <w:pPr>
        <w:spacing w:before="160" w:after="60"/>
      </w:pPr>
      <w:r>
        <w:rPr>
          <w:rFonts w:ascii="Calibri" w:hAnsi="Calibri"/>
          <w:b/>
          <w:color w:val="17324D"/>
          <w:sz w:val="23"/>
        </w:rPr>
        <w:t>3. Build once, promote by digest</w:t>
      </w:r>
    </w:p>
    <w:p>
      <w:pPr>
        <w:ind w:left="317"/>
      </w:pPr>
      <w:r>
        <w:t>The candidate is built in the disconnected factory. Downstream environments copy the exact subject and evidence graph instead of rebuilding it.</w:t>
      </w:r>
    </w:p>
    <w:p>
      <w:pPr>
        <w:spacing w:before="160" w:after="60"/>
      </w:pPr>
      <w:r>
        <w:rPr>
          <w:rFonts w:ascii="Calibri" w:hAnsi="Calibri"/>
          <w:b/>
          <w:color w:val="17324D"/>
          <w:sz w:val="23"/>
        </w:rPr>
        <w:t>4. Policy fails closed</w:t>
      </w:r>
    </w:p>
    <w:p>
      <w:pPr>
        <w:ind w:left="317"/>
      </w:pPr>
      <w:r>
        <w:t>The implemented OPA gate denies missing or invalid SBOM, compliance, product-test, or FCS evidence. FCS tenant image-assessment policy is the sole vulnerability-scanner authority; Grype, Trivy, OSV, KEV correlation, and ClamAV remain informational. Database-age and signed-exception enforcement are roadmap controls.</w:t>
      </w:r>
    </w:p>
    <w:p>
      <w:pPr>
        <w:spacing w:before="160" w:after="60"/>
      </w:pPr>
      <w:r>
        <w:rPr>
          <w:rFonts w:ascii="Calibri" w:hAnsi="Calibri"/>
          <w:b/>
          <w:color w:val="17324D"/>
          <w:sz w:val="23"/>
        </w:rPr>
        <w:t>5. Least privilege by runner class</w:t>
      </w:r>
    </w:p>
    <w:p>
      <w:pPr>
        <w:ind w:left="317"/>
      </w:pPr>
      <w:r>
        <w:t>Intake, build, test, AI, import, signing, remediation broker, and promotion execute on different runner classes with purpose-specific credentials.</w:t>
      </w:r>
    </w:p>
    <w:p>
      <w:pPr>
        <w:spacing w:before="160" w:after="60"/>
      </w:pPr>
      <w:r>
        <w:rPr>
          <w:rFonts w:ascii="Calibri" w:hAnsi="Calibri"/>
          <w:b/>
          <w:color w:val="17324D"/>
          <w:sz w:val="23"/>
        </w:rPr>
        <w:t>6. Human authority is explicit</w:t>
      </w:r>
    </w:p>
    <w:p>
      <w:pPr>
        <w:ind w:left="317"/>
      </w:pPr>
      <w:r>
        <w:t>Protected environment approvals and release roles remain human-controlled, including environment-local .us approval for Gov1/Gov2.</w:t>
      </w:r>
    </w:p>
    <w:p>
      <w:pPr>
        <w:pStyle w:val="Heading2"/>
      </w:pPr>
      <w:r>
        <w:t>Community tooling baseline</w:t>
      </w:r>
    </w:p>
    <w:tbl>
      <w:tblPr>
        <w:tblStyle w:val="TableGrid"/>
        <w:tblW w:type="dxa" w:w="9360"/>
        <w:jc w:val="left"/>
        <w:tblLayout w:type="fixed"/>
        <w:tblLook w:firstColumn="1" w:firstRow="1" w:lastColumn="0" w:lastRow="0" w:noHBand="0" w:noVBand="1" w:val="04A0"/>
        <w:tblInd w:w="120" w:type="dxa"/>
      </w:tblPr>
      <w:tblGrid>
        <w:gridCol w:w="1800"/>
        <w:gridCol w:w="2952"/>
        <w:gridCol w:w="4608"/>
      </w:tblGrid>
      <w:tr>
        <w:trPr>
          <w:tblHeader w:val="true"/>
        </w:trPr>
        <w:tc>
          <w:tcPr>
            <w:tcW w:type="dxa" w:w="1800"/>
            <w:shd w:fill="E8EEF5"/>
            <w:tcMar>
              <w:top w:w="90" w:type="dxa"/>
              <w:start w:w="120" w:type="dxa"/>
              <w:bottom w:w="90" w:type="dxa"/>
              <w:end w:w="120" w:type="dxa"/>
            </w:tcMar>
            <w:vAlign w:val="center"/>
          </w:tcPr>
          <w:p>
            <w:pPr>
              <w:spacing w:after="0"/>
            </w:pPr>
            <w:r>
              <w:rPr>
                <w:b/>
                <w:color w:val="17324D"/>
                <w:sz w:val="18"/>
              </w:rPr>
              <w:t>Function</w:t>
            </w:r>
          </w:p>
        </w:tc>
        <w:tc>
          <w:tcPr>
            <w:tcW w:type="dxa" w:w="2952"/>
            <w:shd w:fill="E8EEF5"/>
            <w:tcMar>
              <w:top w:w="90" w:type="dxa"/>
              <w:start w:w="120" w:type="dxa"/>
              <w:bottom w:w="90" w:type="dxa"/>
              <w:end w:w="120" w:type="dxa"/>
            </w:tcMar>
            <w:vAlign w:val="center"/>
          </w:tcPr>
          <w:p>
            <w:r>
              <w:t>Tool / service</w:t>
            </w:r>
          </w:p>
        </w:tc>
        <w:tc>
          <w:tcPr>
            <w:tcW w:type="dxa" w:w="4608"/>
            <w:shd w:fill="E8EEF5"/>
            <w:tcMar>
              <w:top w:w="90" w:type="dxa"/>
              <w:start w:w="120" w:type="dxa"/>
              <w:bottom w:w="90" w:type="dxa"/>
              <w:end w:w="120" w:type="dxa"/>
            </w:tcMar>
            <w:vAlign w:val="center"/>
          </w:tcPr>
          <w:p>
            <w:pPr>
              <w:spacing w:after="0"/>
            </w:pPr>
            <w:r>
              <w:rPr>
                <w:b/>
                <w:color w:val="17324D"/>
                <w:sz w:val="18"/>
              </w:rPr>
              <w:t>Factory use</w:t>
            </w:r>
          </w:p>
        </w:tc>
      </w:tr>
      <w:tr>
        <w:tc>
          <w:tcPr>
            <w:tcW w:type="dxa" w:w="1800"/>
            <w:tcMar>
              <w:top w:w="90" w:type="dxa"/>
              <w:start w:w="120" w:type="dxa"/>
              <w:bottom w:w="90" w:type="dxa"/>
              <w:end w:w="120" w:type="dxa"/>
            </w:tcMar>
            <w:vAlign w:val="center"/>
          </w:tcPr>
          <w:p>
            <w:pPr>
              <w:spacing w:after="0" w:line="259" w:lineRule="auto"/>
            </w:pPr>
            <w:r>
              <w:rPr>
                <w:color w:val="17202A"/>
                <w:sz w:val="18"/>
              </w:rPr>
              <w:t>OCI build / copy</w:t>
            </w:r>
          </w:p>
        </w:tc>
        <w:tc>
          <w:tcPr>
            <w:tcW w:type="dxa" w:w="2952"/>
            <w:tcMar>
              <w:top w:w="90" w:type="dxa"/>
              <w:start w:w="120" w:type="dxa"/>
              <w:bottom w:w="90" w:type="dxa"/>
              <w:end w:w="120" w:type="dxa"/>
            </w:tcMar>
            <w:vAlign w:val="center"/>
          </w:tcPr>
          <w:p>
            <w:pPr>
              <w:spacing w:after="0" w:line="259" w:lineRule="auto"/>
            </w:pPr>
            <w:r>
              <w:rPr>
                <w:color w:val="17202A"/>
                <w:sz w:val="18"/>
              </w:rPr>
              <w:t>Buildah, Skopeo</w:t>
            </w:r>
          </w:p>
        </w:tc>
        <w:tc>
          <w:tcPr>
            <w:tcW w:type="dxa" w:w="4608"/>
            <w:tcMar>
              <w:top w:w="90" w:type="dxa"/>
              <w:start w:w="120" w:type="dxa"/>
              <w:bottom w:w="90" w:type="dxa"/>
              <w:end w:w="120" w:type="dxa"/>
            </w:tcMar>
            <w:vAlign w:val="center"/>
          </w:tcPr>
          <w:p>
            <w:pPr>
              <w:spacing w:after="0" w:line="259" w:lineRule="auto"/>
            </w:pPr>
            <w:r>
              <w:rPr>
                <w:color w:val="17202A"/>
                <w:sz w:val="18"/>
              </w:rPr>
              <w:t>Rootful single-use builders; OCI layouts; registry copy</w:t>
            </w:r>
          </w:p>
        </w:tc>
      </w:tr>
      <w:tr>
        <w:tc>
          <w:tcPr>
            <w:tcW w:type="dxa" w:w="1800"/>
            <w:shd w:fill="FAFBFC"/>
            <w:tcMar>
              <w:top w:w="90" w:type="dxa"/>
              <w:start w:w="120" w:type="dxa"/>
              <w:bottom w:w="90" w:type="dxa"/>
              <w:end w:w="120" w:type="dxa"/>
            </w:tcMar>
            <w:vAlign w:val="center"/>
          </w:tcPr>
          <w:p>
            <w:pPr>
              <w:spacing w:after="0" w:line="259" w:lineRule="auto"/>
            </w:pPr>
            <w:r>
              <w:rPr>
                <w:color w:val="17202A"/>
                <w:sz w:val="18"/>
              </w:rPr>
              <w:t>SBOM</w:t>
            </w:r>
          </w:p>
        </w:tc>
        <w:tc>
          <w:tcPr>
            <w:tcW w:type="dxa" w:w="2952"/>
            <w:shd w:fill="FAFBFC"/>
            <w:tcMar>
              <w:top w:w="90" w:type="dxa"/>
              <w:start w:w="120" w:type="dxa"/>
              <w:bottom w:w="90" w:type="dxa"/>
              <w:end w:w="120" w:type="dxa"/>
            </w:tcMar>
            <w:vAlign w:val="center"/>
          </w:tcPr>
          <w:p>
            <w:pPr>
              <w:spacing w:after="0" w:line="259" w:lineRule="auto"/>
            </w:pPr>
            <w:r>
              <w:rPr>
                <w:color w:val="17202A"/>
                <w:sz w:val="18"/>
              </w:rPr>
              <w:t>Syft</w:t>
            </w:r>
          </w:p>
        </w:tc>
        <w:tc>
          <w:tcPr>
            <w:tcW w:type="dxa" w:w="4608"/>
            <w:shd w:fill="FAFBFC"/>
            <w:tcMar>
              <w:top w:w="90" w:type="dxa"/>
              <w:start w:w="120" w:type="dxa"/>
              <w:bottom w:w="90" w:type="dxa"/>
              <w:end w:w="120" w:type="dxa"/>
            </w:tcMar>
            <w:vAlign w:val="center"/>
          </w:tcPr>
          <w:p>
            <w:pPr>
              <w:spacing w:after="0" w:line="259" w:lineRule="auto"/>
            </w:pPr>
            <w:r>
              <w:rPr>
                <w:color w:val="17202A"/>
                <w:sz w:val="18"/>
              </w:rPr>
              <w:t>CycloneDX and SPDX representations</w:t>
            </w:r>
          </w:p>
        </w:tc>
      </w:tr>
      <w:tr>
        <w:tc>
          <w:tcPr>
            <w:tcW w:type="dxa" w:w="1800"/>
            <w:tcMar>
              <w:top w:w="90" w:type="dxa"/>
              <w:start w:w="120" w:type="dxa"/>
              <w:bottom w:w="90" w:type="dxa"/>
              <w:end w:w="120" w:type="dxa"/>
            </w:tcMar>
            <w:vAlign w:val="center"/>
          </w:tcPr>
          <w:p>
            <w:pPr>
              <w:spacing w:after="0" w:line="259" w:lineRule="auto"/>
            </w:pPr>
            <w:r>
              <w:rPr>
                <w:color w:val="17202A"/>
                <w:sz w:val="18"/>
              </w:rPr>
              <w:t>Vulnerability</w:t>
            </w:r>
          </w:p>
        </w:tc>
        <w:tc>
          <w:tcPr>
            <w:tcW w:type="dxa" w:w="2952"/>
            <w:tcMar>
              <w:top w:w="90" w:type="dxa"/>
              <w:start w:w="120" w:type="dxa"/>
              <w:bottom w:w="90" w:type="dxa"/>
              <w:end w:w="120" w:type="dxa"/>
            </w:tcMar>
            <w:vAlign w:val="center"/>
          </w:tcPr>
          <w:p>
            <w:r>
              <w:t>CrowdStrike FCS; Grype, Trivy, OSV Scanner</w:t>
            </w:r>
          </w:p>
        </w:tc>
        <w:tc>
          <w:tcPr>
            <w:tcW w:type="dxa" w:w="4608"/>
            <w:tcMar>
              <w:top w:w="90" w:type="dxa"/>
              <w:start w:w="120" w:type="dxa"/>
              <w:bottom w:w="90" w:type="dxa"/>
              <w:end w:w="120" w:type="dxa"/>
            </w:tcMar>
            <w:vAlign w:val="center"/>
          </w:tcPr>
          <w:p>
            <w:r>
              <w:t>FCS is authoritative and connected; community scanners are offline informational evidence</w:t>
            </w:r>
          </w:p>
        </w:tc>
      </w:tr>
      <w:tr>
        <w:tc>
          <w:tcPr>
            <w:tcW w:type="dxa" w:w="1800"/>
            <w:shd w:fill="FAFBFC"/>
            <w:tcMar>
              <w:top w:w="90" w:type="dxa"/>
              <w:start w:w="120" w:type="dxa"/>
              <w:bottom w:w="90" w:type="dxa"/>
              <w:end w:w="120" w:type="dxa"/>
            </w:tcMar>
            <w:vAlign w:val="center"/>
          </w:tcPr>
          <w:p>
            <w:pPr>
              <w:spacing w:after="0" w:line="259" w:lineRule="auto"/>
            </w:pPr>
            <w:r>
              <w:rPr>
                <w:color w:val="17202A"/>
                <w:sz w:val="18"/>
              </w:rPr>
              <w:t>Compliance</w:t>
            </w:r>
          </w:p>
        </w:tc>
        <w:tc>
          <w:tcPr>
            <w:tcW w:type="dxa" w:w="2952"/>
            <w:shd w:fill="FAFBFC"/>
            <w:tcMar>
              <w:top w:w="90" w:type="dxa"/>
              <w:start w:w="120" w:type="dxa"/>
              <w:bottom w:w="90" w:type="dxa"/>
              <w:end w:w="120" w:type="dxa"/>
            </w:tcMar>
            <w:vAlign w:val="center"/>
          </w:tcPr>
          <w:p>
            <w:pPr>
              <w:spacing w:after="0" w:line="259" w:lineRule="auto"/>
            </w:pPr>
            <w:r>
              <w:rPr>
                <w:color w:val="17202A"/>
                <w:sz w:val="18"/>
              </w:rPr>
              <w:t>OpenSCAP + ComplianceAsCode</w:t>
            </w:r>
          </w:p>
        </w:tc>
        <w:tc>
          <w:tcPr>
            <w:tcW w:type="dxa" w:w="4608"/>
            <w:shd w:fill="FAFBFC"/>
            <w:tcMar>
              <w:top w:w="90" w:type="dxa"/>
              <w:start w:w="120" w:type="dxa"/>
              <w:bottom w:w="90" w:type="dxa"/>
              <w:end w:w="120" w:type="dxa"/>
            </w:tcMar>
            <w:vAlign w:val="center"/>
          </w:tcPr>
          <w:p>
            <w:pPr>
              <w:spacing w:after="0" w:line="259" w:lineRule="auto"/>
            </w:pPr>
            <w:r>
              <w:rPr>
                <w:color w:val="17202A"/>
                <w:sz w:val="18"/>
              </w:rPr>
              <w:t>RHEL 9 / RHEL 10 tailored container profiles</w:t>
            </w:r>
          </w:p>
        </w:tc>
      </w:tr>
      <w:tr>
        <w:tc>
          <w:tcPr>
            <w:tcW w:type="dxa" w:w="1800"/>
            <w:tcMar>
              <w:top w:w="90" w:type="dxa"/>
              <w:start w:w="120" w:type="dxa"/>
              <w:bottom w:w="90" w:type="dxa"/>
              <w:end w:w="120" w:type="dxa"/>
            </w:tcMar>
            <w:vAlign w:val="center"/>
          </w:tcPr>
          <w:p>
            <w:pPr>
              <w:spacing w:after="0" w:line="259" w:lineRule="auto"/>
            </w:pPr>
            <w:r>
              <w:rPr>
                <w:color w:val="17202A"/>
                <w:sz w:val="18"/>
              </w:rPr>
              <w:t>Policy</w:t>
            </w:r>
          </w:p>
        </w:tc>
        <w:tc>
          <w:tcPr>
            <w:tcW w:type="dxa" w:w="2952"/>
            <w:tcMar>
              <w:top w:w="90" w:type="dxa"/>
              <w:start w:w="120" w:type="dxa"/>
              <w:bottom w:w="90" w:type="dxa"/>
              <w:end w:w="120" w:type="dxa"/>
            </w:tcMar>
            <w:vAlign w:val="center"/>
          </w:tcPr>
          <w:p>
            <w:r>
              <w:t>OPA</w:t>
            </w:r>
          </w:p>
        </w:tc>
        <w:tc>
          <w:tcPr>
            <w:tcW w:type="dxa" w:w="4608"/>
            <w:tcMar>
              <w:top w:w="90" w:type="dxa"/>
              <w:start w:w="120" w:type="dxa"/>
              <w:bottom w:w="90" w:type="dxa"/>
              <w:end w:w="120" w:type="dxa"/>
            </w:tcMar>
            <w:vAlign w:val="center"/>
          </w:tcPr>
          <w:p>
            <w:r>
              <w:t>Release decision from SBOM, compliance, tests, and FCS status</w:t>
            </w:r>
          </w:p>
        </w:tc>
      </w:tr>
      <w:tr>
        <w:tc>
          <w:tcPr>
            <w:tcW w:type="dxa" w:w="1800"/>
            <w:shd w:fill="FAFBFC"/>
            <w:tcMar>
              <w:top w:w="90" w:type="dxa"/>
              <w:start w:w="120" w:type="dxa"/>
              <w:bottom w:w="90" w:type="dxa"/>
              <w:end w:w="120" w:type="dxa"/>
            </w:tcMar>
            <w:vAlign w:val="center"/>
          </w:tcPr>
          <w:p>
            <w:pPr>
              <w:spacing w:after="0" w:line="259" w:lineRule="auto"/>
            </w:pPr>
            <w:r>
              <w:rPr>
                <w:color w:val="17202A"/>
                <w:sz w:val="18"/>
              </w:rPr>
              <w:t>Signing</w:t>
            </w:r>
          </w:p>
        </w:tc>
        <w:tc>
          <w:tcPr>
            <w:tcW w:type="dxa" w:w="2952"/>
            <w:shd w:fill="FAFBFC"/>
            <w:tcMar>
              <w:top w:w="90" w:type="dxa"/>
              <w:start w:w="120" w:type="dxa"/>
              <w:bottom w:w="90" w:type="dxa"/>
              <w:end w:w="120" w:type="dxa"/>
            </w:tcMar>
            <w:vAlign w:val="center"/>
          </w:tcPr>
          <w:p>
            <w:r>
              <w:t>Cosign + Artifactory OCI referrers</w:t>
            </w:r>
          </w:p>
        </w:tc>
        <w:tc>
          <w:tcPr>
            <w:tcW w:type="dxa" w:w="4608"/>
            <w:shd w:fill="FAFBFC"/>
            <w:tcMar>
              <w:top w:w="90" w:type="dxa"/>
              <w:start w:w="120" w:type="dxa"/>
              <w:bottom w:w="90" w:type="dxa"/>
              <w:end w:w="120" w:type="dxa"/>
            </w:tcMar>
            <w:vAlign w:val="center"/>
          </w:tcPr>
          <w:p>
            <w:r>
              <w:t>Environment-key signatures and signed attestations</w:t>
            </w:r>
          </w:p>
        </w:tc>
      </w:tr>
      <w:tr>
        <w:tc>
          <w:tcPr>
            <w:tcW w:type="dxa" w:w="1800"/>
            <w:tcMar>
              <w:top w:w="90" w:type="dxa"/>
              <w:start w:w="120" w:type="dxa"/>
              <w:bottom w:w="90" w:type="dxa"/>
              <w:end w:w="120" w:type="dxa"/>
            </w:tcMar>
            <w:vAlign w:val="center"/>
          </w:tcPr>
          <w:p>
            <w:pPr>
              <w:spacing w:after="0" w:line="259" w:lineRule="auto"/>
            </w:pPr>
            <w:r>
              <w:rPr>
                <w:color w:val="17202A"/>
                <w:sz w:val="18"/>
              </w:rPr>
              <w:t>OCI evidence</w:t>
            </w:r>
          </w:p>
        </w:tc>
        <w:tc>
          <w:tcPr>
            <w:tcW w:type="dxa" w:w="2952"/>
            <w:tcMar>
              <w:top w:w="90" w:type="dxa"/>
              <w:start w:w="120" w:type="dxa"/>
              <w:bottom w:w="90" w:type="dxa"/>
              <w:end w:w="120" w:type="dxa"/>
            </w:tcMar>
            <w:vAlign w:val="center"/>
          </w:tcPr>
          <w:p>
            <w:pPr>
              <w:spacing w:after="0" w:line="259" w:lineRule="auto"/>
            </w:pPr>
            <w:r>
              <w:rPr>
                <w:color w:val="17202A"/>
                <w:sz w:val="18"/>
              </w:rPr>
              <w:t>ORAS</w:t>
            </w:r>
          </w:p>
        </w:tc>
        <w:tc>
          <w:tcPr>
            <w:tcW w:type="dxa" w:w="4608"/>
            <w:tcMar>
              <w:top w:w="90" w:type="dxa"/>
              <w:start w:w="120" w:type="dxa"/>
              <w:bottom w:w="90" w:type="dxa"/>
              <w:end w:w="120" w:type="dxa"/>
            </w:tcMar>
            <w:vAlign w:val="center"/>
          </w:tcPr>
          <w:p>
            <w:pPr>
              <w:spacing w:after="0" w:line="259" w:lineRule="auto"/>
            </w:pPr>
            <w:r>
              <w:rPr>
                <w:color w:val="17202A"/>
                <w:sz w:val="18"/>
              </w:rPr>
              <w:t>Predicate and referrer handling where needed</w:t>
            </w:r>
          </w:p>
        </w:tc>
      </w:tr>
    </w:tbl>
    <w:p>
      <w:pPr>
        <w:pStyle w:val="Heading1"/>
      </w:pPr>
      <w:r>
        <w:t>3. Architecture and trust zones</w:t>
      </w:r>
    </w:p>
    <w:p>
      <w:r>
        <w:t>The architecture is intentionally asymmetric. Connected intake collects and verifies content but cannot release. Internal build, offline scans, compliance, and tests cannot publish or reach public services. A separate protected FCS runner has Falcon-only egress and no Artifactory write, signing, exception, or promotion credentials. Protected release jobs operate on verified digests with narrowly scoped credentials.</w:t>
      </w:r>
    </w:p>
    <w:p>
      <w:pPr>
        <w:spacing w:before="120" w:after="180"/>
        <w:ind w:left="230" w:right="230"/>
        <w:shd w:fill="FDECEC"/>
        <w:pBdr>
          <w:left w:val="single" w:sz="20" w:color="A33A32"/>
        </w:pBdr>
      </w:pPr>
      <w:r>
        <w:rPr>
          <w:rFonts w:ascii="Calibri" w:hAnsi="Calibri"/>
          <w:b/>
          <w:color w:val="17324D"/>
        </w:rPr>
        <w:t xml:space="preserve">Runner hardening: </w:t>
      </w:r>
      <w:r>
        <w:rPr>
          <w:rFonts w:ascii="Calibri" w:hAnsi="Calibri"/>
          <w:color w:val="17202A"/>
        </w:rPr>
        <w:t>Do not mount a Docker socket. Do not use privileged pods on reusable Kubernetes runners. Prefer a single-use VM for rootful Buildah and destroy it after the job.</w:t>
      </w:r>
    </w:p>
    <w:p>
      <w:pPr>
        <w:keepNext/>
        <w:jc w:val="center"/>
      </w:pPr>
      <w:r>
        <w:drawing>
          <wp:inline xmlns:a="http://schemas.openxmlformats.org/drawingml/2006/main" xmlns:pic="http://schemas.openxmlformats.org/drawingml/2006/picture">
            <wp:extent cx="5806440" cy="3161284"/>
            <wp:docPr id="1" name="Picture 1" descr="Architecture diagram showing connected intake, internal build and evidence stages, a protected FCS runner with Falcon-only egress, and Cosign/Artifactory release domain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161284"/>
                    </a:xfrm>
                    <a:prstGeom prst="rect"/>
                  </pic:spPr>
                </pic:pic>
              </a:graphicData>
            </a:graphic>
          </wp:inline>
        </w:drawing>
      </w:r>
    </w:p>
    <w:p>
      <w:pPr>
        <w:pStyle w:val="Caption"/>
        <w:jc w:val="center"/>
      </w:pPr>
      <w:r>
        <w:t>Figure 1. Connected intake, disconnected factory, and release-domain separation.</w:t>
      </w:r>
    </w:p>
    <w:p>
      <w:pPr>
        <w:pStyle w:val="Heading2"/>
      </w:pPr>
      <w:r>
        <w:t>Runner classes and privileges</w:t>
      </w:r>
    </w:p>
    <w:tbl>
      <w:tblPr>
        <w:tblStyle w:val="TableGrid"/>
        <w:tblW w:type="dxa" w:w="9360"/>
        <w:jc w:val="left"/>
        <w:tblLayout w:type="fixed"/>
        <w:tblLook w:firstColumn="1" w:firstRow="1" w:lastColumn="0" w:lastRow="0" w:noHBand="0" w:noVBand="1" w:val="04A0"/>
        <w:tblInd w:w="120" w:type="dxa"/>
      </w:tblPr>
      <w:tblGrid>
        <w:gridCol w:w="2275"/>
        <w:gridCol w:w="1930"/>
        <w:gridCol w:w="2088"/>
        <w:gridCol w:w="3067"/>
      </w:tblGrid>
      <w:tr>
        <w:trPr>
          <w:tblHeader w:val="true"/>
        </w:trPr>
        <w:tc>
          <w:tcPr>
            <w:tcW w:type="dxa" w:w="2275"/>
            <w:shd w:fill="E8EEF5"/>
            <w:tcMar>
              <w:top w:w="90" w:type="dxa"/>
              <w:start w:w="120" w:type="dxa"/>
              <w:bottom w:w="90" w:type="dxa"/>
              <w:end w:w="120" w:type="dxa"/>
            </w:tcMar>
            <w:vAlign w:val="center"/>
          </w:tcPr>
          <w:p>
            <w:pPr>
              <w:spacing w:after="0"/>
            </w:pPr>
            <w:r>
              <w:rPr>
                <w:b/>
                <w:color w:val="17324D"/>
                <w:sz w:val="16"/>
              </w:rPr>
              <w:t>Runner tag</w:t>
            </w:r>
          </w:p>
        </w:tc>
        <w:tc>
          <w:tcPr>
            <w:tcW w:type="dxa" w:w="1930"/>
            <w:shd w:fill="E8EEF5"/>
            <w:tcMar>
              <w:top w:w="90" w:type="dxa"/>
              <w:start w:w="120" w:type="dxa"/>
              <w:bottom w:w="90" w:type="dxa"/>
              <w:end w:w="120" w:type="dxa"/>
            </w:tcMar>
            <w:vAlign w:val="center"/>
          </w:tcPr>
          <w:p>
            <w:pPr>
              <w:spacing w:after="0"/>
            </w:pPr>
            <w:r>
              <w:rPr>
                <w:b/>
                <w:color w:val="17324D"/>
                <w:sz w:val="16"/>
              </w:rPr>
              <w:t>Network</w:t>
            </w:r>
          </w:p>
        </w:tc>
        <w:tc>
          <w:tcPr>
            <w:tcW w:type="dxa" w:w="2088"/>
            <w:shd w:fill="E8EEF5"/>
            <w:tcMar>
              <w:top w:w="90" w:type="dxa"/>
              <w:start w:w="120" w:type="dxa"/>
              <w:bottom w:w="90" w:type="dxa"/>
              <w:end w:w="120" w:type="dxa"/>
            </w:tcMar>
            <w:vAlign w:val="center"/>
          </w:tcPr>
          <w:p>
            <w:pPr>
              <w:spacing w:after="0"/>
            </w:pPr>
            <w:r>
              <w:rPr>
                <w:b/>
                <w:color w:val="17324D"/>
                <w:sz w:val="16"/>
              </w:rPr>
              <w:t>Credential scope</w:t>
            </w:r>
          </w:p>
        </w:tc>
        <w:tc>
          <w:tcPr>
            <w:tcW w:type="dxa" w:w="3067"/>
            <w:shd w:fill="E8EEF5"/>
            <w:tcMar>
              <w:top w:w="90" w:type="dxa"/>
              <w:start w:w="120" w:type="dxa"/>
              <w:bottom w:w="90" w:type="dxa"/>
              <w:end w:w="120" w:type="dxa"/>
            </w:tcMar>
            <w:vAlign w:val="center"/>
          </w:tcPr>
          <w:p>
            <w:pPr>
              <w:spacing w:after="0"/>
            </w:pPr>
            <w:r>
              <w:rPr>
                <w:b/>
                <w:color w:val="17324D"/>
                <w:sz w:val="16"/>
              </w:rPr>
              <w:t>Operational rule</w:t>
            </w:r>
          </w:p>
        </w:tc>
      </w:tr>
      <w:tr>
        <w:tc>
          <w:tcPr>
            <w:tcW w:type="dxa" w:w="2275"/>
            <w:tcMar>
              <w:top w:w="90" w:type="dxa"/>
              <w:start w:w="120" w:type="dxa"/>
              <w:bottom w:w="90" w:type="dxa"/>
              <w:end w:w="120" w:type="dxa"/>
            </w:tcMar>
            <w:vAlign w:val="center"/>
          </w:tcPr>
          <w:p>
            <w:pPr>
              <w:spacing w:after="0" w:line="259" w:lineRule="auto"/>
            </w:pPr>
            <w:r>
              <w:rPr>
                <w:color w:val="17202A"/>
                <w:sz w:val="16"/>
              </w:rPr>
              <w:t>factory-connected-intake</w:t>
            </w:r>
          </w:p>
        </w:tc>
        <w:tc>
          <w:tcPr>
            <w:tcW w:type="dxa" w:w="1930"/>
            <w:tcMar>
              <w:top w:w="90" w:type="dxa"/>
              <w:start w:w="120" w:type="dxa"/>
              <w:bottom w:w="90" w:type="dxa"/>
              <w:end w:w="120" w:type="dxa"/>
            </w:tcMar>
            <w:vAlign w:val="center"/>
          </w:tcPr>
          <w:p>
            <w:pPr>
              <w:spacing w:after="0" w:line="259" w:lineRule="auto"/>
            </w:pPr>
            <w:r>
              <w:rPr>
                <w:color w:val="17202A"/>
                <w:sz w:val="16"/>
              </w:rPr>
              <w:t>Approved upstream + internal</w:t>
            </w:r>
          </w:p>
        </w:tc>
        <w:tc>
          <w:tcPr>
            <w:tcW w:type="dxa" w:w="2088"/>
            <w:tcMar>
              <w:top w:w="90" w:type="dxa"/>
              <w:start w:w="120" w:type="dxa"/>
              <w:bottom w:w="90" w:type="dxa"/>
              <w:end w:w="120" w:type="dxa"/>
            </w:tcMar>
            <w:vAlign w:val="center"/>
          </w:tcPr>
          <w:p>
            <w:pPr>
              <w:spacing w:after="0" w:line="259" w:lineRule="auto"/>
            </w:pPr>
            <w:r>
              <w:rPr>
                <w:color w:val="17202A"/>
                <w:sz w:val="16"/>
              </w:rPr>
              <w:t>Intake-only writes</w:t>
            </w:r>
          </w:p>
        </w:tc>
        <w:tc>
          <w:tcPr>
            <w:tcW w:type="dxa" w:w="3067"/>
            <w:tcMar>
              <w:top w:w="90" w:type="dxa"/>
              <w:start w:w="120" w:type="dxa"/>
              <w:bottom w:w="90" w:type="dxa"/>
              <w:end w:w="120" w:type="dxa"/>
            </w:tcMar>
            <w:vAlign w:val="center"/>
          </w:tcPr>
          <w:p>
            <w:pPr>
              <w:spacing w:after="0" w:line="259" w:lineRule="auto"/>
            </w:pPr>
            <w:r>
              <w:rPr>
                <w:color w:val="17202A"/>
                <w:sz w:val="16"/>
              </w:rPr>
              <w:t>Ephemeral VM; cannot write release repositories</w:t>
            </w:r>
          </w:p>
        </w:tc>
      </w:tr>
      <w:tr>
        <w:tc>
          <w:tcPr>
            <w:tcW w:type="dxa" w:w="2275"/>
            <w:shd w:fill="FAFBFC"/>
            <w:tcMar>
              <w:top w:w="90" w:type="dxa"/>
              <w:start w:w="120" w:type="dxa"/>
              <w:bottom w:w="90" w:type="dxa"/>
              <w:end w:w="120" w:type="dxa"/>
            </w:tcMar>
            <w:vAlign w:val="center"/>
          </w:tcPr>
          <w:p>
            <w:r>
              <w:t>factory-offline / factory-buildah-ephemeral</w:t>
            </w:r>
          </w:p>
        </w:tc>
        <w:tc>
          <w:tcPr>
            <w:tcW w:type="dxa" w:w="1930"/>
            <w:shd w:fill="FAFBFC"/>
            <w:tcMar>
              <w:top w:w="90" w:type="dxa"/>
              <w:start w:w="120" w:type="dxa"/>
              <w:bottom w:w="90" w:type="dxa"/>
              <w:end w:w="120" w:type="dxa"/>
            </w:tcMar>
            <w:vAlign w:val="center"/>
          </w:tcPr>
          <w:p>
            <w:pPr>
              <w:spacing w:after="0" w:line="259" w:lineRule="auto"/>
            </w:pPr>
            <w:r>
              <w:rPr>
                <w:color w:val="17202A"/>
                <w:sz w:val="16"/>
              </w:rPr>
              <w:t>Internal only</w:t>
            </w:r>
          </w:p>
        </w:tc>
        <w:tc>
          <w:tcPr>
            <w:tcW w:type="dxa" w:w="2088"/>
            <w:shd w:fill="FAFBFC"/>
            <w:tcMar>
              <w:top w:w="90" w:type="dxa"/>
              <w:start w:w="120" w:type="dxa"/>
              <w:bottom w:w="90" w:type="dxa"/>
              <w:end w:w="120" w:type="dxa"/>
            </w:tcMar>
            <w:vAlign w:val="center"/>
          </w:tcPr>
          <w:p>
            <w:pPr>
              <w:spacing w:after="0" w:line="259" w:lineRule="auto"/>
            </w:pPr>
            <w:r>
              <w:rPr>
                <w:color w:val="17202A"/>
                <w:sz w:val="16"/>
              </w:rPr>
              <w:t>Artifact read</w:t>
            </w:r>
          </w:p>
        </w:tc>
        <w:tc>
          <w:tcPr>
            <w:tcW w:type="dxa" w:w="3067"/>
            <w:shd w:fill="FAFBFC"/>
            <w:tcMar>
              <w:top w:w="90" w:type="dxa"/>
              <w:start w:w="120" w:type="dxa"/>
              <w:bottom w:w="90" w:type="dxa"/>
              <w:end w:w="120" w:type="dxa"/>
            </w:tcMar>
            <w:vAlign w:val="center"/>
          </w:tcPr>
          <w:p>
            <w:pPr>
              <w:spacing w:after="0" w:line="259" w:lineRule="auto"/>
            </w:pPr>
            <w:r>
              <w:rPr>
                <w:color w:val="17202A"/>
                <w:sz w:val="16"/>
              </w:rPr>
              <w:t>Single-use; rootful Buildah with chroot isolation</w:t>
            </w:r>
          </w:p>
        </w:tc>
      </w:tr>
      <w:tr>
        <w:tc>
          <w:tcPr>
            <w:tcW w:type="dxa" w:w="2275"/>
            <w:tcMar>
              <w:top w:w="90" w:type="dxa"/>
              <w:start w:w="120" w:type="dxa"/>
              <w:bottom w:w="90" w:type="dxa"/>
              <w:end w:w="120" w:type="dxa"/>
            </w:tcMar>
            <w:vAlign w:val="center"/>
          </w:tcPr>
          <w:p>
            <w:pPr>
              <w:spacing w:after="0" w:line="259" w:lineRule="auto"/>
            </w:pPr>
            <w:r>
              <w:rPr>
                <w:color w:val="17202A"/>
                <w:sz w:val="16"/>
              </w:rPr>
              <w:t>factory-fips-ephemeral</w:t>
            </w:r>
          </w:p>
        </w:tc>
        <w:tc>
          <w:tcPr>
            <w:tcW w:type="dxa" w:w="1930"/>
            <w:tcMar>
              <w:top w:w="90" w:type="dxa"/>
              <w:start w:w="120" w:type="dxa"/>
              <w:bottom w:w="90" w:type="dxa"/>
              <w:end w:w="120" w:type="dxa"/>
            </w:tcMar>
            <w:vAlign w:val="center"/>
          </w:tcPr>
          <w:p>
            <w:pPr>
              <w:spacing w:after="0" w:line="259" w:lineRule="auto"/>
            </w:pPr>
            <w:r>
              <w:rPr>
                <w:color w:val="17202A"/>
                <w:sz w:val="16"/>
              </w:rPr>
              <w:t>Internal only</w:t>
            </w:r>
          </w:p>
        </w:tc>
        <w:tc>
          <w:tcPr>
            <w:tcW w:type="dxa" w:w="2088"/>
            <w:tcMar>
              <w:top w:w="90" w:type="dxa"/>
              <w:start w:w="120" w:type="dxa"/>
              <w:bottom w:w="90" w:type="dxa"/>
              <w:end w:w="120" w:type="dxa"/>
            </w:tcMar>
            <w:vAlign w:val="center"/>
          </w:tcPr>
          <w:p>
            <w:pPr>
              <w:spacing w:after="0" w:line="259" w:lineRule="auto"/>
            </w:pPr>
            <w:r>
              <w:rPr>
                <w:color w:val="17202A"/>
                <w:sz w:val="16"/>
              </w:rPr>
              <w:t>Artifact read</w:t>
            </w:r>
          </w:p>
        </w:tc>
        <w:tc>
          <w:tcPr>
            <w:tcW w:type="dxa" w:w="3067"/>
            <w:tcMar>
              <w:top w:w="90" w:type="dxa"/>
              <w:start w:w="120" w:type="dxa"/>
              <w:bottom w:w="90" w:type="dxa"/>
              <w:end w:w="120" w:type="dxa"/>
            </w:tcMar>
            <w:vAlign w:val="center"/>
          </w:tcPr>
          <w:p>
            <w:pPr>
              <w:spacing w:after="0" w:line="259" w:lineRule="auto"/>
            </w:pPr>
            <w:r>
              <w:rPr>
                <w:color w:val="17202A"/>
                <w:sz w:val="16"/>
              </w:rPr>
              <w:t>FIPS-enabled host; destroyed after job</w:t>
            </w:r>
          </w:p>
        </w:tc>
      </w:tr>
      <w:tr>
        <w:tc>
          <w:tcPr>
            <w:tcW w:type="dxa" w:w="2275"/>
            <w:shd w:fill="FAFBFC"/>
            <w:tcMar>
              <w:top w:w="90" w:type="dxa"/>
              <w:start w:w="120" w:type="dxa"/>
              <w:bottom w:w="90" w:type="dxa"/>
              <w:end w:w="120" w:type="dxa"/>
            </w:tcMar>
            <w:vAlign w:val="center"/>
          </w:tcPr>
          <w:p>
            <w:pPr>
              <w:spacing w:after="0" w:line="259" w:lineRule="auto"/>
            </w:pPr>
            <w:r>
              <w:rPr>
                <w:color w:val="17202A"/>
                <w:sz w:val="16"/>
              </w:rPr>
              <w:t>factory-test-ephemeral</w:t>
            </w:r>
          </w:p>
        </w:tc>
        <w:tc>
          <w:tcPr>
            <w:tcW w:type="dxa" w:w="1930"/>
            <w:shd w:fill="FAFBFC"/>
            <w:tcMar>
              <w:top w:w="90" w:type="dxa"/>
              <w:start w:w="120" w:type="dxa"/>
              <w:bottom w:w="90" w:type="dxa"/>
              <w:end w:w="120" w:type="dxa"/>
            </w:tcMar>
            <w:vAlign w:val="center"/>
          </w:tcPr>
          <w:p>
            <w:pPr>
              <w:spacing w:after="0" w:line="259" w:lineRule="auto"/>
            </w:pPr>
            <w:r>
              <w:rPr>
                <w:color w:val="17202A"/>
                <w:sz w:val="16"/>
              </w:rPr>
              <w:t>Internal only</w:t>
            </w:r>
          </w:p>
        </w:tc>
        <w:tc>
          <w:tcPr>
            <w:tcW w:type="dxa" w:w="2088"/>
            <w:shd w:fill="FAFBFC"/>
            <w:tcMar>
              <w:top w:w="90" w:type="dxa"/>
              <w:start w:w="120" w:type="dxa"/>
              <w:bottom w:w="90" w:type="dxa"/>
              <w:end w:w="120" w:type="dxa"/>
            </w:tcMar>
            <w:vAlign w:val="center"/>
          </w:tcPr>
          <w:p>
            <w:pPr>
              <w:spacing w:after="0" w:line="259" w:lineRule="auto"/>
            </w:pPr>
            <w:r>
              <w:rPr>
                <w:color w:val="17202A"/>
                <w:sz w:val="16"/>
              </w:rPr>
              <w:t>Test registry read</w:t>
            </w:r>
          </w:p>
        </w:tc>
        <w:tc>
          <w:tcPr>
            <w:tcW w:type="dxa" w:w="3067"/>
            <w:shd w:fill="FAFBFC"/>
            <w:tcMar>
              <w:top w:w="90" w:type="dxa"/>
              <w:start w:w="120" w:type="dxa"/>
              <w:bottom w:w="90" w:type="dxa"/>
              <w:end w:w="120" w:type="dxa"/>
            </w:tcMar>
            <w:vAlign w:val="center"/>
          </w:tcPr>
          <w:p>
            <w:pPr>
              <w:spacing w:after="0" w:line="259" w:lineRule="auto"/>
            </w:pPr>
            <w:r>
              <w:rPr>
                <w:color w:val="17202A"/>
                <w:sz w:val="16"/>
              </w:rPr>
              <w:t>Runs exact candidate digest</w:t>
            </w:r>
          </w:p>
        </w:tc>
      </w:tr>
      <w:tr>
        <w:tc>
          <w:tcPr>
            <w:tcW w:type="dxa" w:w="2275"/>
          </w:tcPr>
          <w:p>
            <w:r>
              <w:t>factory-fcs-connected</w:t>
            </w:r>
          </w:p>
        </w:tc>
        <w:tc>
          <w:tcPr>
            <w:tcW w:type="dxa" w:w="1930"/>
          </w:tcPr>
          <w:p>
            <w:r>
              <w:t>Falcon API + local Podman socket</w:t>
            </w:r>
          </w:p>
        </w:tc>
        <w:tc>
          <w:tcPr>
            <w:tcW w:type="dxa" w:w="2088"/>
          </w:tcPr>
          <w:p>
            <w:r>
              <w:t>Falcon image-assessment credentials only</w:t>
            </w:r>
          </w:p>
        </w:tc>
        <w:tc>
          <w:tcPr>
            <w:tcW w:type="dxa" w:w="3067"/>
          </w:tcPr>
          <w:p>
            <w:r>
              <w:t>Ephemeral protected runner; sole controlled scan-egress exception</w:t>
            </w:r>
          </w:p>
        </w:tc>
      </w:tr>
      <w:tr>
        <w:tc>
          <w:tcPr>
            <w:tcW w:type="dxa" w:w="2275"/>
            <w:tcMar>
              <w:top w:w="90" w:type="dxa"/>
              <w:start w:w="120" w:type="dxa"/>
              <w:bottom w:w="90" w:type="dxa"/>
              <w:end w:w="120" w:type="dxa"/>
            </w:tcMar>
            <w:vAlign w:val="center"/>
          </w:tcPr>
          <w:p>
            <w:pPr>
              <w:spacing w:after="0" w:line="259" w:lineRule="auto"/>
            </w:pPr>
            <w:r>
              <w:rPr>
                <w:color w:val="17202A"/>
                <w:sz w:val="16"/>
              </w:rPr>
              <w:t>factory-ai-untrusted</w:t>
            </w:r>
          </w:p>
        </w:tc>
        <w:tc>
          <w:tcPr>
            <w:tcW w:type="dxa" w:w="1930"/>
            <w:tcMar>
              <w:top w:w="90" w:type="dxa"/>
              <w:start w:w="120" w:type="dxa"/>
              <w:bottom w:w="90" w:type="dxa"/>
              <w:end w:w="120" w:type="dxa"/>
            </w:tcMar>
            <w:vAlign w:val="center"/>
          </w:tcPr>
          <w:p>
            <w:pPr>
              <w:spacing w:after="0" w:line="259" w:lineRule="auto"/>
            </w:pPr>
            <w:r>
              <w:rPr>
                <w:color w:val="17202A"/>
                <w:sz w:val="16"/>
              </w:rPr>
              <w:t>AI endpoint + evidence read</w:t>
            </w:r>
          </w:p>
        </w:tc>
        <w:tc>
          <w:tcPr>
            <w:tcW w:type="dxa" w:w="2088"/>
            <w:tcMar>
              <w:top w:w="90" w:type="dxa"/>
              <w:start w:w="120" w:type="dxa"/>
              <w:bottom w:w="90" w:type="dxa"/>
              <w:end w:w="120" w:type="dxa"/>
            </w:tcMar>
            <w:vAlign w:val="center"/>
          </w:tcPr>
          <w:p>
            <w:pPr>
              <w:spacing w:after="0" w:line="259" w:lineRule="auto"/>
            </w:pPr>
            <w:r>
              <w:rPr>
                <w:color w:val="17202A"/>
                <w:sz w:val="16"/>
              </w:rPr>
              <w:t>No Git/registry write</w:t>
            </w:r>
          </w:p>
        </w:tc>
        <w:tc>
          <w:tcPr>
            <w:tcW w:type="dxa" w:w="3067"/>
            <w:tcMar>
              <w:top w:w="90" w:type="dxa"/>
              <w:start w:w="120" w:type="dxa"/>
              <w:bottom w:w="90" w:type="dxa"/>
              <w:end w:w="120" w:type="dxa"/>
            </w:tcMar>
            <w:vAlign w:val="center"/>
          </w:tcPr>
          <w:p>
            <w:pPr>
              <w:spacing w:after="0" w:line="259" w:lineRule="auto"/>
            </w:pPr>
            <w:r>
              <w:rPr>
                <w:color w:val="17202A"/>
                <w:sz w:val="16"/>
              </w:rPr>
              <w:t>Proposal and summary only</w:t>
            </w:r>
          </w:p>
        </w:tc>
      </w:tr>
      <w:tr>
        <w:tc>
          <w:tcPr>
            <w:tcW w:type="dxa" w:w="2275"/>
            <w:shd w:fill="FAFBFC"/>
            <w:tcMar>
              <w:top w:w="90" w:type="dxa"/>
              <w:start w:w="120" w:type="dxa"/>
              <w:bottom w:w="90" w:type="dxa"/>
              <w:end w:w="120" w:type="dxa"/>
            </w:tcMar>
            <w:vAlign w:val="center"/>
          </w:tcPr>
          <w:p>
            <w:pPr>
              <w:spacing w:after="0" w:line="259" w:lineRule="auto"/>
            </w:pPr>
            <w:r>
              <w:rPr>
                <w:color w:val="17202A"/>
                <w:sz w:val="16"/>
              </w:rPr>
              <w:t>factory-remediation-broker</w:t>
            </w:r>
          </w:p>
        </w:tc>
        <w:tc>
          <w:tcPr>
            <w:tcW w:type="dxa" w:w="1930"/>
            <w:shd w:fill="FAFBFC"/>
            <w:tcMar>
              <w:top w:w="90" w:type="dxa"/>
              <w:start w:w="120" w:type="dxa"/>
              <w:bottom w:w="90" w:type="dxa"/>
              <w:end w:w="120" w:type="dxa"/>
            </w:tcMar>
            <w:vAlign w:val="center"/>
          </w:tcPr>
          <w:p>
            <w:pPr>
              <w:spacing w:after="0" w:line="259" w:lineRule="auto"/>
            </w:pPr>
            <w:r>
              <w:rPr>
                <w:color w:val="17202A"/>
                <w:sz w:val="16"/>
              </w:rPr>
              <w:t>Internal GitLab</w:t>
            </w:r>
          </w:p>
        </w:tc>
        <w:tc>
          <w:tcPr>
            <w:tcW w:type="dxa" w:w="2088"/>
            <w:shd w:fill="FAFBFC"/>
            <w:tcMar>
              <w:top w:w="90" w:type="dxa"/>
              <w:start w:w="120" w:type="dxa"/>
              <w:bottom w:w="90" w:type="dxa"/>
              <w:end w:w="120" w:type="dxa"/>
            </w:tcMar>
            <w:vAlign w:val="center"/>
          </w:tcPr>
          <w:p>
            <w:pPr>
              <w:spacing w:after="0" w:line="259" w:lineRule="auto"/>
            </w:pPr>
            <w:r>
              <w:rPr>
                <w:color w:val="17202A"/>
                <w:sz w:val="16"/>
              </w:rPr>
              <w:t>Branch/MR creation</w:t>
            </w:r>
          </w:p>
        </w:tc>
        <w:tc>
          <w:tcPr>
            <w:tcW w:type="dxa" w:w="3067"/>
            <w:shd w:fill="FAFBFC"/>
            <w:tcMar>
              <w:top w:w="90" w:type="dxa"/>
              <w:start w:w="120" w:type="dxa"/>
              <w:bottom w:w="90" w:type="dxa"/>
              <w:end w:w="120" w:type="dxa"/>
            </w:tcMar>
            <w:vAlign w:val="center"/>
          </w:tcPr>
          <w:p>
            <w:pPr>
              <w:spacing w:after="0" w:line="259" w:lineRule="auto"/>
            </w:pPr>
            <w:r>
              <w:rPr>
                <w:color w:val="17202A"/>
                <w:sz w:val="16"/>
              </w:rPr>
              <w:t>Protected; validates permitted paths</w:t>
            </w:r>
          </w:p>
        </w:tc>
      </w:tr>
      <w:tr>
        <w:tc>
          <w:tcPr>
            <w:tcW w:type="dxa" w:w="2275"/>
            <w:tcMar>
              <w:top w:w="90" w:type="dxa"/>
              <w:start w:w="120" w:type="dxa"/>
              <w:bottom w:w="90" w:type="dxa"/>
              <w:end w:w="120" w:type="dxa"/>
            </w:tcMar>
            <w:vAlign w:val="center"/>
          </w:tcPr>
          <w:p>
            <w:pPr>
              <w:spacing w:after="0" w:line="259" w:lineRule="auto"/>
            </w:pPr>
            <w:r>
              <w:rPr>
                <w:color w:val="17202A"/>
                <w:sz w:val="16"/>
              </w:rPr>
              <w:t>factory-protected-importer</w:t>
            </w:r>
          </w:p>
        </w:tc>
        <w:tc>
          <w:tcPr>
            <w:tcW w:type="dxa" w:w="1930"/>
            <w:tcMar>
              <w:top w:w="90" w:type="dxa"/>
              <w:start w:w="120" w:type="dxa"/>
              <w:bottom w:w="90" w:type="dxa"/>
              <w:end w:w="120" w:type="dxa"/>
            </w:tcMar>
            <w:vAlign w:val="center"/>
          </w:tcPr>
          <w:p>
            <w:pPr>
              <w:spacing w:after="0" w:line="259" w:lineRule="auto"/>
            </w:pPr>
            <w:r>
              <w:rPr>
                <w:color w:val="17202A"/>
                <w:sz w:val="16"/>
              </w:rPr>
              <w:t>Quarantine</w:t>
            </w:r>
          </w:p>
        </w:tc>
        <w:tc>
          <w:tcPr>
            <w:tcW w:type="dxa" w:w="2088"/>
            <w:tcMar>
              <w:top w:w="90" w:type="dxa"/>
              <w:start w:w="120" w:type="dxa"/>
              <w:bottom w:w="90" w:type="dxa"/>
              <w:end w:w="120" w:type="dxa"/>
            </w:tcMar>
            <w:vAlign w:val="center"/>
          </w:tcPr>
          <w:p>
            <w:pPr>
              <w:spacing w:after="0" w:line="259" w:lineRule="auto"/>
            </w:pPr>
            <w:r>
              <w:rPr>
                <w:color w:val="17202A"/>
                <w:sz w:val="16"/>
              </w:rPr>
              <w:t>Quarantine write</w:t>
            </w:r>
          </w:p>
        </w:tc>
        <w:tc>
          <w:tcPr>
            <w:tcW w:type="dxa" w:w="3067"/>
            <w:tcMar>
              <w:top w:w="90" w:type="dxa"/>
              <w:start w:w="120" w:type="dxa"/>
              <w:bottom w:w="90" w:type="dxa"/>
              <w:end w:w="120" w:type="dxa"/>
            </w:tcMar>
            <w:vAlign w:val="center"/>
          </w:tcPr>
          <w:p>
            <w:pPr>
              <w:spacing w:after="0" w:line="259" w:lineRule="auto"/>
            </w:pPr>
            <w:r>
              <w:rPr>
                <w:color w:val="17202A"/>
                <w:sz w:val="16"/>
              </w:rPr>
              <w:t>Imports passing OCI layout only</w:t>
            </w:r>
          </w:p>
        </w:tc>
      </w:tr>
      <w:tr>
        <w:tc>
          <w:tcPr>
            <w:tcW w:type="dxa" w:w="2275"/>
            <w:shd w:fill="FAFBFC"/>
            <w:tcMar>
              <w:top w:w="90" w:type="dxa"/>
              <w:start w:w="120" w:type="dxa"/>
              <w:bottom w:w="90" w:type="dxa"/>
              <w:end w:w="120" w:type="dxa"/>
            </w:tcMar>
            <w:vAlign w:val="center"/>
          </w:tcPr>
          <w:p>
            <w:pPr>
              <w:spacing w:after="0" w:line="259" w:lineRule="auto"/>
            </w:pPr>
            <w:r>
              <w:rPr>
                <w:color w:val="17202A"/>
                <w:sz w:val="16"/>
              </w:rPr>
              <w:t>factory-protected-signing</w:t>
            </w:r>
          </w:p>
        </w:tc>
        <w:tc>
          <w:tcPr>
            <w:tcW w:type="dxa" w:w="1930"/>
            <w:shd w:fill="FAFBFC"/>
            <w:tcMar>
              <w:top w:w="90" w:type="dxa"/>
              <w:start w:w="120" w:type="dxa"/>
              <w:bottom w:w="90" w:type="dxa"/>
              <w:end w:w="120" w:type="dxa"/>
            </w:tcMar>
            <w:vAlign w:val="center"/>
          </w:tcPr>
          <w:p>
            <w:r>
              <w:t>Artifactory only</w:t>
            </w:r>
          </w:p>
        </w:tc>
        <w:tc>
          <w:tcPr>
            <w:tcW w:type="dxa" w:w="2088"/>
            <w:shd w:fill="FAFBFC"/>
            <w:tcMar>
              <w:top w:w="90" w:type="dxa"/>
              <w:start w:w="120" w:type="dxa"/>
              <w:bottom w:w="90" w:type="dxa"/>
              <w:end w:w="120" w:type="dxa"/>
            </w:tcMar>
            <w:vAlign w:val="center"/>
          </w:tcPr>
          <w:p>
            <w:r>
              <w:t>Cosign key + referrer write</w:t>
            </w:r>
          </w:p>
        </w:tc>
        <w:tc>
          <w:tcPr>
            <w:tcW w:type="dxa" w:w="3067"/>
            <w:shd w:fill="FAFBFC"/>
            <w:tcMar>
              <w:top w:w="90" w:type="dxa"/>
              <w:start w:w="120" w:type="dxa"/>
              <w:bottom w:w="90" w:type="dxa"/>
              <w:end w:w="120" w:type="dxa"/>
            </w:tcMar>
            <w:vAlign w:val="center"/>
          </w:tcPr>
          <w:p>
            <w:r>
              <w:t>Protected job using short-lived Artifactory identity</w:t>
            </w:r>
          </w:p>
        </w:tc>
      </w:tr>
      <w:tr>
        <w:tc>
          <w:tcPr>
            <w:tcW w:type="dxa" w:w="2275"/>
            <w:tcMar>
              <w:top w:w="90" w:type="dxa"/>
              <w:start w:w="120" w:type="dxa"/>
              <w:bottom w:w="90" w:type="dxa"/>
              <w:end w:w="120" w:type="dxa"/>
            </w:tcMar>
            <w:vAlign w:val="center"/>
          </w:tcPr>
          <w:p>
            <w:pPr>
              <w:spacing w:after="0" w:line="259" w:lineRule="auto"/>
            </w:pPr>
            <w:r>
              <w:rPr>
                <w:color w:val="17202A"/>
                <w:sz w:val="16"/>
              </w:rPr>
              <w:t>factory-protected-promotion</w:t>
            </w:r>
          </w:p>
        </w:tc>
        <w:tc>
          <w:tcPr>
            <w:tcW w:type="dxa" w:w="1930"/>
            <w:tcMar>
              <w:top w:w="90" w:type="dxa"/>
              <w:start w:w="120" w:type="dxa"/>
              <w:bottom w:w="90" w:type="dxa"/>
              <w:end w:w="120" w:type="dxa"/>
            </w:tcMar>
            <w:vAlign w:val="center"/>
          </w:tcPr>
          <w:p>
            <w:pPr>
              <w:spacing w:after="0" w:line="259" w:lineRule="auto"/>
            </w:pPr>
            <w:r>
              <w:rPr>
                <w:color w:val="17202A"/>
                <w:sz w:val="16"/>
              </w:rPr>
              <w:t>Source + target repositories</w:t>
            </w:r>
          </w:p>
        </w:tc>
        <w:tc>
          <w:tcPr>
            <w:tcW w:type="dxa" w:w="2088"/>
            <w:tcMar>
              <w:top w:w="90" w:type="dxa"/>
              <w:start w:w="120" w:type="dxa"/>
              <w:bottom w:w="90" w:type="dxa"/>
              <w:end w:w="120" w:type="dxa"/>
            </w:tcMar>
            <w:vAlign w:val="center"/>
          </w:tcPr>
          <w:p>
            <w:pPr>
              <w:spacing w:after="0" w:line="259" w:lineRule="auto"/>
            </w:pPr>
            <w:r>
              <w:rPr>
                <w:color w:val="17202A"/>
                <w:sz w:val="16"/>
              </w:rPr>
              <w:t>Release copy</w:t>
            </w:r>
          </w:p>
        </w:tc>
        <w:tc>
          <w:tcPr>
            <w:tcW w:type="dxa" w:w="3067"/>
            <w:tcMar>
              <w:top w:w="90" w:type="dxa"/>
              <w:start w:w="120" w:type="dxa"/>
              <w:bottom w:w="90" w:type="dxa"/>
              <w:end w:w="120" w:type="dxa"/>
            </w:tcMar>
            <w:vAlign w:val="center"/>
          </w:tcPr>
          <w:p>
            <w:r>
              <w:t>Verifies image signature, recursively copies referrers, and checks digest</w:t>
            </w:r>
          </w:p>
        </w:tc>
      </w:tr>
    </w:tbl>
    <w:p>
      <w:pPr>
        <w:pStyle w:val="Heading1"/>
      </w:pPr>
      <w:r>
        <w:t>4. Image dependency and pipeline selection</w:t>
      </w:r>
    </w:p>
    <w:p>
      <w:r>
        <w:t>The catalog is the control plane for dependency-aware pipeline generation. A UBI 9 change selects the base and all three Atlassian descendants. An application-only change selects only that application. UBI 10 remains isolated until a reviewed catalog change explicitly adds a downstream dependency.</w:t>
      </w:r>
    </w:p>
    <w:p>
      <w:pPr>
        <w:keepNext/>
        <w:jc w:val="center"/>
      </w:pPr>
      <w:r>
        <w:drawing>
          <wp:inline xmlns:a="http://schemas.openxmlformats.org/drawingml/2006/main" xmlns:pic="http://schemas.openxmlformats.org/drawingml/2006/picture">
            <wp:extent cx="5806440" cy="3161284"/>
            <wp:docPr id="2" name="Picture 2" descr="Dependency graph showing UBI 9 as the common base for Bitbucket, Confluence, and Jira, with UBI 10 isolated as a canary."/>
            <wp:cNvGraphicFramePr>
              <a:graphicFrameLocks noChangeAspect="1"/>
            </wp:cNvGraphicFramePr>
            <a:graphic>
              <a:graphicData uri="http://schemas.openxmlformats.org/drawingml/2006/picture">
                <pic:pic>
                  <pic:nvPicPr>
                    <pic:cNvPr id="0" name="dependency-graph.png"/>
                    <pic:cNvPicPr/>
                  </pic:nvPicPr>
                  <pic:blipFill>
                    <a:blip r:embed="rId12"/>
                    <a:stretch>
                      <a:fillRect/>
                    </a:stretch>
                  </pic:blipFill>
                  <pic:spPr>
                    <a:xfrm>
                      <a:off x="0" y="0"/>
                      <a:ext cx="5806440" cy="3161284"/>
                    </a:xfrm>
                    <a:prstGeom prst="rect"/>
                  </pic:spPr>
                </pic:pic>
              </a:graphicData>
            </a:graphic>
          </wp:inline>
        </w:drawing>
      </w:r>
    </w:p>
    <w:p>
      <w:pPr>
        <w:pStyle w:val="Caption"/>
        <w:jc w:val="center"/>
      </w:pPr>
      <w:r>
        <w:t>Figure 2. Production and canary image dependency graph.</w:t>
      </w:r>
    </w:p>
    <w:p>
      <w:pPr>
        <w:pStyle w:val="Heading2"/>
      </w:pPr>
      <w:r>
        <w:t>Selection behavior</w:t>
      </w:r>
    </w:p>
    <w:tbl>
      <w:tblPr>
        <w:tblStyle w:val="TableGrid"/>
        <w:tblW w:type="dxa" w:w="9360"/>
        <w:jc w:val="left"/>
        <w:tblLayout w:type="fixed"/>
        <w:tblLook w:firstColumn="1" w:firstRow="1" w:lastColumn="0" w:lastRow="0" w:noHBand="0" w:noVBand="1" w:val="04A0"/>
        <w:tblInd w:w="120" w:type="dxa"/>
      </w:tblPr>
      <w:tblGrid>
        <w:gridCol w:w="1944"/>
        <w:gridCol w:w="3240"/>
        <w:gridCol w:w="4176"/>
      </w:tblGrid>
      <w:tr>
        <w:trPr>
          <w:tblHeader w:val="true"/>
        </w:trPr>
        <w:tc>
          <w:tcPr>
            <w:tcW w:type="dxa" w:w="1944"/>
            <w:shd w:fill="E8EEF5"/>
            <w:tcMar>
              <w:top w:w="90" w:type="dxa"/>
              <w:start w:w="120" w:type="dxa"/>
              <w:bottom w:w="90" w:type="dxa"/>
              <w:end w:w="120" w:type="dxa"/>
            </w:tcMar>
            <w:vAlign w:val="center"/>
          </w:tcPr>
          <w:p>
            <w:pPr>
              <w:spacing w:after="0"/>
            </w:pPr>
            <w:r>
              <w:rPr>
                <w:b/>
                <w:color w:val="17324D"/>
                <w:sz w:val="18"/>
              </w:rPr>
              <w:t>Changed catalog item</w:t>
            </w:r>
          </w:p>
        </w:tc>
        <w:tc>
          <w:tcPr>
            <w:tcW w:type="dxa" w:w="3240"/>
            <w:shd w:fill="E8EEF5"/>
            <w:tcMar>
              <w:top w:w="90" w:type="dxa"/>
              <w:start w:w="120" w:type="dxa"/>
              <w:bottom w:w="90" w:type="dxa"/>
              <w:end w:w="120" w:type="dxa"/>
            </w:tcMar>
            <w:vAlign w:val="center"/>
          </w:tcPr>
          <w:p>
            <w:pPr>
              <w:spacing w:after="0"/>
            </w:pPr>
            <w:r>
              <w:rPr>
                <w:b/>
                <w:color w:val="17324D"/>
                <w:sz w:val="18"/>
              </w:rPr>
              <w:t>Rendered child pipelines</w:t>
            </w:r>
          </w:p>
        </w:tc>
        <w:tc>
          <w:tcPr>
            <w:tcW w:type="dxa" w:w="4176"/>
            <w:shd w:fill="E8EEF5"/>
            <w:tcMar>
              <w:top w:w="90" w:type="dxa"/>
              <w:start w:w="120" w:type="dxa"/>
              <w:bottom w:w="90" w:type="dxa"/>
              <w:end w:w="120" w:type="dxa"/>
            </w:tcMar>
            <w:vAlign w:val="center"/>
          </w:tcPr>
          <w:p>
            <w:pPr>
              <w:spacing w:after="0"/>
            </w:pPr>
            <w:r>
              <w:rPr>
                <w:b/>
                <w:color w:val="17324D"/>
                <w:sz w:val="18"/>
              </w:rPr>
              <w:t>Expected behavior</w:t>
            </w:r>
          </w:p>
        </w:tc>
      </w:tr>
      <w:tr>
        <w:tc>
          <w:tcPr>
            <w:tcW w:type="dxa" w:w="1944"/>
            <w:tcMar>
              <w:top w:w="90" w:type="dxa"/>
              <w:start w:w="120" w:type="dxa"/>
              <w:bottom w:w="90" w:type="dxa"/>
              <w:end w:w="120" w:type="dxa"/>
            </w:tcMar>
            <w:vAlign w:val="center"/>
          </w:tcPr>
          <w:p>
            <w:pPr>
              <w:spacing w:after="0" w:line="259" w:lineRule="auto"/>
            </w:pPr>
            <w:r>
              <w:rPr>
                <w:color w:val="17202A"/>
                <w:sz w:val="18"/>
              </w:rPr>
              <w:t>ubi9-minimal</w:t>
            </w:r>
          </w:p>
        </w:tc>
        <w:tc>
          <w:tcPr>
            <w:tcW w:type="dxa" w:w="3240"/>
            <w:tcMar>
              <w:top w:w="90" w:type="dxa"/>
              <w:start w:w="120" w:type="dxa"/>
              <w:bottom w:w="90" w:type="dxa"/>
              <w:end w:w="120" w:type="dxa"/>
            </w:tcMar>
            <w:vAlign w:val="center"/>
          </w:tcPr>
          <w:p>
            <w:pPr>
              <w:spacing w:after="0" w:line="259" w:lineRule="auto"/>
            </w:pPr>
            <w:r>
              <w:rPr>
                <w:color w:val="17202A"/>
                <w:sz w:val="18"/>
              </w:rPr>
              <w:t>UBI 9 + Bitbucket + Confluence + Jira</w:t>
            </w:r>
          </w:p>
        </w:tc>
        <w:tc>
          <w:tcPr>
            <w:tcW w:type="dxa" w:w="4176"/>
            <w:tcMar>
              <w:top w:w="90" w:type="dxa"/>
              <w:start w:w="120" w:type="dxa"/>
              <w:bottom w:w="90" w:type="dxa"/>
              <w:end w:w="120" w:type="dxa"/>
            </w:tcMar>
            <w:vAlign w:val="center"/>
          </w:tcPr>
          <w:p>
            <w:pPr>
              <w:spacing w:after="0" w:line="259" w:lineRule="auto"/>
            </w:pPr>
            <w:r>
              <w:rPr>
                <w:color w:val="17202A"/>
                <w:sz w:val="18"/>
              </w:rPr>
              <w:t>Base completes first; applications fan out in parallel</w:t>
            </w:r>
          </w:p>
        </w:tc>
      </w:tr>
      <w:tr>
        <w:tc>
          <w:tcPr>
            <w:tcW w:type="dxa" w:w="1944"/>
            <w:shd w:fill="FAFBFC"/>
            <w:tcMar>
              <w:top w:w="90" w:type="dxa"/>
              <w:start w:w="120" w:type="dxa"/>
              <w:bottom w:w="90" w:type="dxa"/>
              <w:end w:w="120" w:type="dxa"/>
            </w:tcMar>
            <w:vAlign w:val="center"/>
          </w:tcPr>
          <w:p>
            <w:pPr>
              <w:spacing w:after="0" w:line="259" w:lineRule="auto"/>
            </w:pPr>
            <w:r>
              <w:rPr>
                <w:color w:val="17202A"/>
                <w:sz w:val="18"/>
              </w:rPr>
              <w:t>bitbucket-lts</w:t>
            </w:r>
          </w:p>
        </w:tc>
        <w:tc>
          <w:tcPr>
            <w:tcW w:type="dxa" w:w="3240"/>
            <w:shd w:fill="FAFBFC"/>
            <w:tcMar>
              <w:top w:w="90" w:type="dxa"/>
              <w:start w:w="120" w:type="dxa"/>
              <w:bottom w:w="90" w:type="dxa"/>
              <w:end w:w="120" w:type="dxa"/>
            </w:tcMar>
            <w:vAlign w:val="center"/>
          </w:tcPr>
          <w:p>
            <w:pPr>
              <w:spacing w:after="0" w:line="259" w:lineRule="auto"/>
            </w:pPr>
            <w:r>
              <w:rPr>
                <w:color w:val="17202A"/>
                <w:sz w:val="18"/>
              </w:rPr>
              <w:t>Bitbucket only</w:t>
            </w:r>
          </w:p>
        </w:tc>
        <w:tc>
          <w:tcPr>
            <w:tcW w:type="dxa" w:w="4176"/>
            <w:shd w:fill="FAFBFC"/>
            <w:tcMar>
              <w:top w:w="90" w:type="dxa"/>
              <w:start w:w="120" w:type="dxa"/>
              <w:bottom w:w="90" w:type="dxa"/>
              <w:end w:w="120" w:type="dxa"/>
            </w:tcMar>
            <w:vAlign w:val="center"/>
          </w:tcPr>
          <w:p>
            <w:pPr>
              <w:spacing w:after="0" w:line="259" w:lineRule="auto"/>
            </w:pPr>
            <w:r>
              <w:rPr>
                <w:color w:val="17202A"/>
                <w:sz w:val="18"/>
              </w:rPr>
              <w:t>No unrelated application rebuild</w:t>
            </w:r>
          </w:p>
        </w:tc>
      </w:tr>
      <w:tr>
        <w:tc>
          <w:tcPr>
            <w:tcW w:type="dxa" w:w="1944"/>
            <w:tcMar>
              <w:top w:w="90" w:type="dxa"/>
              <w:start w:w="120" w:type="dxa"/>
              <w:bottom w:w="90" w:type="dxa"/>
              <w:end w:w="120" w:type="dxa"/>
            </w:tcMar>
            <w:vAlign w:val="center"/>
          </w:tcPr>
          <w:p>
            <w:pPr>
              <w:spacing w:after="0" w:line="259" w:lineRule="auto"/>
            </w:pPr>
            <w:r>
              <w:rPr>
                <w:color w:val="17202A"/>
                <w:sz w:val="18"/>
              </w:rPr>
              <w:t>confluence-lts</w:t>
            </w:r>
          </w:p>
        </w:tc>
        <w:tc>
          <w:tcPr>
            <w:tcW w:type="dxa" w:w="3240"/>
            <w:tcMar>
              <w:top w:w="90" w:type="dxa"/>
              <w:start w:w="120" w:type="dxa"/>
              <w:bottom w:w="90" w:type="dxa"/>
              <w:end w:w="120" w:type="dxa"/>
            </w:tcMar>
            <w:vAlign w:val="center"/>
          </w:tcPr>
          <w:p>
            <w:pPr>
              <w:spacing w:after="0" w:line="259" w:lineRule="auto"/>
            </w:pPr>
            <w:r>
              <w:rPr>
                <w:color w:val="17202A"/>
                <w:sz w:val="18"/>
              </w:rPr>
              <w:t>Confluence only</w:t>
            </w:r>
          </w:p>
        </w:tc>
        <w:tc>
          <w:tcPr>
            <w:tcW w:type="dxa" w:w="4176"/>
            <w:tcMar>
              <w:top w:w="90" w:type="dxa"/>
              <w:start w:w="120" w:type="dxa"/>
              <w:bottom w:w="90" w:type="dxa"/>
              <w:end w:w="120" w:type="dxa"/>
            </w:tcMar>
            <w:vAlign w:val="center"/>
          </w:tcPr>
          <w:p>
            <w:pPr>
              <w:spacing w:after="0" w:line="259" w:lineRule="auto"/>
            </w:pPr>
            <w:r>
              <w:rPr>
                <w:color w:val="17202A"/>
                <w:sz w:val="18"/>
              </w:rPr>
              <w:t>Uses currently approved UBI 9 digest</w:t>
            </w:r>
          </w:p>
        </w:tc>
      </w:tr>
      <w:tr>
        <w:tc>
          <w:tcPr>
            <w:tcW w:type="dxa" w:w="1944"/>
            <w:shd w:fill="FAFBFC"/>
            <w:tcMar>
              <w:top w:w="90" w:type="dxa"/>
              <w:start w:w="120" w:type="dxa"/>
              <w:bottom w:w="90" w:type="dxa"/>
              <w:end w:w="120" w:type="dxa"/>
            </w:tcMar>
            <w:vAlign w:val="center"/>
          </w:tcPr>
          <w:p>
            <w:pPr>
              <w:spacing w:after="0" w:line="259" w:lineRule="auto"/>
            </w:pPr>
            <w:r>
              <w:rPr>
                <w:color w:val="17202A"/>
                <w:sz w:val="18"/>
              </w:rPr>
              <w:t>jira-lts</w:t>
            </w:r>
          </w:p>
        </w:tc>
        <w:tc>
          <w:tcPr>
            <w:tcW w:type="dxa" w:w="3240"/>
            <w:shd w:fill="FAFBFC"/>
            <w:tcMar>
              <w:top w:w="90" w:type="dxa"/>
              <w:start w:w="120" w:type="dxa"/>
              <w:bottom w:w="90" w:type="dxa"/>
              <w:end w:w="120" w:type="dxa"/>
            </w:tcMar>
            <w:vAlign w:val="center"/>
          </w:tcPr>
          <w:p>
            <w:pPr>
              <w:spacing w:after="0" w:line="259" w:lineRule="auto"/>
            </w:pPr>
            <w:r>
              <w:rPr>
                <w:color w:val="17202A"/>
                <w:sz w:val="18"/>
              </w:rPr>
              <w:t>Jira only</w:t>
            </w:r>
          </w:p>
        </w:tc>
        <w:tc>
          <w:tcPr>
            <w:tcW w:type="dxa" w:w="4176"/>
            <w:shd w:fill="FAFBFC"/>
            <w:tcMar>
              <w:top w:w="90" w:type="dxa"/>
              <w:start w:w="120" w:type="dxa"/>
              <w:bottom w:w="90" w:type="dxa"/>
              <w:end w:w="120" w:type="dxa"/>
            </w:tcMar>
            <w:vAlign w:val="center"/>
          </w:tcPr>
          <w:p>
            <w:pPr>
              <w:spacing w:after="0" w:line="259" w:lineRule="auto"/>
            </w:pPr>
            <w:r>
              <w:rPr>
                <w:color w:val="17202A"/>
                <w:sz w:val="18"/>
              </w:rPr>
              <w:t>Uses currently approved UBI 9 digest</w:t>
            </w:r>
          </w:p>
        </w:tc>
      </w:tr>
      <w:tr>
        <w:tc>
          <w:tcPr>
            <w:tcW w:type="dxa" w:w="1944"/>
            <w:tcMar>
              <w:top w:w="90" w:type="dxa"/>
              <w:start w:w="120" w:type="dxa"/>
              <w:bottom w:w="90" w:type="dxa"/>
              <w:end w:w="120" w:type="dxa"/>
            </w:tcMar>
            <w:vAlign w:val="center"/>
          </w:tcPr>
          <w:p>
            <w:pPr>
              <w:spacing w:after="0" w:line="259" w:lineRule="auto"/>
            </w:pPr>
            <w:r>
              <w:rPr>
                <w:color w:val="17202A"/>
                <w:sz w:val="18"/>
              </w:rPr>
              <w:t>ubi10-minimal</w:t>
            </w:r>
          </w:p>
        </w:tc>
        <w:tc>
          <w:tcPr>
            <w:tcW w:type="dxa" w:w="3240"/>
            <w:tcMar>
              <w:top w:w="90" w:type="dxa"/>
              <w:start w:w="120" w:type="dxa"/>
              <w:bottom w:w="90" w:type="dxa"/>
              <w:end w:w="120" w:type="dxa"/>
            </w:tcMar>
            <w:vAlign w:val="center"/>
          </w:tcPr>
          <w:p>
            <w:pPr>
              <w:spacing w:after="0" w:line="259" w:lineRule="auto"/>
            </w:pPr>
            <w:r>
              <w:rPr>
                <w:color w:val="17202A"/>
                <w:sz w:val="18"/>
              </w:rPr>
              <w:t>UBI 10 canary only</w:t>
            </w:r>
          </w:p>
        </w:tc>
        <w:tc>
          <w:tcPr>
            <w:tcW w:type="dxa" w:w="4176"/>
            <w:tcMar>
              <w:top w:w="90" w:type="dxa"/>
              <w:start w:w="120" w:type="dxa"/>
              <w:bottom w:w="90" w:type="dxa"/>
              <w:end w:w="120" w:type="dxa"/>
            </w:tcMar>
            <w:vAlign w:val="center"/>
          </w:tcPr>
          <w:p>
            <w:pPr>
              <w:spacing w:after="0" w:line="259" w:lineRule="auto"/>
            </w:pPr>
            <w:r>
              <w:rPr>
                <w:color w:val="17202A"/>
                <w:sz w:val="18"/>
              </w:rPr>
              <w:t>Cannot alter production Atlassian base lineage</w:t>
            </w:r>
          </w:p>
        </w:tc>
      </w:tr>
    </w:tbl>
    <w:p>
      <w:pPr>
        <w:pStyle w:val="Heading2"/>
      </w:pPr>
      <w:r>
        <w:t>Local pipeline checks</w:t>
      </w:r>
    </w:p>
    <w:p>
      <w:pPr>
        <w:spacing w:before="0" w:after="0" w:line="240" w:lineRule="auto"/>
        <w:ind w:left="259" w:right="259"/>
        <w:shd w:fill="F2F4F7"/>
      </w:pPr>
      <w:r>
        <w:rPr>
          <w:rFonts w:ascii="Courier New" w:hAnsi="Courier New"/>
          <w:color w:val="17202A"/>
          <w:sz w:val="17"/>
        </w:rPr>
        <w:t>make validate</w:t>
      </w:r>
    </w:p>
    <w:p>
      <w:pPr>
        <w:spacing w:before="0" w:after="0" w:line="240" w:lineRule="auto"/>
        <w:ind w:left="259" w:right="259"/>
        <w:shd w:fill="F2F4F7"/>
      </w:pPr>
      <w:r>
        <w:rPr>
          <w:rFonts w:ascii="Courier New" w:hAnsi="Courier New"/>
          <w:color w:val="17202A"/>
          <w:sz w:val="17"/>
        </w:rPr>
        <w:t>make test</w:t>
      </w:r>
    </w:p>
    <w:p>
      <w:pPr>
        <w:spacing w:before="0" w:after="0" w:line="240" w:lineRule="auto"/>
        <w:ind w:left="259" w:right="259"/>
        <w:shd w:fill="F2F4F7"/>
      </w:pPr>
      <w:r>
        <w:rPr>
          <w:rFonts w:ascii="Courier New" w:hAnsi="Courier New"/>
          <w:color w:val="17202A"/>
          <w:sz w:val="17"/>
        </w:rPr>
        <w:t>PYTHONPATH=. python3 -m factory.cli pipeline --catalog catalog/images --changed ubi9-minimal --output generated-child.yml</w:t>
      </w:r>
    </w:p>
    <w:p>
      <w:pPr>
        <w:pStyle w:val="Heading1"/>
      </w:pPr>
      <w:r>
        <w:t>5. End-to-end process flow</w:t>
      </w:r>
    </w:p>
    <w:p>
      <w:pPr>
        <w:keepNext/>
        <w:jc w:val="center"/>
      </w:pPr>
      <w:r>
        <w:drawing>
          <wp:inline xmlns:a="http://schemas.openxmlformats.org/drawingml/2006/main" xmlns:pic="http://schemas.openxmlformats.org/drawingml/2006/picture">
            <wp:extent cx="5806440" cy="3161284"/>
            <wp:docPr id="3" name="Picture 3" descr="Seven-step flow from source pinning through lock transfer, offline build, offline evidence and FCS assessment, OPA gate, Cosign attestations, and digest-preserving promotion."/>
            <wp:cNvGraphicFramePr>
              <a:graphicFrameLocks noChangeAspect="1"/>
            </wp:cNvGraphicFramePr>
            <a:graphic>
              <a:graphicData uri="http://schemas.openxmlformats.org/drawingml/2006/picture">
                <pic:pic>
                  <pic:nvPicPr>
                    <pic:cNvPr id="0" name="process-flow.png"/>
                    <pic:cNvPicPr/>
                  </pic:nvPicPr>
                  <pic:blipFill>
                    <a:blip r:embed="rId13"/>
                    <a:stretch>
                      <a:fillRect/>
                    </a:stretch>
                  </pic:blipFill>
                  <pic:spPr>
                    <a:xfrm>
                      <a:off x="0" y="0"/>
                      <a:ext cx="5806440" cy="3161284"/>
                    </a:xfrm>
                    <a:prstGeom prst="rect"/>
                  </pic:spPr>
                </pic:pic>
              </a:graphicData>
            </a:graphic>
          </wp:inline>
        </w:drawing>
      </w:r>
    </w:p>
    <w:p>
      <w:pPr>
        <w:pStyle w:val="Caption"/>
        <w:jc w:val="center"/>
      </w:pPr>
      <w:r>
        <w:t>Figure 3. Intake-to-promotion flow with fail-closed gates.</w:t>
      </w:r>
    </w:p>
    <w:p>
      <w:pPr>
        <w:pStyle w:val="Heading2"/>
      </w:pPr>
      <w:r>
        <w:t>1. Pin and mirror</w:t>
      </w:r>
    </w:p>
    <w:p>
      <w:r>
        <w:t>Mirror the five Repo One repositories into internal Git at full 40-character commits. Resolve manifest resources and OCI bases. Verify declared checksums before upload.</w:t>
      </w:r>
    </w:p>
    <w:p>
      <w:pPr>
        <w:pStyle w:val="Heading2"/>
      </w:pPr>
      <w:r>
        <w:t>2. Lock and transfer</w:t>
      </w:r>
    </w:p>
    <w:p>
      <w:r>
        <w:t>Produce resource-lock.json with the pinned source, manifest resources, OCI identities, and RPM snapshot metadata, then sign it with the intake Cosign key. The current generatedAt field means byte-for-byte deterministic replay is not yet achieved, and security-data/toolchain digests are not yet embedded in the lock.</w:t>
      </w:r>
    </w:p>
    <w:p>
      <w:pPr>
        <w:pStyle w:val="Heading2"/>
      </w:pPr>
      <w:r>
        <w:t>3. Prepare and build</w:t>
      </w:r>
    </w:p>
    <w:p>
      <w:r>
        <w:t>Apply the approved overlay to a clean pinned source checkout. Build with Buildah using only internal resources and an immutable RPM snapshot.</w:t>
      </w:r>
    </w:p>
    <w:p>
      <w:pPr>
        <w:pStyle w:val="Heading2"/>
      </w:pPr>
      <w:r>
        <w:t>4. Test and scan</w:t>
      </w:r>
    </w:p>
    <w:p>
      <w:r>
        <w:t>Run structural, RPM integrity, crypto-policy, OpenSCAP, Syft SBOM, informational vulnerability, and baseline product runtime checks against the exact candidate. A protected FCS job assesses the loaded OCI candidate and supplies the authoritative image-policy status. Licensed PostgreSQL and cluster scenarios remain environment work.</w:t>
      </w:r>
    </w:p>
    <w:p>
      <w:pPr>
        <w:pStyle w:val="Heading2"/>
      </w:pPr>
      <w:r>
        <w:t>5. Evaluate policy</w:t>
      </w:r>
    </w:p>
    <w:p>
      <w:r>
        <w:t>Normalize informational findings and evaluate OPA. The current gate fails closed for invalid SBOM, compliance, tests, or FCS status, including FCS report/SBOM validation and digest mismatch. Database-age and signed-exception rules are not yet implemented.</w:t>
      </w:r>
    </w:p>
    <w:p>
      <w:pPr>
        <w:pStyle w:val="Heading2"/>
      </w:pPr>
      <w:r>
        <w:t>6. Import and sign</w:t>
      </w:r>
    </w:p>
    <w:p>
      <w:r>
        <w:t>A protected importer preserves and verifies the scanned digest while writing to quarantine. A separate protected signer uses an environment-specific encrypted Cosign key and short-lived Artifactory identity to attach signatures and attestations as OCI referrers.</w:t>
      </w:r>
    </w:p>
    <w:p>
      <w:pPr>
        <w:pStyle w:val="Heading2"/>
      </w:pPr>
      <w:r>
        <w:t>7. Promote</w:t>
      </w:r>
    </w:p>
    <w:p>
      <w:r>
        <w:t>The current promotion job verifies the source image signature, recursively copies the exact digest and OCI referrer closure, confirms digest preservation, and verifies the destination image signature. Approval-predicate and promotion-time attestation-completeness verification remain required production hardening.</w:t>
      </w:r>
    </w:p>
    <w:p>
      <w:pPr>
        <w:spacing w:before="120" w:after="180"/>
        <w:ind w:left="230" w:right="230"/>
        <w:shd w:fill="F4F6F9"/>
        <w:pBdr>
          <w:left w:val="single" w:sz="20" w:color="2E74B5"/>
        </w:pBdr>
      </w:pPr>
      <w:r>
        <w:rPr>
          <w:rFonts w:ascii="Calibri" w:hAnsi="Calibri"/>
          <w:b/>
          <w:color w:val="17324D"/>
        </w:rPr>
        <w:t xml:space="preserve">Identity rule: </w:t>
      </w:r>
      <w:r>
        <w:rPr>
          <w:rFonts w:ascii="Calibri" w:hAnsi="Calibri"/>
          <w:color w:val="17202A"/>
        </w:rPr>
        <w:t>The image digest is the release identity. Tags are convenience pointers and must never be used as evidence identity.</w:t>
      </w:r>
    </w:p>
    <w:p>
      <w:pPr>
        <w:pStyle w:val="Heading1"/>
      </w:pPr>
      <w:r>
        <w:t>6. Evidence and policy model</w:t>
      </w:r>
    </w:p>
    <w:p>
      <w:r>
        <w:t>The implemented signer attaches the current evidence set to the imported subject digest as Cosign attestations. FCS status embeds the candidate digest and the OPA gate checks that it matches. Several desired controls—signed approval evidence, policy-bundle digest, universal embedded subject fields, and promotion-time attestation completeness—remain roadmap work and must not be presented as enforced.</w:t>
      </w:r>
    </w:p>
    <w:tbl>
      <w:tblPr>
        <w:tblStyle w:val="TableGrid"/>
        <w:tblW w:type="dxa" w:w="9360"/>
        <w:jc w:val="left"/>
        <w:tblLayout w:type="fixed"/>
        <w:tblLook w:firstColumn="1" w:firstRow="1" w:lastColumn="0" w:lastRow="0" w:noHBand="0" w:noVBand="1" w:val="04A0"/>
        <w:tblInd w:w="120" w:type="dxa"/>
      </w:tblPr>
      <w:tblGrid>
        <w:gridCol w:w="2088"/>
        <w:gridCol w:w="2275"/>
        <w:gridCol w:w="4997"/>
      </w:tblGrid>
      <w:tr>
        <w:trPr>
          <w:tblHeader w:val="true"/>
        </w:trPr>
        <w:tc>
          <w:tcPr>
            <w:tcW w:type="dxa" w:w="2088"/>
            <w:shd w:fill="E8EEF5"/>
            <w:tcMar>
              <w:top w:w="90" w:type="dxa"/>
              <w:start w:w="120" w:type="dxa"/>
              <w:bottom w:w="90" w:type="dxa"/>
              <w:end w:w="120" w:type="dxa"/>
            </w:tcMar>
            <w:vAlign w:val="center"/>
          </w:tcPr>
          <w:p>
            <w:pPr>
              <w:spacing w:after="0"/>
            </w:pPr>
            <w:r>
              <w:rPr>
                <w:b/>
                <w:color w:val="17324D"/>
                <w:sz w:val="17"/>
              </w:rPr>
              <w:t>Predicate</w:t>
            </w:r>
          </w:p>
        </w:tc>
        <w:tc>
          <w:tcPr>
            <w:tcW w:type="dxa" w:w="2275"/>
            <w:shd w:fill="E8EEF5"/>
            <w:tcMar>
              <w:top w:w="90" w:type="dxa"/>
              <w:start w:w="120" w:type="dxa"/>
              <w:bottom w:w="90" w:type="dxa"/>
              <w:end w:w="120" w:type="dxa"/>
            </w:tcMar>
            <w:vAlign w:val="center"/>
          </w:tcPr>
          <w:p>
            <w:pPr>
              <w:spacing w:after="0"/>
            </w:pPr>
            <w:r>
              <w:rPr>
                <w:b/>
                <w:color w:val="17324D"/>
                <w:sz w:val="17"/>
              </w:rPr>
              <w:t>Producer</w:t>
            </w:r>
          </w:p>
        </w:tc>
        <w:tc>
          <w:tcPr>
            <w:tcW w:type="dxa" w:w="4997"/>
            <w:shd w:fill="E8EEF5"/>
            <w:tcMar>
              <w:top w:w="90" w:type="dxa"/>
              <w:start w:w="120" w:type="dxa"/>
              <w:bottom w:w="90" w:type="dxa"/>
              <w:end w:w="120" w:type="dxa"/>
            </w:tcMar>
            <w:vAlign w:val="center"/>
          </w:tcPr>
          <w:p>
            <w:pPr>
              <w:spacing w:after="0"/>
            </w:pPr>
            <w:r>
              <w:rPr>
                <w:b/>
                <w:color w:val="17324D"/>
                <w:sz w:val="17"/>
              </w:rPr>
              <w:t>Minimum contents</w:t>
            </w:r>
          </w:p>
        </w:tc>
      </w:tr>
      <w:tr>
        <w:tc>
          <w:tcPr>
            <w:tcW w:type="dxa" w:w="2088"/>
            <w:tcMar>
              <w:top w:w="90" w:type="dxa"/>
              <w:start w:w="120" w:type="dxa"/>
              <w:bottom w:w="90" w:type="dxa"/>
              <w:end w:w="120" w:type="dxa"/>
            </w:tcMar>
            <w:vAlign w:val="center"/>
          </w:tcPr>
          <w:p>
            <w:pPr>
              <w:spacing w:after="0" w:line="259" w:lineRule="auto"/>
            </w:pPr>
            <w:r>
              <w:rPr>
                <w:color w:val="17202A"/>
                <w:sz w:val="17"/>
              </w:rPr>
              <w:t>Resource lock</w:t>
            </w:r>
          </w:p>
        </w:tc>
        <w:tc>
          <w:tcPr>
            <w:tcW w:type="dxa" w:w="2275"/>
            <w:tcMar>
              <w:top w:w="90" w:type="dxa"/>
              <w:start w:w="120" w:type="dxa"/>
              <w:bottom w:w="90" w:type="dxa"/>
              <w:end w:w="120" w:type="dxa"/>
            </w:tcMar>
            <w:vAlign w:val="center"/>
          </w:tcPr>
          <w:p>
            <w:pPr>
              <w:spacing w:after="0" w:line="259" w:lineRule="auto"/>
            </w:pPr>
            <w:r>
              <w:rPr>
                <w:color w:val="17202A"/>
                <w:sz w:val="17"/>
              </w:rPr>
              <w:t>Intake</w:t>
            </w:r>
          </w:p>
        </w:tc>
        <w:tc>
          <w:tcPr>
            <w:tcW w:type="dxa" w:w="4997"/>
            <w:tcMar>
              <w:top w:w="90" w:type="dxa"/>
              <w:start w:w="120" w:type="dxa"/>
              <w:bottom w:w="90" w:type="dxa"/>
              <w:end w:w="120" w:type="dxa"/>
            </w:tcMar>
            <w:vAlign w:val="center"/>
          </w:tcPr>
          <w:p>
            <w:r>
              <w:t>Source commit, manifest digest, resource checksums/OCI digests, and RPM snapshot metadata</w:t>
            </w:r>
          </w:p>
        </w:tc>
      </w:tr>
      <w:tr>
        <w:tc>
          <w:tcPr>
            <w:tcW w:type="dxa" w:w="2088"/>
            <w:shd w:fill="FAFBFC"/>
            <w:tcMar>
              <w:top w:w="90" w:type="dxa"/>
              <w:start w:w="120" w:type="dxa"/>
              <w:bottom w:w="90" w:type="dxa"/>
              <w:end w:w="120" w:type="dxa"/>
            </w:tcMar>
            <w:vAlign w:val="center"/>
          </w:tcPr>
          <w:p>
            <w:pPr>
              <w:spacing w:after="0" w:line="259" w:lineRule="auto"/>
            </w:pPr>
            <w:r>
              <w:rPr>
                <w:color w:val="17202A"/>
                <w:sz w:val="17"/>
              </w:rPr>
              <w:t>CycloneDX + SPDX SBOM</w:t>
            </w:r>
          </w:p>
        </w:tc>
        <w:tc>
          <w:tcPr>
            <w:tcW w:type="dxa" w:w="2275"/>
            <w:shd w:fill="FAFBFC"/>
            <w:tcMar>
              <w:top w:w="90" w:type="dxa"/>
              <w:start w:w="120" w:type="dxa"/>
              <w:bottom w:w="90" w:type="dxa"/>
              <w:end w:w="120" w:type="dxa"/>
            </w:tcMar>
            <w:vAlign w:val="center"/>
          </w:tcPr>
          <w:p>
            <w:pPr>
              <w:spacing w:after="0" w:line="259" w:lineRule="auto"/>
            </w:pPr>
            <w:r>
              <w:rPr>
                <w:color w:val="17202A"/>
                <w:sz w:val="17"/>
              </w:rPr>
              <w:t>Syft</w:t>
            </w:r>
          </w:p>
        </w:tc>
        <w:tc>
          <w:tcPr>
            <w:tcW w:type="dxa" w:w="4997"/>
            <w:shd w:fill="FAFBFC"/>
            <w:tcMar>
              <w:top w:w="90" w:type="dxa"/>
              <w:start w:w="120" w:type="dxa"/>
              <w:bottom w:w="90" w:type="dxa"/>
              <w:end w:w="120" w:type="dxa"/>
            </w:tcMar>
            <w:vAlign w:val="center"/>
          </w:tcPr>
          <w:p>
            <w:pPr>
              <w:spacing w:after="0" w:line="259" w:lineRule="auto"/>
            </w:pPr>
            <w:r>
              <w:rPr>
                <w:color w:val="17202A"/>
                <w:sz w:val="17"/>
              </w:rPr>
              <w:t>OS packages, source-built Git, nested Atlassian JARs</w:t>
            </w:r>
          </w:p>
        </w:tc>
      </w:tr>
      <w:tr>
        <w:tc>
          <w:tcPr>
            <w:tcW w:type="dxa" w:w="2088"/>
            <w:tcMar>
              <w:top w:w="90" w:type="dxa"/>
              <w:start w:w="120" w:type="dxa"/>
              <w:bottom w:w="90" w:type="dxa"/>
              <w:end w:w="120" w:type="dxa"/>
            </w:tcMar>
            <w:vAlign w:val="center"/>
          </w:tcPr>
          <w:p>
            <w:pPr>
              <w:spacing w:after="0" w:line="259" w:lineRule="auto"/>
            </w:pPr>
            <w:r>
              <w:rPr>
                <w:color w:val="17202A"/>
                <w:sz w:val="17"/>
              </w:rPr>
              <w:t>SLSA provenance</w:t>
            </w:r>
          </w:p>
        </w:tc>
        <w:tc>
          <w:tcPr>
            <w:tcW w:type="dxa" w:w="2275"/>
            <w:tcMar>
              <w:top w:w="90" w:type="dxa"/>
              <w:start w:w="120" w:type="dxa"/>
              <w:bottom w:w="90" w:type="dxa"/>
              <w:end w:w="120" w:type="dxa"/>
            </w:tcMar>
            <w:vAlign w:val="center"/>
          </w:tcPr>
          <w:p>
            <w:pPr>
              <w:spacing w:after="0" w:line="259" w:lineRule="auto"/>
            </w:pPr>
            <w:r>
              <w:rPr>
                <w:color w:val="17202A"/>
                <w:sz w:val="17"/>
              </w:rPr>
              <w:t>Protected metadata job</w:t>
            </w:r>
          </w:p>
        </w:tc>
        <w:tc>
          <w:tcPr>
            <w:tcW w:type="dxa" w:w="4997"/>
            <w:tcMar>
              <w:top w:w="90" w:type="dxa"/>
              <w:start w:w="120" w:type="dxa"/>
              <w:bottom w:w="90" w:type="dxa"/>
              <w:end w:w="120" w:type="dxa"/>
            </w:tcMar>
            <w:vAlign w:val="center"/>
          </w:tcPr>
          <w:p>
            <w:r>
              <w:t>Source, base, locked resources, builder, RPM metadata, and attached subject</w:t>
            </w:r>
          </w:p>
        </w:tc>
      </w:tr>
      <w:tr>
        <w:tc>
          <w:tcPr>
            <w:tcW w:type="dxa" w:w="2088"/>
            <w:shd w:fill="FAFBFC"/>
            <w:tcMar>
              <w:top w:w="90" w:type="dxa"/>
              <w:start w:w="120" w:type="dxa"/>
              <w:bottom w:w="90" w:type="dxa"/>
              <w:end w:w="120" w:type="dxa"/>
            </w:tcMar>
            <w:vAlign w:val="center"/>
          </w:tcPr>
          <w:p>
            <w:r>
              <w:t>FCS image assessment + CycloneDX SBOM</w:t>
            </w:r>
          </w:p>
        </w:tc>
        <w:tc>
          <w:tcPr>
            <w:tcW w:type="dxa" w:w="2275"/>
            <w:shd w:fill="FAFBFC"/>
            <w:tcMar>
              <w:top w:w="90" w:type="dxa"/>
              <w:start w:w="120" w:type="dxa"/>
              <w:bottom w:w="90" w:type="dxa"/>
              <w:end w:w="120" w:type="dxa"/>
            </w:tcMar>
            <w:vAlign w:val="center"/>
          </w:tcPr>
          <w:p>
            <w:r>
              <w:t>CrowdStrike FCS</w:t>
            </w:r>
          </w:p>
        </w:tc>
        <w:tc>
          <w:tcPr>
            <w:tcW w:type="dxa" w:w="4997"/>
            <w:shd w:fill="FAFBFC"/>
            <w:tcMar>
              <w:top w:w="90" w:type="dxa"/>
              <w:start w:w="120" w:type="dxa"/>
              <w:bottom w:w="90" w:type="dxa"/>
              <w:end w:w="120" w:type="dxa"/>
            </w:tcMar>
            <w:vAlign w:val="center"/>
          </w:tcPr>
          <w:p>
            <w:r>
              <w:t>Native report, scanner status, exact digest, tenant-policy result, and FCS component inventory</w:t>
            </w:r>
          </w:p>
        </w:tc>
      </w:tr>
      <w:tr>
        <w:tc>
          <w:tcPr>
            <w:tcW w:type="dxa" w:w="2088"/>
          </w:tcPr>
          <w:p>
            <w:r>
              <w:t>Informational vulnerability</w:t>
            </w:r>
          </w:p>
        </w:tc>
        <w:tc>
          <w:tcPr>
            <w:tcW w:type="dxa" w:w="2275"/>
          </w:tcPr>
          <w:p>
            <w:r>
              <w:t>Grype / Trivy / OSV normalizer</w:t>
            </w:r>
          </w:p>
        </w:tc>
        <w:tc>
          <w:tcPr>
            <w:tcW w:type="dxa" w:w="4997"/>
          </w:tcPr>
          <w:p>
            <w:r>
              <w:t>Matches, KEV correlation, fix data, baseline comparison; does not independently deny release</w:t>
            </w:r>
          </w:p>
        </w:tc>
      </w:tr>
      <w:tr>
        <w:tc>
          <w:tcPr>
            <w:tcW w:type="dxa" w:w="2088"/>
            <w:tcMar>
              <w:top w:w="90" w:type="dxa"/>
              <w:start w:w="120" w:type="dxa"/>
              <w:bottom w:w="90" w:type="dxa"/>
              <w:end w:w="120" w:type="dxa"/>
            </w:tcMar>
            <w:vAlign w:val="center"/>
          </w:tcPr>
          <w:p>
            <w:pPr>
              <w:spacing w:after="0" w:line="259" w:lineRule="auto"/>
            </w:pPr>
            <w:r>
              <w:rPr>
                <w:color w:val="17202A"/>
                <w:sz w:val="17"/>
              </w:rPr>
              <w:t>Compliance</w:t>
            </w:r>
          </w:p>
        </w:tc>
        <w:tc>
          <w:tcPr>
            <w:tcW w:type="dxa" w:w="2275"/>
            <w:tcMar>
              <w:top w:w="90" w:type="dxa"/>
              <w:start w:w="120" w:type="dxa"/>
              <w:bottom w:w="90" w:type="dxa"/>
              <w:end w:w="120" w:type="dxa"/>
            </w:tcMar>
            <w:vAlign w:val="center"/>
          </w:tcPr>
          <w:p>
            <w:pPr>
              <w:spacing w:after="0" w:line="259" w:lineRule="auto"/>
            </w:pPr>
            <w:r>
              <w:rPr>
                <w:color w:val="17202A"/>
                <w:sz w:val="17"/>
              </w:rPr>
              <w:t>OpenSCAP</w:t>
            </w:r>
          </w:p>
        </w:tc>
        <w:tc>
          <w:tcPr>
            <w:tcW w:type="dxa" w:w="4997"/>
            <w:tcMar>
              <w:top w:w="90" w:type="dxa"/>
              <w:start w:w="120" w:type="dxa"/>
              <w:bottom w:w="90" w:type="dxa"/>
              <w:end w:w="120" w:type="dxa"/>
            </w:tcMar>
            <w:vAlign w:val="center"/>
          </w:tcPr>
          <w:p>
            <w:pPr>
              <w:spacing w:after="0" w:line="259" w:lineRule="auto"/>
            </w:pPr>
            <w:r>
              <w:rPr>
                <w:color w:val="17202A"/>
                <w:sz w:val="17"/>
              </w:rPr>
              <w:t>ARF, profile, fail / not-applicable / error controls</w:t>
            </w:r>
          </w:p>
        </w:tc>
      </w:tr>
      <w:tr>
        <w:tc>
          <w:tcPr>
            <w:tcW w:type="dxa" w:w="2088"/>
            <w:shd w:fill="FAFBFC"/>
            <w:tcMar>
              <w:top w:w="90" w:type="dxa"/>
              <w:start w:w="120" w:type="dxa"/>
              <w:bottom w:w="90" w:type="dxa"/>
              <w:end w:w="120" w:type="dxa"/>
            </w:tcMar>
            <w:vAlign w:val="center"/>
          </w:tcPr>
          <w:p>
            <w:pPr>
              <w:spacing w:after="0" w:line="259" w:lineRule="auto"/>
            </w:pPr>
            <w:r>
              <w:rPr>
                <w:color w:val="17202A"/>
                <w:sz w:val="17"/>
              </w:rPr>
              <w:t>Tests</w:t>
            </w:r>
          </w:p>
        </w:tc>
        <w:tc>
          <w:tcPr>
            <w:tcW w:type="dxa" w:w="2275"/>
            <w:shd w:fill="FAFBFC"/>
            <w:tcMar>
              <w:top w:w="90" w:type="dxa"/>
              <w:start w:w="120" w:type="dxa"/>
              <w:bottom w:w="90" w:type="dxa"/>
              <w:end w:w="120" w:type="dxa"/>
            </w:tcMar>
            <w:vAlign w:val="center"/>
          </w:tcPr>
          <w:p>
            <w:pPr>
              <w:spacing w:after="0" w:line="259" w:lineRule="auto"/>
            </w:pPr>
            <w:r>
              <w:rPr>
                <w:color w:val="17202A"/>
                <w:sz w:val="17"/>
              </w:rPr>
              <w:t>Product test job</w:t>
            </w:r>
          </w:p>
        </w:tc>
        <w:tc>
          <w:tcPr>
            <w:tcW w:type="dxa" w:w="4997"/>
            <w:shd w:fill="FAFBFC"/>
            <w:tcMar>
              <w:top w:w="90" w:type="dxa"/>
              <w:start w:w="120" w:type="dxa"/>
              <w:bottom w:w="90" w:type="dxa"/>
              <w:end w:w="120" w:type="dxa"/>
            </w:tcMar>
            <w:vAlign w:val="center"/>
          </w:tcPr>
          <w:p>
            <w:r>
              <w:t>Runtime checks, logs, and pass/fail; attestation binds the result to the subject</w:t>
            </w:r>
          </w:p>
        </w:tc>
      </w:tr>
      <w:tr>
        <w:tc>
          <w:tcPr>
            <w:tcW w:type="dxa" w:w="2088"/>
            <w:tcMar>
              <w:top w:w="90" w:type="dxa"/>
              <w:start w:w="120" w:type="dxa"/>
              <w:bottom w:w="90" w:type="dxa"/>
              <w:end w:w="120" w:type="dxa"/>
            </w:tcMar>
            <w:vAlign w:val="center"/>
          </w:tcPr>
          <w:p>
            <w:pPr>
              <w:spacing w:after="0" w:line="259" w:lineRule="auto"/>
            </w:pPr>
            <w:r>
              <w:rPr>
                <w:color w:val="17202A"/>
                <w:sz w:val="17"/>
              </w:rPr>
              <w:t>Gate</w:t>
            </w:r>
          </w:p>
        </w:tc>
        <w:tc>
          <w:tcPr>
            <w:tcW w:type="dxa" w:w="2275"/>
            <w:tcMar>
              <w:top w:w="90" w:type="dxa"/>
              <w:start w:w="120" w:type="dxa"/>
              <w:bottom w:w="90" w:type="dxa"/>
              <w:end w:w="120" w:type="dxa"/>
            </w:tcMar>
            <w:vAlign w:val="center"/>
          </w:tcPr>
          <w:p>
            <w:pPr>
              <w:spacing w:after="0" w:line="259" w:lineRule="auto"/>
            </w:pPr>
            <w:r>
              <w:rPr>
                <w:color w:val="17202A"/>
                <w:sz w:val="17"/>
              </w:rPr>
              <w:t>OPA</w:t>
            </w:r>
          </w:p>
        </w:tc>
        <w:tc>
          <w:tcPr>
            <w:tcW w:type="dxa" w:w="4997"/>
            <w:tcMar>
              <w:top w:w="90" w:type="dxa"/>
              <w:start w:w="120" w:type="dxa"/>
              <w:bottom w:w="90" w:type="dxa"/>
              <w:end w:w="120" w:type="dxa"/>
            </w:tcMar>
            <w:vAlign w:val="center"/>
          </w:tcPr>
          <w:p>
            <w:r>
              <w:t>Allow/deny and reasons; policy-bundle digest is not yet recorded</w:t>
            </w:r>
          </w:p>
        </w:tc>
      </w:tr>
      <w:tr>
        <w:tc>
          <w:tcPr>
            <w:tcW w:type="dxa" w:w="2088"/>
            <w:shd w:fill="FAFBFC"/>
            <w:tcMar>
              <w:top w:w="90" w:type="dxa"/>
              <w:start w:w="120" w:type="dxa"/>
              <w:bottom w:w="90" w:type="dxa"/>
              <w:end w:w="120" w:type="dxa"/>
            </w:tcMar>
            <w:vAlign w:val="center"/>
          </w:tcPr>
          <w:p>
            <w:r>
              <w:t>Approval (roadmap predicate)</w:t>
            </w:r>
          </w:p>
        </w:tc>
        <w:tc>
          <w:tcPr>
            <w:tcW w:type="dxa" w:w="2275"/>
            <w:shd w:fill="FAFBFC"/>
            <w:tcMar>
              <w:top w:w="90" w:type="dxa"/>
              <w:start w:w="120" w:type="dxa"/>
              <w:bottom w:w="90" w:type="dxa"/>
              <w:end w:w="120" w:type="dxa"/>
            </w:tcMar>
            <w:vAlign w:val="center"/>
          </w:tcPr>
          <w:p>
            <w:r>
              <w:t>Protected GitLab environment</w:t>
            </w:r>
          </w:p>
        </w:tc>
        <w:tc>
          <w:tcPr>
            <w:tcW w:type="dxa" w:w="4997"/>
            <w:shd w:fill="FAFBFC"/>
            <w:tcMar>
              <w:top w:w="90" w:type="dxa"/>
              <w:start w:w="120" w:type="dxa"/>
              <w:bottom w:w="90" w:type="dxa"/>
              <w:end w:w="120" w:type="dxa"/>
            </w:tcMar>
            <w:vAlign w:val="center"/>
          </w:tcPr>
          <w:p>
            <w:r>
              <w:t>Deployment approval exists operationally; signed approval predicate is not currently emitted</w:t>
            </w:r>
          </w:p>
        </w:tc>
      </w:tr>
    </w:tbl>
    <w:p>
      <w:pPr>
        <w:pStyle w:val="Heading2"/>
      </w:pPr>
      <w:r>
        <w:t>Default deny conditions</w:t>
      </w:r>
    </w:p>
    <w:p>
      <w:pPr>
        <w:pStyle w:val="ListBullet"/>
      </w:pPr>
      <w:r>
        <w:t>Roadmap only: legacy security-database age exceeds the catalog maximum. The field is present but is not evaluated by the current Rego policy.</w:t>
      </w:r>
    </w:p>
    <w:p>
      <w:pPr>
        <w:pStyle w:val="ListBullet"/>
      </w:pPr>
      <w:r>
        <w:t>SBOM validation, compliance evaluation, or product integration tests fail.</w:t>
      </w:r>
    </w:p>
    <w:p>
      <w:pPr>
        <w:pStyle w:val="ListBullet"/>
      </w:pPr>
      <w:r>
        <w:t>FCS tenant image-assessment policy returns a nonzero result for the candidate.</w:t>
      </w:r>
    </w:p>
    <w:p>
      <w:pPr>
        <w:pStyle w:val="ListBullet"/>
      </w:pPr>
      <w:r>
        <w:t>FCS evidence is missing, malformed, identifies the wrong scanner, or refers to a different digest.</w:t>
      </w:r>
    </w:p>
    <w:p>
      <w:pPr>
        <w:pStyle w:val="ListBullet"/>
      </w:pPr>
      <w:r>
        <w:t>Roadmap only: an exception is invalid, expired, or incorrectly scoped. The current exception data is not consumed by Rego.</w:t>
      </w:r>
    </w:p>
    <w:p>
      <w:pPr>
        <w:pStyle w:val="Heading2"/>
      </w:pPr>
      <w:r>
        <w:t>Promotion preconditions</w:t>
      </w:r>
    </w:p>
    <w:p>
      <w:pPr>
        <w:pStyle w:val="ListBullet"/>
      </w:pPr>
      <w:r>
        <w:t>Current: the image signature verifies and the promotion source digest matches the imported candidate. Roadmap: verify every required attestation and its subject before promotion.</w:t>
      </w:r>
    </w:p>
    <w:p>
      <w:pPr>
        <w:pStyle w:val="ListBullet"/>
      </w:pPr>
      <w:r>
        <w:t>Image signature verification uses the environment-approved Cosign public key. Recording and verifying a policy-bundle digest remains roadmap work.</w:t>
      </w:r>
    </w:p>
    <w:p>
      <w:pPr>
        <w:pStyle w:val="ListBullet"/>
      </w:pPr>
      <w:r>
        <w:t>Protected GitLab environment approval must apply to the intended target; emitting that approval as a signed predicate remains deployment work.</w:t>
      </w:r>
    </w:p>
    <w:p>
      <w:pPr>
        <w:pStyle w:val="ListBullet"/>
      </w:pPr>
      <w:r>
        <w:t>Gov1/Gov2 approvals are environment-local and satisfy the configured U.S.-person rule.</w:t>
      </w:r>
    </w:p>
    <w:p>
      <w:pPr>
        <w:pStyle w:val="ListBullet"/>
      </w:pPr>
      <w:r>
        <w:t>The destination receives the subject plus its complete OCI referrer closure without mutation.</w:t>
      </w:r>
    </w:p>
    <w:p>
      <w:pPr>
        <w:pStyle w:val="Heading1"/>
      </w:pPr>
      <w:r>
        <w:t>7. Internal Artifactory model</w:t>
      </w:r>
    </w:p>
    <w:p>
      <w:r>
        <w:t>Artifactory replaces external build-time platform dependencies. Repositories are separated by content type and writer so a connected intake identity cannot write release content and a build identity cannot publish.</w:t>
      </w:r>
    </w:p>
    <w:tbl>
      <w:tblPr>
        <w:tblStyle w:val="TableGrid"/>
        <w:tblW w:type="dxa" w:w="9360"/>
        <w:jc w:val="left"/>
        <w:tblLayout w:type="fixed"/>
        <w:tblLook w:firstColumn="1" w:firstRow="1" w:lastColumn="0" w:lastRow="0" w:noHBand="0" w:noVBand="1" w:val="04A0"/>
        <w:tblInd w:w="120" w:type="dxa"/>
      </w:tblPr>
      <w:tblGrid>
        <w:gridCol w:w="2563"/>
        <w:gridCol w:w="1296"/>
        <w:gridCol w:w="2088"/>
        <w:gridCol w:w="3413"/>
      </w:tblGrid>
      <w:tr>
        <w:trPr>
          <w:tblHeader w:val="true"/>
        </w:trPr>
        <w:tc>
          <w:tcPr>
            <w:tcW w:type="dxa" w:w="2563"/>
            <w:shd w:fill="E8EEF5"/>
            <w:tcMar>
              <w:top w:w="90" w:type="dxa"/>
              <w:start w:w="120" w:type="dxa"/>
              <w:bottom w:w="90" w:type="dxa"/>
              <w:end w:w="120" w:type="dxa"/>
            </w:tcMar>
            <w:vAlign w:val="center"/>
          </w:tcPr>
          <w:p>
            <w:pPr>
              <w:spacing w:after="0"/>
            </w:pPr>
            <w:r>
              <w:rPr>
                <w:b/>
                <w:color w:val="17324D"/>
                <w:sz w:val="16"/>
              </w:rPr>
              <w:t>Repository</w:t>
            </w:r>
          </w:p>
        </w:tc>
        <w:tc>
          <w:tcPr>
            <w:tcW w:type="dxa" w:w="1296"/>
            <w:shd w:fill="E8EEF5"/>
            <w:tcMar>
              <w:top w:w="90" w:type="dxa"/>
              <w:start w:w="120" w:type="dxa"/>
              <w:bottom w:w="90" w:type="dxa"/>
              <w:end w:w="120" w:type="dxa"/>
            </w:tcMar>
            <w:vAlign w:val="center"/>
          </w:tcPr>
          <w:p>
            <w:pPr>
              <w:spacing w:after="0"/>
            </w:pPr>
            <w:r>
              <w:rPr>
                <w:b/>
                <w:color w:val="17324D"/>
                <w:sz w:val="16"/>
              </w:rPr>
              <w:t>Type</w:t>
            </w:r>
          </w:p>
        </w:tc>
        <w:tc>
          <w:tcPr>
            <w:tcW w:type="dxa" w:w="2088"/>
            <w:shd w:fill="E8EEF5"/>
            <w:tcMar>
              <w:top w:w="90" w:type="dxa"/>
              <w:start w:w="120" w:type="dxa"/>
              <w:bottom w:w="90" w:type="dxa"/>
              <w:end w:w="120" w:type="dxa"/>
            </w:tcMar>
            <w:vAlign w:val="center"/>
          </w:tcPr>
          <w:p>
            <w:pPr>
              <w:spacing w:after="0"/>
            </w:pPr>
            <w:r>
              <w:rPr>
                <w:b/>
                <w:color w:val="17324D"/>
                <w:sz w:val="16"/>
              </w:rPr>
              <w:t>Authorized writer</w:t>
            </w:r>
          </w:p>
        </w:tc>
        <w:tc>
          <w:tcPr>
            <w:tcW w:type="dxa" w:w="3413"/>
            <w:shd w:fill="E8EEF5"/>
            <w:tcMar>
              <w:top w:w="90" w:type="dxa"/>
              <w:start w:w="120" w:type="dxa"/>
              <w:bottom w:w="90" w:type="dxa"/>
              <w:end w:w="120" w:type="dxa"/>
            </w:tcMar>
            <w:vAlign w:val="center"/>
          </w:tcPr>
          <w:p>
            <w:pPr>
              <w:spacing w:after="0"/>
            </w:pPr>
            <w:r>
              <w:rPr>
                <w:b/>
                <w:color w:val="17324D"/>
                <w:sz w:val="16"/>
              </w:rPr>
              <w:t>Purpose</w:t>
            </w:r>
          </w:p>
        </w:tc>
      </w:tr>
      <w:tr>
        <w:tc>
          <w:tcPr>
            <w:tcW w:type="dxa" w:w="2563"/>
            <w:tcMar>
              <w:top w:w="90" w:type="dxa"/>
              <w:start w:w="120" w:type="dxa"/>
              <w:bottom w:w="90" w:type="dxa"/>
              <w:end w:w="120" w:type="dxa"/>
            </w:tcMar>
            <w:vAlign w:val="center"/>
          </w:tcPr>
          <w:p>
            <w:pPr>
              <w:spacing w:after="0" w:line="259" w:lineRule="auto"/>
            </w:pPr>
            <w:r>
              <w:rPr>
                <w:color w:val="17202A"/>
                <w:sz w:val="16"/>
              </w:rPr>
              <w:t>generic-source-local</w:t>
            </w:r>
          </w:p>
        </w:tc>
        <w:tc>
          <w:tcPr>
            <w:tcW w:type="dxa" w:w="1296"/>
            <w:tcMar>
              <w:top w:w="90" w:type="dxa"/>
              <w:start w:w="120" w:type="dxa"/>
              <w:bottom w:w="90" w:type="dxa"/>
              <w:end w:w="120" w:type="dxa"/>
            </w:tcMar>
            <w:vAlign w:val="center"/>
          </w:tcPr>
          <w:p>
            <w:pPr>
              <w:spacing w:after="0" w:line="259" w:lineRule="auto"/>
            </w:pPr>
            <w:r>
              <w:rPr>
                <w:color w:val="17202A"/>
                <w:sz w:val="16"/>
              </w:rPr>
              <w:t>Generic</w:t>
            </w:r>
          </w:p>
        </w:tc>
        <w:tc>
          <w:tcPr>
            <w:tcW w:type="dxa" w:w="2088"/>
            <w:tcMar>
              <w:top w:w="90" w:type="dxa"/>
              <w:start w:w="120" w:type="dxa"/>
              <w:bottom w:w="90" w:type="dxa"/>
              <w:end w:w="120" w:type="dxa"/>
            </w:tcMar>
            <w:vAlign w:val="center"/>
          </w:tcPr>
          <w:p>
            <w:pPr>
              <w:spacing w:after="0" w:line="259" w:lineRule="auto"/>
            </w:pPr>
            <w:r>
              <w:rPr>
                <w:color w:val="17202A"/>
                <w:sz w:val="16"/>
              </w:rPr>
              <w:t>Connected intake</w:t>
            </w:r>
          </w:p>
        </w:tc>
        <w:tc>
          <w:tcPr>
            <w:tcW w:type="dxa" w:w="3413"/>
            <w:tcMar>
              <w:top w:w="90" w:type="dxa"/>
              <w:start w:w="120" w:type="dxa"/>
              <w:bottom w:w="90" w:type="dxa"/>
              <w:end w:w="120" w:type="dxa"/>
            </w:tcMar>
            <w:vAlign w:val="center"/>
          </w:tcPr>
          <w:p>
            <w:pPr>
              <w:spacing w:after="0" w:line="259" w:lineRule="auto"/>
            </w:pPr>
            <w:r>
              <w:rPr>
                <w:color w:val="17202A"/>
                <w:sz w:val="16"/>
              </w:rPr>
              <w:t>Checksum-addressed source archives and resources</w:t>
            </w:r>
          </w:p>
        </w:tc>
      </w:tr>
      <w:tr>
        <w:tc>
          <w:tcPr>
            <w:tcW w:type="dxa" w:w="2563"/>
            <w:shd w:fill="FAFBFC"/>
            <w:tcMar>
              <w:top w:w="90" w:type="dxa"/>
              <w:start w:w="120" w:type="dxa"/>
              <w:bottom w:w="90" w:type="dxa"/>
              <w:end w:w="120" w:type="dxa"/>
            </w:tcMar>
            <w:vAlign w:val="center"/>
          </w:tcPr>
          <w:p>
            <w:pPr>
              <w:spacing w:after="0" w:line="259" w:lineRule="auto"/>
            </w:pPr>
            <w:r>
              <w:rPr>
                <w:color w:val="17202A"/>
                <w:sz w:val="16"/>
              </w:rPr>
              <w:t>oci-upstream-cache-local</w:t>
            </w:r>
          </w:p>
        </w:tc>
        <w:tc>
          <w:tcPr>
            <w:tcW w:type="dxa" w:w="1296"/>
            <w:shd w:fill="FAFBFC"/>
            <w:tcMar>
              <w:top w:w="90" w:type="dxa"/>
              <w:start w:w="120" w:type="dxa"/>
              <w:bottom w:w="90" w:type="dxa"/>
              <w:end w:w="120" w:type="dxa"/>
            </w:tcMar>
            <w:vAlign w:val="center"/>
          </w:tcPr>
          <w:p>
            <w:pPr>
              <w:spacing w:after="0" w:line="259" w:lineRule="auto"/>
            </w:pPr>
            <w:r>
              <w:rPr>
                <w:color w:val="17202A"/>
                <w:sz w:val="16"/>
              </w:rPr>
              <w:t>OCI</w:t>
            </w:r>
          </w:p>
        </w:tc>
        <w:tc>
          <w:tcPr>
            <w:tcW w:type="dxa" w:w="2088"/>
            <w:shd w:fill="FAFBFC"/>
            <w:tcMar>
              <w:top w:w="90" w:type="dxa"/>
              <w:start w:w="120" w:type="dxa"/>
              <w:bottom w:w="90" w:type="dxa"/>
              <w:end w:w="120" w:type="dxa"/>
            </w:tcMar>
            <w:vAlign w:val="center"/>
          </w:tcPr>
          <w:p>
            <w:pPr>
              <w:spacing w:after="0" w:line="259" w:lineRule="auto"/>
            </w:pPr>
            <w:r>
              <w:rPr>
                <w:color w:val="17202A"/>
                <w:sz w:val="16"/>
              </w:rPr>
              <w:t>Connected intake</w:t>
            </w:r>
          </w:p>
        </w:tc>
        <w:tc>
          <w:tcPr>
            <w:tcW w:type="dxa" w:w="3413"/>
            <w:shd w:fill="FAFBFC"/>
            <w:tcMar>
              <w:top w:w="90" w:type="dxa"/>
              <w:start w:w="120" w:type="dxa"/>
              <w:bottom w:w="90" w:type="dxa"/>
              <w:end w:w="120" w:type="dxa"/>
            </w:tcMar>
            <w:vAlign w:val="center"/>
          </w:tcPr>
          <w:p>
            <w:pPr>
              <w:spacing w:after="0" w:line="259" w:lineRule="auto"/>
            </w:pPr>
            <w:r>
              <w:rPr>
                <w:color w:val="17202A"/>
                <w:sz w:val="16"/>
              </w:rPr>
              <w:t>Digest-pinned upstream bases</w:t>
            </w:r>
          </w:p>
        </w:tc>
      </w:tr>
      <w:tr>
        <w:tc>
          <w:tcPr>
            <w:tcW w:type="dxa" w:w="2563"/>
            <w:tcMar>
              <w:top w:w="90" w:type="dxa"/>
              <w:start w:w="120" w:type="dxa"/>
              <w:bottom w:w="90" w:type="dxa"/>
              <w:end w:w="120" w:type="dxa"/>
            </w:tcMar>
            <w:vAlign w:val="center"/>
          </w:tcPr>
          <w:p>
            <w:pPr>
              <w:spacing w:after="0" w:line="259" w:lineRule="auto"/>
            </w:pPr>
            <w:r>
              <w:rPr>
                <w:color w:val="17202A"/>
                <w:sz w:val="16"/>
              </w:rPr>
              <w:t>rpm-ubi9-snapshot-local</w:t>
            </w:r>
          </w:p>
        </w:tc>
        <w:tc>
          <w:tcPr>
            <w:tcW w:type="dxa" w:w="1296"/>
            <w:tcMar>
              <w:top w:w="90" w:type="dxa"/>
              <w:start w:w="120" w:type="dxa"/>
              <w:bottom w:w="90" w:type="dxa"/>
              <w:end w:w="120" w:type="dxa"/>
            </w:tcMar>
            <w:vAlign w:val="center"/>
          </w:tcPr>
          <w:p>
            <w:pPr>
              <w:spacing w:after="0" w:line="259" w:lineRule="auto"/>
            </w:pPr>
            <w:r>
              <w:rPr>
                <w:color w:val="17202A"/>
                <w:sz w:val="16"/>
              </w:rPr>
              <w:t>RPM</w:t>
            </w:r>
          </w:p>
        </w:tc>
        <w:tc>
          <w:tcPr>
            <w:tcW w:type="dxa" w:w="2088"/>
            <w:tcMar>
              <w:top w:w="90" w:type="dxa"/>
              <w:start w:w="120" w:type="dxa"/>
              <w:bottom w:w="90" w:type="dxa"/>
              <w:end w:w="120" w:type="dxa"/>
            </w:tcMar>
            <w:vAlign w:val="center"/>
          </w:tcPr>
          <w:p>
            <w:pPr>
              <w:spacing w:after="0" w:line="259" w:lineRule="auto"/>
            </w:pPr>
            <w:r>
              <w:rPr>
                <w:color w:val="17202A"/>
                <w:sz w:val="16"/>
              </w:rPr>
              <w:t>Snapshot job</w:t>
            </w:r>
          </w:p>
        </w:tc>
        <w:tc>
          <w:tcPr>
            <w:tcW w:type="dxa" w:w="3413"/>
            <w:tcMar>
              <w:top w:w="90" w:type="dxa"/>
              <w:start w:w="120" w:type="dxa"/>
              <w:bottom w:w="90" w:type="dxa"/>
              <w:end w:w="120" w:type="dxa"/>
            </w:tcMar>
            <w:vAlign w:val="center"/>
          </w:tcPr>
          <w:p>
            <w:pPr>
              <w:spacing w:after="0" w:line="259" w:lineRule="auto"/>
            </w:pPr>
            <w:r>
              <w:rPr>
                <w:color w:val="17202A"/>
                <w:sz w:val="16"/>
              </w:rPr>
              <w:t>Immutable UBI 9 repository snapshot</w:t>
            </w:r>
          </w:p>
        </w:tc>
      </w:tr>
      <w:tr>
        <w:tc>
          <w:tcPr>
            <w:tcW w:type="dxa" w:w="2563"/>
            <w:shd w:fill="FAFBFC"/>
            <w:tcMar>
              <w:top w:w="90" w:type="dxa"/>
              <w:start w:w="120" w:type="dxa"/>
              <w:bottom w:w="90" w:type="dxa"/>
              <w:end w:w="120" w:type="dxa"/>
            </w:tcMar>
            <w:vAlign w:val="center"/>
          </w:tcPr>
          <w:p>
            <w:pPr>
              <w:spacing w:after="0" w:line="259" w:lineRule="auto"/>
            </w:pPr>
            <w:r>
              <w:rPr>
                <w:color w:val="17202A"/>
                <w:sz w:val="16"/>
              </w:rPr>
              <w:t>rpm-ubi10-snapshot-local</w:t>
            </w:r>
          </w:p>
        </w:tc>
        <w:tc>
          <w:tcPr>
            <w:tcW w:type="dxa" w:w="1296"/>
            <w:shd w:fill="FAFBFC"/>
            <w:tcMar>
              <w:top w:w="90" w:type="dxa"/>
              <w:start w:w="120" w:type="dxa"/>
              <w:bottom w:w="90" w:type="dxa"/>
              <w:end w:w="120" w:type="dxa"/>
            </w:tcMar>
            <w:vAlign w:val="center"/>
          </w:tcPr>
          <w:p>
            <w:pPr>
              <w:spacing w:after="0" w:line="259" w:lineRule="auto"/>
            </w:pPr>
            <w:r>
              <w:rPr>
                <w:color w:val="17202A"/>
                <w:sz w:val="16"/>
              </w:rPr>
              <w:t>RPM</w:t>
            </w:r>
          </w:p>
        </w:tc>
        <w:tc>
          <w:tcPr>
            <w:tcW w:type="dxa" w:w="2088"/>
            <w:shd w:fill="FAFBFC"/>
            <w:tcMar>
              <w:top w:w="90" w:type="dxa"/>
              <w:start w:w="120" w:type="dxa"/>
              <w:bottom w:w="90" w:type="dxa"/>
              <w:end w:w="120" w:type="dxa"/>
            </w:tcMar>
            <w:vAlign w:val="center"/>
          </w:tcPr>
          <w:p>
            <w:pPr>
              <w:spacing w:after="0" w:line="259" w:lineRule="auto"/>
            </w:pPr>
            <w:r>
              <w:rPr>
                <w:color w:val="17202A"/>
                <w:sz w:val="16"/>
              </w:rPr>
              <w:t>Snapshot job</w:t>
            </w:r>
          </w:p>
        </w:tc>
        <w:tc>
          <w:tcPr>
            <w:tcW w:type="dxa" w:w="3413"/>
            <w:shd w:fill="FAFBFC"/>
            <w:tcMar>
              <w:top w:w="90" w:type="dxa"/>
              <w:start w:w="120" w:type="dxa"/>
              <w:bottom w:w="90" w:type="dxa"/>
              <w:end w:w="120" w:type="dxa"/>
            </w:tcMar>
            <w:vAlign w:val="center"/>
          </w:tcPr>
          <w:p>
            <w:pPr>
              <w:spacing w:after="0" w:line="259" w:lineRule="auto"/>
            </w:pPr>
            <w:r>
              <w:rPr>
                <w:color w:val="17202A"/>
                <w:sz w:val="16"/>
              </w:rPr>
              <w:t>Immutable UBI 10 repository snapshot</w:t>
            </w:r>
          </w:p>
        </w:tc>
      </w:tr>
      <w:tr>
        <w:tc>
          <w:tcPr>
            <w:tcW w:type="dxa" w:w="2563"/>
            <w:tcMar>
              <w:top w:w="90" w:type="dxa"/>
              <w:start w:w="120" w:type="dxa"/>
              <w:bottom w:w="90" w:type="dxa"/>
              <w:end w:w="120" w:type="dxa"/>
            </w:tcMar>
            <w:vAlign w:val="center"/>
          </w:tcPr>
          <w:p>
            <w:pPr>
              <w:spacing w:after="0" w:line="259" w:lineRule="auto"/>
            </w:pPr>
            <w:r>
              <w:rPr>
                <w:color w:val="17202A"/>
                <w:sz w:val="16"/>
              </w:rPr>
              <w:t>security-data-local</w:t>
            </w:r>
          </w:p>
        </w:tc>
        <w:tc>
          <w:tcPr>
            <w:tcW w:type="dxa" w:w="1296"/>
            <w:tcMar>
              <w:top w:w="90" w:type="dxa"/>
              <w:start w:w="120" w:type="dxa"/>
              <w:bottom w:w="90" w:type="dxa"/>
              <w:end w:w="120" w:type="dxa"/>
            </w:tcMar>
            <w:vAlign w:val="center"/>
          </w:tcPr>
          <w:p>
            <w:pPr>
              <w:spacing w:after="0" w:line="259" w:lineRule="auto"/>
            </w:pPr>
            <w:r>
              <w:rPr>
                <w:color w:val="17202A"/>
                <w:sz w:val="16"/>
              </w:rPr>
              <w:t>Generic / OCI</w:t>
            </w:r>
          </w:p>
        </w:tc>
        <w:tc>
          <w:tcPr>
            <w:tcW w:type="dxa" w:w="2088"/>
            <w:tcMar>
              <w:top w:w="90" w:type="dxa"/>
              <w:start w:w="120" w:type="dxa"/>
              <w:bottom w:w="90" w:type="dxa"/>
              <w:end w:w="120" w:type="dxa"/>
            </w:tcMar>
            <w:vAlign w:val="center"/>
          </w:tcPr>
          <w:p>
            <w:pPr>
              <w:spacing w:after="0" w:line="259" w:lineRule="auto"/>
            </w:pPr>
            <w:r>
              <w:rPr>
                <w:color w:val="17202A"/>
                <w:sz w:val="16"/>
              </w:rPr>
              <w:t>Security-data intake</w:t>
            </w:r>
          </w:p>
        </w:tc>
        <w:tc>
          <w:tcPr>
            <w:tcW w:type="dxa" w:w="3413"/>
            <w:tcMar>
              <w:top w:w="90" w:type="dxa"/>
              <w:start w:w="120" w:type="dxa"/>
              <w:bottom w:w="90" w:type="dxa"/>
              <w:end w:w="120" w:type="dxa"/>
            </w:tcMar>
            <w:vAlign w:val="center"/>
          </w:tcPr>
          <w:p>
            <w:pPr>
              <w:spacing w:after="0" w:line="259" w:lineRule="auto"/>
            </w:pPr>
            <w:r>
              <w:rPr>
                <w:color w:val="17202A"/>
                <w:sz w:val="16"/>
              </w:rPr>
              <w:t>Scanner DBs, CSAF/OVAL, KEV, EPSS</w:t>
            </w:r>
          </w:p>
        </w:tc>
      </w:tr>
      <w:tr>
        <w:tc>
          <w:tcPr>
            <w:tcW w:type="dxa" w:w="2563"/>
            <w:shd w:fill="FAFBFC"/>
            <w:tcMar>
              <w:top w:w="90" w:type="dxa"/>
              <w:start w:w="120" w:type="dxa"/>
              <w:bottom w:w="90" w:type="dxa"/>
              <w:end w:w="120" w:type="dxa"/>
            </w:tcMar>
            <w:vAlign w:val="center"/>
          </w:tcPr>
          <w:p>
            <w:pPr>
              <w:spacing w:after="0" w:line="259" w:lineRule="auto"/>
            </w:pPr>
            <w:r>
              <w:rPr>
                <w:color w:val="17202A"/>
                <w:sz w:val="16"/>
              </w:rPr>
              <w:t>oci-toolchain-local</w:t>
            </w:r>
          </w:p>
        </w:tc>
        <w:tc>
          <w:tcPr>
            <w:tcW w:type="dxa" w:w="1296"/>
            <w:shd w:fill="FAFBFC"/>
            <w:tcMar>
              <w:top w:w="90" w:type="dxa"/>
              <w:start w:w="120" w:type="dxa"/>
              <w:bottom w:w="90" w:type="dxa"/>
              <w:end w:w="120" w:type="dxa"/>
            </w:tcMar>
            <w:vAlign w:val="center"/>
          </w:tcPr>
          <w:p>
            <w:pPr>
              <w:spacing w:after="0" w:line="259" w:lineRule="auto"/>
            </w:pPr>
            <w:r>
              <w:rPr>
                <w:color w:val="17202A"/>
                <w:sz w:val="16"/>
              </w:rPr>
              <w:t>OCI</w:t>
            </w:r>
          </w:p>
        </w:tc>
        <w:tc>
          <w:tcPr>
            <w:tcW w:type="dxa" w:w="2088"/>
            <w:shd w:fill="FAFBFC"/>
            <w:tcMar>
              <w:top w:w="90" w:type="dxa"/>
              <w:start w:w="120" w:type="dxa"/>
              <w:bottom w:w="90" w:type="dxa"/>
              <w:end w:w="120" w:type="dxa"/>
            </w:tcMar>
            <w:vAlign w:val="center"/>
          </w:tcPr>
          <w:p>
            <w:pPr>
              <w:spacing w:after="0" w:line="259" w:lineRule="auto"/>
            </w:pPr>
            <w:r>
              <w:rPr>
                <w:color w:val="17202A"/>
                <w:sz w:val="16"/>
              </w:rPr>
              <w:t>Toolchain bootstrap</w:t>
            </w:r>
          </w:p>
        </w:tc>
        <w:tc>
          <w:tcPr>
            <w:tcW w:type="dxa" w:w="3413"/>
            <w:shd w:fill="FAFBFC"/>
            <w:tcMar>
              <w:top w:w="90" w:type="dxa"/>
              <w:start w:w="120" w:type="dxa"/>
              <w:bottom w:w="90" w:type="dxa"/>
              <w:end w:w="120" w:type="dxa"/>
            </w:tcMar>
            <w:vAlign w:val="center"/>
          </w:tcPr>
          <w:p>
            <w:pPr>
              <w:spacing w:after="0" w:line="259" w:lineRule="auto"/>
            </w:pPr>
            <w:r>
              <w:rPr>
                <w:color w:val="17202A"/>
                <w:sz w:val="16"/>
              </w:rPr>
              <w:t>Signed offline factory runner images</w:t>
            </w:r>
          </w:p>
        </w:tc>
      </w:tr>
      <w:tr>
        <w:tc>
          <w:tcPr>
            <w:tcW w:type="dxa" w:w="2563"/>
            <w:tcMar>
              <w:top w:w="90" w:type="dxa"/>
              <w:start w:w="120" w:type="dxa"/>
              <w:bottom w:w="90" w:type="dxa"/>
              <w:end w:w="120" w:type="dxa"/>
            </w:tcMar>
            <w:vAlign w:val="center"/>
          </w:tcPr>
          <w:p>
            <w:pPr>
              <w:spacing w:after="0" w:line="259" w:lineRule="auto"/>
            </w:pPr>
            <w:r>
              <w:rPr>
                <w:color w:val="17202A"/>
                <w:sz w:val="16"/>
              </w:rPr>
              <w:t>oci-base-quarantine-local</w:t>
            </w:r>
          </w:p>
        </w:tc>
        <w:tc>
          <w:tcPr>
            <w:tcW w:type="dxa" w:w="1296"/>
            <w:tcMar>
              <w:top w:w="90" w:type="dxa"/>
              <w:start w:w="120" w:type="dxa"/>
              <w:bottom w:w="90" w:type="dxa"/>
              <w:end w:w="120" w:type="dxa"/>
            </w:tcMar>
            <w:vAlign w:val="center"/>
          </w:tcPr>
          <w:p>
            <w:pPr>
              <w:spacing w:after="0" w:line="259" w:lineRule="auto"/>
            </w:pPr>
            <w:r>
              <w:rPr>
                <w:color w:val="17202A"/>
                <w:sz w:val="16"/>
              </w:rPr>
              <w:t>OCI</w:t>
            </w:r>
          </w:p>
        </w:tc>
        <w:tc>
          <w:tcPr>
            <w:tcW w:type="dxa" w:w="2088"/>
            <w:tcMar>
              <w:top w:w="90" w:type="dxa"/>
              <w:start w:w="120" w:type="dxa"/>
              <w:bottom w:w="90" w:type="dxa"/>
              <w:end w:w="120" w:type="dxa"/>
            </w:tcMar>
            <w:vAlign w:val="center"/>
          </w:tcPr>
          <w:p>
            <w:pPr>
              <w:spacing w:after="0" w:line="259" w:lineRule="auto"/>
            </w:pPr>
            <w:r>
              <w:rPr>
                <w:color w:val="17202A"/>
                <w:sz w:val="16"/>
              </w:rPr>
              <w:t>Protected importer</w:t>
            </w:r>
          </w:p>
        </w:tc>
        <w:tc>
          <w:tcPr>
            <w:tcW w:type="dxa" w:w="3413"/>
            <w:tcMar>
              <w:top w:w="90" w:type="dxa"/>
              <w:start w:w="120" w:type="dxa"/>
              <w:bottom w:w="90" w:type="dxa"/>
              <w:end w:w="120" w:type="dxa"/>
            </w:tcMar>
            <w:vAlign w:val="center"/>
          </w:tcPr>
          <w:p>
            <w:pPr>
              <w:spacing w:after="0" w:line="259" w:lineRule="auto"/>
            </w:pPr>
            <w:r>
              <w:rPr>
                <w:color w:val="17202A"/>
                <w:sz w:val="16"/>
              </w:rPr>
              <w:t>Passing base candidates</w:t>
            </w:r>
          </w:p>
        </w:tc>
      </w:tr>
      <w:tr>
        <w:tc>
          <w:tcPr>
            <w:tcW w:type="dxa" w:w="2563"/>
            <w:shd w:fill="FAFBFC"/>
            <w:tcMar>
              <w:top w:w="90" w:type="dxa"/>
              <w:start w:w="120" w:type="dxa"/>
              <w:bottom w:w="90" w:type="dxa"/>
              <w:end w:w="120" w:type="dxa"/>
            </w:tcMar>
            <w:vAlign w:val="center"/>
          </w:tcPr>
          <w:p>
            <w:pPr>
              <w:spacing w:after="0" w:line="259" w:lineRule="auto"/>
            </w:pPr>
            <w:r>
              <w:rPr>
                <w:color w:val="17202A"/>
                <w:sz w:val="16"/>
              </w:rPr>
              <w:t>oci-app-quarantine-local</w:t>
            </w:r>
          </w:p>
        </w:tc>
        <w:tc>
          <w:tcPr>
            <w:tcW w:type="dxa" w:w="1296"/>
            <w:shd w:fill="FAFBFC"/>
            <w:tcMar>
              <w:top w:w="90" w:type="dxa"/>
              <w:start w:w="120" w:type="dxa"/>
              <w:bottom w:w="90" w:type="dxa"/>
              <w:end w:w="120" w:type="dxa"/>
            </w:tcMar>
            <w:vAlign w:val="center"/>
          </w:tcPr>
          <w:p>
            <w:pPr>
              <w:spacing w:after="0" w:line="259" w:lineRule="auto"/>
            </w:pPr>
            <w:r>
              <w:rPr>
                <w:color w:val="17202A"/>
                <w:sz w:val="16"/>
              </w:rPr>
              <w:t>OCI</w:t>
            </w:r>
          </w:p>
        </w:tc>
        <w:tc>
          <w:tcPr>
            <w:tcW w:type="dxa" w:w="2088"/>
            <w:shd w:fill="FAFBFC"/>
            <w:tcMar>
              <w:top w:w="90" w:type="dxa"/>
              <w:start w:w="120" w:type="dxa"/>
              <w:bottom w:w="90" w:type="dxa"/>
              <w:end w:w="120" w:type="dxa"/>
            </w:tcMar>
            <w:vAlign w:val="center"/>
          </w:tcPr>
          <w:p>
            <w:pPr>
              <w:spacing w:after="0" w:line="259" w:lineRule="auto"/>
            </w:pPr>
            <w:r>
              <w:rPr>
                <w:color w:val="17202A"/>
                <w:sz w:val="16"/>
              </w:rPr>
              <w:t>Protected importer</w:t>
            </w:r>
          </w:p>
        </w:tc>
        <w:tc>
          <w:tcPr>
            <w:tcW w:type="dxa" w:w="3413"/>
            <w:shd w:fill="FAFBFC"/>
            <w:tcMar>
              <w:top w:w="90" w:type="dxa"/>
              <w:start w:w="120" w:type="dxa"/>
              <w:bottom w:w="90" w:type="dxa"/>
              <w:end w:w="120" w:type="dxa"/>
            </w:tcMar>
            <w:vAlign w:val="center"/>
          </w:tcPr>
          <w:p>
            <w:pPr>
              <w:spacing w:after="0" w:line="259" w:lineRule="auto"/>
            </w:pPr>
            <w:r>
              <w:rPr>
                <w:color w:val="17202A"/>
                <w:sz w:val="16"/>
              </w:rPr>
              <w:t>Passing application candidates</w:t>
            </w:r>
          </w:p>
        </w:tc>
      </w:tr>
      <w:tr>
        <w:tc>
          <w:tcPr>
            <w:tcW w:type="dxa" w:w="2563"/>
            <w:tcMar>
              <w:top w:w="90" w:type="dxa"/>
              <w:start w:w="120" w:type="dxa"/>
              <w:bottom w:w="90" w:type="dxa"/>
              <w:end w:w="120" w:type="dxa"/>
            </w:tcMar>
            <w:vAlign w:val="center"/>
          </w:tcPr>
          <w:p>
            <w:pPr>
              <w:spacing w:after="0" w:line="259" w:lineRule="auto"/>
            </w:pPr>
            <w:r>
              <w:rPr>
                <w:color w:val="17202A"/>
                <w:sz w:val="16"/>
              </w:rPr>
              <w:t>oci-release-local</w:t>
            </w:r>
          </w:p>
        </w:tc>
        <w:tc>
          <w:tcPr>
            <w:tcW w:type="dxa" w:w="1296"/>
            <w:tcMar>
              <w:top w:w="90" w:type="dxa"/>
              <w:start w:w="120" w:type="dxa"/>
              <w:bottom w:w="90" w:type="dxa"/>
              <w:end w:w="120" w:type="dxa"/>
            </w:tcMar>
            <w:vAlign w:val="center"/>
          </w:tcPr>
          <w:p>
            <w:pPr>
              <w:spacing w:after="0" w:line="259" w:lineRule="auto"/>
            </w:pPr>
            <w:r>
              <w:rPr>
                <w:color w:val="17202A"/>
                <w:sz w:val="16"/>
              </w:rPr>
              <w:t>OCI</w:t>
            </w:r>
          </w:p>
        </w:tc>
        <w:tc>
          <w:tcPr>
            <w:tcW w:type="dxa" w:w="2088"/>
            <w:tcMar>
              <w:top w:w="90" w:type="dxa"/>
              <w:start w:w="120" w:type="dxa"/>
              <w:bottom w:w="90" w:type="dxa"/>
              <w:end w:w="120" w:type="dxa"/>
            </w:tcMar>
            <w:vAlign w:val="center"/>
          </w:tcPr>
          <w:p>
            <w:pPr>
              <w:spacing w:after="0" w:line="259" w:lineRule="auto"/>
            </w:pPr>
            <w:r>
              <w:rPr>
                <w:color w:val="17202A"/>
                <w:sz w:val="16"/>
              </w:rPr>
              <w:t>Promotion broker</w:t>
            </w:r>
          </w:p>
        </w:tc>
        <w:tc>
          <w:tcPr>
            <w:tcW w:type="dxa" w:w="3413"/>
            <w:tcMar>
              <w:top w:w="90" w:type="dxa"/>
              <w:start w:w="120" w:type="dxa"/>
              <w:bottom w:w="90" w:type="dxa"/>
              <w:end w:w="120" w:type="dxa"/>
            </w:tcMar>
            <w:vAlign w:val="center"/>
          </w:tcPr>
          <w:p>
            <w:pPr>
              <w:spacing w:after="0" w:line="259" w:lineRule="auto"/>
            </w:pPr>
            <w:r>
              <w:rPr>
                <w:color w:val="17202A"/>
                <w:sz w:val="16"/>
              </w:rPr>
              <w:t>Approved production release digests</w:t>
            </w:r>
          </w:p>
        </w:tc>
      </w:tr>
      <w:tr>
        <w:tc>
          <w:tcPr>
            <w:tcW w:type="dxa" w:w="2563"/>
            <w:shd w:fill="FAFBFC"/>
            <w:tcMar>
              <w:top w:w="90" w:type="dxa"/>
              <w:start w:w="120" w:type="dxa"/>
              <w:bottom w:w="90" w:type="dxa"/>
              <w:end w:w="120" w:type="dxa"/>
            </w:tcMar>
            <w:vAlign w:val="center"/>
          </w:tcPr>
          <w:p>
            <w:pPr>
              <w:spacing w:after="0" w:line="259" w:lineRule="auto"/>
            </w:pPr>
            <w:r>
              <w:rPr>
                <w:color w:val="17202A"/>
                <w:sz w:val="16"/>
              </w:rPr>
              <w:t>oci-canary-local</w:t>
            </w:r>
          </w:p>
        </w:tc>
        <w:tc>
          <w:tcPr>
            <w:tcW w:type="dxa" w:w="1296"/>
            <w:shd w:fill="FAFBFC"/>
            <w:tcMar>
              <w:top w:w="90" w:type="dxa"/>
              <w:start w:w="120" w:type="dxa"/>
              <w:bottom w:w="90" w:type="dxa"/>
              <w:end w:w="120" w:type="dxa"/>
            </w:tcMar>
            <w:vAlign w:val="center"/>
          </w:tcPr>
          <w:p>
            <w:pPr>
              <w:spacing w:after="0" w:line="259" w:lineRule="auto"/>
            </w:pPr>
            <w:r>
              <w:rPr>
                <w:color w:val="17202A"/>
                <w:sz w:val="16"/>
              </w:rPr>
              <w:t>OCI</w:t>
            </w:r>
          </w:p>
        </w:tc>
        <w:tc>
          <w:tcPr>
            <w:tcW w:type="dxa" w:w="2088"/>
            <w:shd w:fill="FAFBFC"/>
            <w:tcMar>
              <w:top w:w="90" w:type="dxa"/>
              <w:start w:w="120" w:type="dxa"/>
              <w:bottom w:w="90" w:type="dxa"/>
              <w:end w:w="120" w:type="dxa"/>
            </w:tcMar>
            <w:vAlign w:val="center"/>
          </w:tcPr>
          <w:p>
            <w:pPr>
              <w:spacing w:after="0" w:line="259" w:lineRule="auto"/>
            </w:pPr>
            <w:r>
              <w:rPr>
                <w:color w:val="17202A"/>
                <w:sz w:val="16"/>
              </w:rPr>
              <w:t>Canary broker</w:t>
            </w:r>
          </w:p>
        </w:tc>
        <w:tc>
          <w:tcPr>
            <w:tcW w:type="dxa" w:w="3413"/>
            <w:shd w:fill="FAFBFC"/>
            <w:tcMar>
              <w:top w:w="90" w:type="dxa"/>
              <w:start w:w="120" w:type="dxa"/>
              <w:bottom w:w="90" w:type="dxa"/>
              <w:end w:w="120" w:type="dxa"/>
            </w:tcMar>
            <w:vAlign w:val="center"/>
          </w:tcPr>
          <w:p>
            <w:pPr>
              <w:spacing w:after="0" w:line="259" w:lineRule="auto"/>
            </w:pPr>
            <w:r>
              <w:rPr>
                <w:color w:val="17202A"/>
                <w:sz w:val="16"/>
              </w:rPr>
              <w:t>UBI 10 evaluation track</w:t>
            </w:r>
          </w:p>
        </w:tc>
      </w:tr>
    </w:tbl>
    <w:p>
      <w:pPr>
        <w:spacing w:before="120" w:after="180"/>
        <w:ind w:left="230" w:right="230"/>
        <w:shd w:fill="F4F6F9"/>
        <w:pBdr>
          <w:left w:val="single" w:sz="20" w:color="2E74B5"/>
        </w:pBdr>
      </w:pPr>
      <w:r>
        <w:rPr>
          <w:rFonts w:ascii="Calibri" w:hAnsi="Calibri"/>
          <w:b/>
          <w:color w:val="17324D"/>
        </w:rPr>
        <w:t xml:space="preserve">Immutability: </w:t>
      </w:r>
      <w:r>
        <w:rPr>
          <w:rFonts w:ascii="Calibri" w:hAnsi="Calibri"/>
          <w:color w:val="17202A"/>
        </w:rPr>
        <w:t>Do not point builds at an RPM remote repository whose metadata changes in place. Snapshot the repository, record the snapshot ID and repomd.xml SHA-256, and include both in provenance.</w:t>
      </w:r>
    </w:p>
    <w:p>
      <w:pPr>
        <w:pStyle w:val="Heading2"/>
      </w:pPr>
      <w:r>
        <w:t>Credential boundaries</w:t>
      </w:r>
    </w:p>
    <w:tbl>
      <w:tblPr>
        <w:tblStyle w:val="TableGrid"/>
        <w:tblW w:type="dxa" w:w="9360"/>
        <w:jc w:val="left"/>
        <w:tblLayout w:type="fixed"/>
        <w:tblLook w:firstColumn="1" w:firstRow="1" w:lastColumn="0" w:lastRow="0" w:noHBand="0" w:noVBand="1" w:val="04A0"/>
        <w:tblInd w:w="120" w:type="dxa"/>
      </w:tblPr>
      <w:tblGrid>
        <w:gridCol w:w="1584"/>
        <w:gridCol w:w="2664"/>
        <w:gridCol w:w="2088"/>
        <w:gridCol w:w="3024"/>
      </w:tblGrid>
      <w:tr>
        <w:trPr>
          <w:tblHeader w:val="true"/>
        </w:trPr>
        <w:tc>
          <w:tcPr>
            <w:tcW w:type="dxa" w:w="1584"/>
            <w:shd w:fill="E8EEF5"/>
            <w:tcMar>
              <w:top w:w="90" w:type="dxa"/>
              <w:start w:w="120" w:type="dxa"/>
              <w:bottom w:w="90" w:type="dxa"/>
              <w:end w:w="120" w:type="dxa"/>
            </w:tcMar>
            <w:vAlign w:val="center"/>
          </w:tcPr>
          <w:p>
            <w:pPr>
              <w:spacing w:after="0"/>
            </w:pPr>
            <w:r>
              <w:rPr>
                <w:b/>
                <w:color w:val="17324D"/>
                <w:sz w:val="18"/>
              </w:rPr>
              <w:t>Identity</w:t>
            </w:r>
          </w:p>
        </w:tc>
        <w:tc>
          <w:tcPr>
            <w:tcW w:type="dxa" w:w="2664"/>
            <w:shd w:fill="E8EEF5"/>
            <w:tcMar>
              <w:top w:w="90" w:type="dxa"/>
              <w:start w:w="120" w:type="dxa"/>
              <w:bottom w:w="90" w:type="dxa"/>
              <w:end w:w="120" w:type="dxa"/>
            </w:tcMar>
            <w:vAlign w:val="center"/>
          </w:tcPr>
          <w:p>
            <w:pPr>
              <w:spacing w:after="0"/>
            </w:pPr>
            <w:r>
              <w:rPr>
                <w:b/>
                <w:color w:val="17324D"/>
                <w:sz w:val="18"/>
              </w:rPr>
              <w:t>May read</w:t>
            </w:r>
          </w:p>
        </w:tc>
        <w:tc>
          <w:tcPr>
            <w:tcW w:type="dxa" w:w="2088"/>
            <w:shd w:fill="E8EEF5"/>
            <w:tcMar>
              <w:top w:w="90" w:type="dxa"/>
              <w:start w:w="120" w:type="dxa"/>
              <w:bottom w:w="90" w:type="dxa"/>
              <w:end w:w="120" w:type="dxa"/>
            </w:tcMar>
            <w:vAlign w:val="center"/>
          </w:tcPr>
          <w:p>
            <w:pPr>
              <w:spacing w:after="0"/>
            </w:pPr>
            <w:r>
              <w:rPr>
                <w:b/>
                <w:color w:val="17324D"/>
                <w:sz w:val="18"/>
              </w:rPr>
              <w:t>May write</w:t>
            </w:r>
          </w:p>
        </w:tc>
        <w:tc>
          <w:tcPr>
            <w:tcW w:type="dxa" w:w="3024"/>
            <w:shd w:fill="E8EEF5"/>
            <w:tcMar>
              <w:top w:w="90" w:type="dxa"/>
              <w:start w:w="120" w:type="dxa"/>
              <w:bottom w:w="90" w:type="dxa"/>
              <w:end w:w="120" w:type="dxa"/>
            </w:tcMar>
            <w:vAlign w:val="center"/>
          </w:tcPr>
          <w:p>
            <w:pPr>
              <w:spacing w:after="0"/>
            </w:pPr>
            <w:r>
              <w:rPr>
                <w:b/>
                <w:color w:val="17324D"/>
                <w:sz w:val="18"/>
              </w:rPr>
              <w:t>Must not</w:t>
            </w:r>
          </w:p>
        </w:tc>
      </w:tr>
      <w:tr>
        <w:tc>
          <w:tcPr>
            <w:tcW w:type="dxa" w:w="1584"/>
            <w:tcMar>
              <w:top w:w="90" w:type="dxa"/>
              <w:start w:w="120" w:type="dxa"/>
              <w:bottom w:w="90" w:type="dxa"/>
              <w:end w:w="120" w:type="dxa"/>
            </w:tcMar>
            <w:vAlign w:val="center"/>
          </w:tcPr>
          <w:p>
            <w:pPr>
              <w:spacing w:after="0" w:line="259" w:lineRule="auto"/>
            </w:pPr>
            <w:r>
              <w:rPr>
                <w:color w:val="17202A"/>
                <w:sz w:val="18"/>
              </w:rPr>
              <w:t>Intake</w:t>
            </w:r>
          </w:p>
        </w:tc>
        <w:tc>
          <w:tcPr>
            <w:tcW w:type="dxa" w:w="2664"/>
            <w:tcMar>
              <w:top w:w="90" w:type="dxa"/>
              <w:start w:w="120" w:type="dxa"/>
              <w:bottom w:w="90" w:type="dxa"/>
              <w:end w:w="120" w:type="dxa"/>
            </w:tcMar>
            <w:vAlign w:val="center"/>
          </w:tcPr>
          <w:p>
            <w:pPr>
              <w:spacing w:after="0" w:line="259" w:lineRule="auto"/>
            </w:pPr>
            <w:r>
              <w:rPr>
                <w:color w:val="17202A"/>
                <w:sz w:val="18"/>
              </w:rPr>
              <w:t>Approved upstream + internal</w:t>
            </w:r>
          </w:p>
        </w:tc>
        <w:tc>
          <w:tcPr>
            <w:tcW w:type="dxa" w:w="2088"/>
            <w:tcMar>
              <w:top w:w="90" w:type="dxa"/>
              <w:start w:w="120" w:type="dxa"/>
              <w:bottom w:w="90" w:type="dxa"/>
              <w:end w:w="120" w:type="dxa"/>
            </w:tcMar>
            <w:vAlign w:val="center"/>
          </w:tcPr>
          <w:p>
            <w:pPr>
              <w:spacing w:after="0" w:line="259" w:lineRule="auto"/>
            </w:pPr>
            <w:r>
              <w:rPr>
                <w:color w:val="17202A"/>
                <w:sz w:val="18"/>
              </w:rPr>
              <w:t>Source/cache repositories</w:t>
            </w:r>
          </w:p>
        </w:tc>
        <w:tc>
          <w:tcPr>
            <w:tcW w:type="dxa" w:w="3024"/>
            <w:tcMar>
              <w:top w:w="90" w:type="dxa"/>
              <w:start w:w="120" w:type="dxa"/>
              <w:bottom w:w="90" w:type="dxa"/>
              <w:end w:w="120" w:type="dxa"/>
            </w:tcMar>
            <w:vAlign w:val="center"/>
          </w:tcPr>
          <w:p>
            <w:pPr>
              <w:spacing w:after="0" w:line="259" w:lineRule="auto"/>
            </w:pPr>
            <w:r>
              <w:rPr>
                <w:color w:val="17202A"/>
                <w:sz w:val="18"/>
              </w:rPr>
              <w:t>Quarantine or release</w:t>
            </w:r>
          </w:p>
        </w:tc>
      </w:tr>
      <w:tr>
        <w:tc>
          <w:tcPr>
            <w:tcW w:type="dxa" w:w="1584"/>
            <w:shd w:fill="FAFBFC"/>
            <w:tcMar>
              <w:top w:w="90" w:type="dxa"/>
              <w:start w:w="120" w:type="dxa"/>
              <w:bottom w:w="90" w:type="dxa"/>
              <w:end w:w="120" w:type="dxa"/>
            </w:tcMar>
            <w:vAlign w:val="center"/>
          </w:tcPr>
          <w:p>
            <w:pPr>
              <w:spacing w:after="0" w:line="259" w:lineRule="auto"/>
            </w:pPr>
            <w:r>
              <w:rPr>
                <w:color w:val="17202A"/>
                <w:sz w:val="18"/>
              </w:rPr>
              <w:t>Build / scan</w:t>
            </w:r>
          </w:p>
        </w:tc>
        <w:tc>
          <w:tcPr>
            <w:tcW w:type="dxa" w:w="2664"/>
            <w:shd w:fill="FAFBFC"/>
            <w:tcMar>
              <w:top w:w="90" w:type="dxa"/>
              <w:start w:w="120" w:type="dxa"/>
              <w:bottom w:w="90" w:type="dxa"/>
              <w:end w:w="120" w:type="dxa"/>
            </w:tcMar>
            <w:vAlign w:val="center"/>
          </w:tcPr>
          <w:p>
            <w:pPr>
              <w:spacing w:after="0" w:line="259" w:lineRule="auto"/>
            </w:pPr>
            <w:r>
              <w:rPr>
                <w:color w:val="17202A"/>
                <w:sz w:val="18"/>
              </w:rPr>
              <w:t>Internal mirrors and snapshots</w:t>
            </w:r>
          </w:p>
        </w:tc>
        <w:tc>
          <w:tcPr>
            <w:tcW w:type="dxa" w:w="2088"/>
            <w:shd w:fill="FAFBFC"/>
            <w:tcMar>
              <w:top w:w="90" w:type="dxa"/>
              <w:start w:w="120" w:type="dxa"/>
              <w:bottom w:w="90" w:type="dxa"/>
              <w:end w:w="120" w:type="dxa"/>
            </w:tcMar>
            <w:vAlign w:val="center"/>
          </w:tcPr>
          <w:p>
            <w:pPr>
              <w:spacing w:after="0" w:line="259" w:lineRule="auto"/>
            </w:pPr>
            <w:r>
              <w:rPr>
                <w:color w:val="17202A"/>
                <w:sz w:val="18"/>
              </w:rPr>
              <w:t>Job-local evidence</w:t>
            </w:r>
          </w:p>
        </w:tc>
        <w:tc>
          <w:tcPr>
            <w:tcW w:type="dxa" w:w="3024"/>
            <w:shd w:fill="FAFBFC"/>
            <w:tcMar>
              <w:top w:w="90" w:type="dxa"/>
              <w:start w:w="120" w:type="dxa"/>
              <w:bottom w:w="90" w:type="dxa"/>
              <w:end w:w="120" w:type="dxa"/>
            </w:tcMar>
            <w:vAlign w:val="center"/>
          </w:tcPr>
          <w:p>
            <w:pPr>
              <w:spacing w:after="0" w:line="259" w:lineRule="auto"/>
            </w:pPr>
            <w:r>
              <w:rPr>
                <w:color w:val="17202A"/>
                <w:sz w:val="18"/>
              </w:rPr>
              <w:t>Any registry repository</w:t>
            </w:r>
          </w:p>
        </w:tc>
      </w:tr>
      <w:tr>
        <w:tc>
          <w:tcPr>
            <w:tcW w:type="dxa" w:w="1584"/>
            <w:tcMar>
              <w:top w:w="90" w:type="dxa"/>
              <w:start w:w="120" w:type="dxa"/>
              <w:bottom w:w="90" w:type="dxa"/>
              <w:end w:w="120" w:type="dxa"/>
            </w:tcMar>
            <w:vAlign w:val="center"/>
          </w:tcPr>
          <w:p>
            <w:pPr>
              <w:spacing w:after="0" w:line="259" w:lineRule="auto"/>
            </w:pPr>
            <w:r>
              <w:rPr>
                <w:color w:val="17202A"/>
                <w:sz w:val="18"/>
              </w:rPr>
              <w:t>Importer</w:t>
            </w:r>
          </w:p>
        </w:tc>
        <w:tc>
          <w:tcPr>
            <w:tcW w:type="dxa" w:w="2664"/>
            <w:tcMar>
              <w:top w:w="90" w:type="dxa"/>
              <w:start w:w="120" w:type="dxa"/>
              <w:bottom w:w="90" w:type="dxa"/>
              <w:end w:w="120" w:type="dxa"/>
            </w:tcMar>
            <w:vAlign w:val="center"/>
          </w:tcPr>
          <w:p>
            <w:pPr>
              <w:spacing w:after="0" w:line="259" w:lineRule="auto"/>
            </w:pPr>
            <w:r>
              <w:rPr>
                <w:color w:val="17202A"/>
                <w:sz w:val="18"/>
              </w:rPr>
              <w:t>Passing OCI layout + gate</w:t>
            </w:r>
          </w:p>
        </w:tc>
        <w:tc>
          <w:tcPr>
            <w:tcW w:type="dxa" w:w="2088"/>
            <w:tcMar>
              <w:top w:w="90" w:type="dxa"/>
              <w:start w:w="120" w:type="dxa"/>
              <w:bottom w:w="90" w:type="dxa"/>
              <w:end w:w="120" w:type="dxa"/>
            </w:tcMar>
            <w:vAlign w:val="center"/>
          </w:tcPr>
          <w:p>
            <w:pPr>
              <w:spacing w:after="0" w:line="259" w:lineRule="auto"/>
            </w:pPr>
            <w:r>
              <w:rPr>
                <w:color w:val="17202A"/>
                <w:sz w:val="18"/>
              </w:rPr>
              <w:t>Quarantine</w:t>
            </w:r>
          </w:p>
        </w:tc>
        <w:tc>
          <w:tcPr>
            <w:tcW w:type="dxa" w:w="3024"/>
            <w:tcMar>
              <w:top w:w="90" w:type="dxa"/>
              <w:start w:w="120" w:type="dxa"/>
              <w:bottom w:w="90" w:type="dxa"/>
              <w:end w:w="120" w:type="dxa"/>
            </w:tcMar>
            <w:vAlign w:val="center"/>
          </w:tcPr>
          <w:p>
            <w:pPr>
              <w:spacing w:after="0" w:line="259" w:lineRule="auto"/>
            </w:pPr>
            <w:r>
              <w:rPr>
                <w:color w:val="17202A"/>
                <w:sz w:val="18"/>
              </w:rPr>
              <w:t>Sign or promote</w:t>
            </w:r>
          </w:p>
        </w:tc>
      </w:tr>
      <w:tr>
        <w:tc>
          <w:tcPr>
            <w:tcW w:type="dxa" w:w="1584"/>
            <w:shd w:fill="FAFBFC"/>
            <w:tcMar>
              <w:top w:w="90" w:type="dxa"/>
              <w:start w:w="120" w:type="dxa"/>
              <w:bottom w:w="90" w:type="dxa"/>
              <w:end w:w="120" w:type="dxa"/>
            </w:tcMar>
            <w:vAlign w:val="center"/>
          </w:tcPr>
          <w:p>
            <w:pPr>
              <w:spacing w:after="0" w:line="259" w:lineRule="auto"/>
            </w:pPr>
            <w:r>
              <w:rPr>
                <w:color w:val="17202A"/>
                <w:sz w:val="18"/>
              </w:rPr>
              <w:t>Signer</w:t>
            </w:r>
          </w:p>
        </w:tc>
        <w:tc>
          <w:tcPr>
            <w:tcW w:type="dxa" w:w="2664"/>
            <w:shd w:fill="FAFBFC"/>
            <w:tcMar>
              <w:top w:w="90" w:type="dxa"/>
              <w:start w:w="120" w:type="dxa"/>
              <w:bottom w:w="90" w:type="dxa"/>
              <w:end w:w="120" w:type="dxa"/>
            </w:tcMar>
            <w:vAlign w:val="center"/>
          </w:tcPr>
          <w:p>
            <w:pPr>
              <w:spacing w:after="0" w:line="259" w:lineRule="auto"/>
            </w:pPr>
            <w:r>
              <w:rPr>
                <w:color w:val="17202A"/>
                <w:sz w:val="18"/>
              </w:rPr>
              <w:t>Quarantine digest + evidence</w:t>
            </w:r>
          </w:p>
        </w:tc>
        <w:tc>
          <w:tcPr>
            <w:tcW w:type="dxa" w:w="2088"/>
            <w:shd w:fill="FAFBFC"/>
            <w:tcMar>
              <w:top w:w="90" w:type="dxa"/>
              <w:start w:w="120" w:type="dxa"/>
              <w:bottom w:w="90" w:type="dxa"/>
              <w:end w:w="120" w:type="dxa"/>
            </w:tcMar>
            <w:vAlign w:val="center"/>
          </w:tcPr>
          <w:p>
            <w:pPr>
              <w:spacing w:after="0" w:line="259" w:lineRule="auto"/>
            </w:pPr>
            <w:r>
              <w:rPr>
                <w:color w:val="17202A"/>
                <w:sz w:val="18"/>
              </w:rPr>
              <w:t>Signatures / attestations</w:t>
            </w:r>
          </w:p>
        </w:tc>
        <w:tc>
          <w:tcPr>
            <w:tcW w:type="dxa" w:w="3024"/>
            <w:shd w:fill="FAFBFC"/>
            <w:tcMar>
              <w:top w:w="90" w:type="dxa"/>
              <w:start w:w="120" w:type="dxa"/>
              <w:bottom w:w="90" w:type="dxa"/>
              <w:end w:w="120" w:type="dxa"/>
            </w:tcMar>
            <w:vAlign w:val="center"/>
          </w:tcPr>
          <w:p>
            <w:pPr>
              <w:spacing w:after="0" w:line="259" w:lineRule="auto"/>
            </w:pPr>
            <w:r>
              <w:rPr>
                <w:color w:val="17202A"/>
                <w:sz w:val="18"/>
              </w:rPr>
              <w:t>Rebuild or approve</w:t>
            </w:r>
          </w:p>
        </w:tc>
      </w:tr>
      <w:tr>
        <w:tc>
          <w:tcPr>
            <w:tcW w:type="dxa" w:w="1584"/>
            <w:tcMar>
              <w:top w:w="90" w:type="dxa"/>
              <w:start w:w="120" w:type="dxa"/>
              <w:bottom w:w="90" w:type="dxa"/>
              <w:end w:w="120" w:type="dxa"/>
            </w:tcMar>
            <w:vAlign w:val="center"/>
          </w:tcPr>
          <w:p>
            <w:pPr>
              <w:spacing w:after="0" w:line="259" w:lineRule="auto"/>
            </w:pPr>
            <w:r>
              <w:rPr>
                <w:color w:val="17202A"/>
                <w:sz w:val="18"/>
              </w:rPr>
              <w:t>Promoter</w:t>
            </w:r>
          </w:p>
        </w:tc>
        <w:tc>
          <w:tcPr>
            <w:tcW w:type="dxa" w:w="2664"/>
            <w:tcMar>
              <w:top w:w="90" w:type="dxa"/>
              <w:start w:w="120" w:type="dxa"/>
              <w:bottom w:w="90" w:type="dxa"/>
              <w:end w:w="120" w:type="dxa"/>
            </w:tcMar>
            <w:vAlign w:val="center"/>
          </w:tcPr>
          <w:p>
            <w:pPr>
              <w:spacing w:after="0" w:line="259" w:lineRule="auto"/>
            </w:pPr>
            <w:r>
              <w:rPr>
                <w:color w:val="17202A"/>
                <w:sz w:val="18"/>
              </w:rPr>
              <w:t>Approved source digest</w:t>
            </w:r>
          </w:p>
        </w:tc>
        <w:tc>
          <w:tcPr>
            <w:tcW w:type="dxa" w:w="2088"/>
            <w:tcMar>
              <w:top w:w="90" w:type="dxa"/>
              <w:start w:w="120" w:type="dxa"/>
              <w:bottom w:w="90" w:type="dxa"/>
              <w:end w:w="120" w:type="dxa"/>
            </w:tcMar>
            <w:vAlign w:val="center"/>
          </w:tcPr>
          <w:p>
            <w:pPr>
              <w:spacing w:after="0" w:line="259" w:lineRule="auto"/>
            </w:pPr>
            <w:r>
              <w:rPr>
                <w:color w:val="17202A"/>
                <w:sz w:val="18"/>
              </w:rPr>
              <w:t>Target release repository</w:t>
            </w:r>
          </w:p>
        </w:tc>
        <w:tc>
          <w:tcPr>
            <w:tcW w:type="dxa" w:w="3024"/>
            <w:tcMar>
              <w:top w:w="90" w:type="dxa"/>
              <w:start w:w="120" w:type="dxa"/>
              <w:bottom w:w="90" w:type="dxa"/>
              <w:end w:w="120" w:type="dxa"/>
            </w:tcMar>
            <w:vAlign w:val="center"/>
          </w:tcPr>
          <w:p>
            <w:pPr>
              <w:spacing w:after="0" w:line="259" w:lineRule="auto"/>
            </w:pPr>
            <w:r>
              <w:rPr>
                <w:color w:val="17202A"/>
                <w:sz w:val="18"/>
              </w:rPr>
              <w:t>Mutate subject digest</w:t>
            </w:r>
          </w:p>
        </w:tc>
      </w:tr>
    </w:tbl>
    <w:p>
      <w:pPr>
        <w:pStyle w:val="Heading1"/>
      </w:pPr>
      <w:r>
        <w:t>8. Ten implementation milestones</w:t>
      </w:r>
    </w:p>
    <w:p>
      <w:r>
        <w:t>The ten milestones are deployable work packages. Each leaves a testable capability and an explicit exit condition; infrastructure-specific values are bound during environment implementation.</w:t>
      </w:r>
    </w:p>
    <w:tbl>
      <w:tblPr>
        <w:tblStyle w:val="TableGrid"/>
        <w:tblW w:type="dxa" w:w="9360"/>
        <w:jc w:val="left"/>
        <w:tblLayout w:type="fixed"/>
        <w:tblLook w:firstColumn="1" w:firstRow="1" w:lastColumn="0" w:lastRow="0" w:noHBand="0" w:noVBand="1" w:val="04A0"/>
        <w:tblInd w:w="120" w:type="dxa"/>
      </w:tblPr>
      <w:tblGrid>
        <w:gridCol w:w="605"/>
        <w:gridCol w:w="2520"/>
        <w:gridCol w:w="2909"/>
        <w:gridCol w:w="3326"/>
      </w:tblGrid>
      <w:tr>
        <w:trPr>
          <w:tblHeader w:val="true"/>
        </w:trPr>
        <w:tc>
          <w:tcPr>
            <w:tcW w:type="dxa" w:w="605"/>
            <w:shd w:fill="E8EEF5"/>
            <w:tcMar>
              <w:top w:w="90" w:type="dxa"/>
              <w:start w:w="120" w:type="dxa"/>
              <w:bottom w:w="90" w:type="dxa"/>
              <w:end w:w="120" w:type="dxa"/>
            </w:tcMar>
            <w:vAlign w:val="center"/>
          </w:tcPr>
          <w:p>
            <w:pPr>
              <w:spacing w:after="0"/>
            </w:pPr>
            <w:r>
              <w:rPr>
                <w:b/>
                <w:color w:val="17324D"/>
                <w:sz w:val="15"/>
              </w:rPr>
              <w:t>#</w:t>
            </w:r>
          </w:p>
        </w:tc>
        <w:tc>
          <w:tcPr>
            <w:tcW w:type="dxa" w:w="2520"/>
            <w:shd w:fill="E8EEF5"/>
            <w:tcMar>
              <w:top w:w="90" w:type="dxa"/>
              <w:start w:w="120" w:type="dxa"/>
              <w:bottom w:w="90" w:type="dxa"/>
              <w:end w:w="120" w:type="dxa"/>
            </w:tcMar>
            <w:vAlign w:val="center"/>
          </w:tcPr>
          <w:p>
            <w:pPr>
              <w:spacing w:after="0"/>
            </w:pPr>
            <w:r>
              <w:rPr>
                <w:b/>
                <w:color w:val="17324D"/>
                <w:sz w:val="15"/>
              </w:rPr>
              <w:t>Milestone</w:t>
            </w:r>
          </w:p>
        </w:tc>
        <w:tc>
          <w:tcPr>
            <w:tcW w:type="dxa" w:w="2909"/>
            <w:shd w:fill="E8EEF5"/>
            <w:tcMar>
              <w:top w:w="90" w:type="dxa"/>
              <w:start w:w="120" w:type="dxa"/>
              <w:bottom w:w="90" w:type="dxa"/>
              <w:end w:w="120" w:type="dxa"/>
            </w:tcMar>
            <w:vAlign w:val="center"/>
          </w:tcPr>
          <w:p>
            <w:pPr>
              <w:spacing w:after="0"/>
            </w:pPr>
            <w:r>
              <w:rPr>
                <w:b/>
                <w:color w:val="17324D"/>
                <w:sz w:val="15"/>
              </w:rPr>
              <w:t>Primary output</w:t>
            </w:r>
          </w:p>
        </w:tc>
        <w:tc>
          <w:tcPr>
            <w:tcW w:type="dxa" w:w="3326"/>
            <w:shd w:fill="E8EEF5"/>
            <w:tcMar>
              <w:top w:w="90" w:type="dxa"/>
              <w:start w:w="120" w:type="dxa"/>
              <w:bottom w:w="90" w:type="dxa"/>
              <w:end w:w="120" w:type="dxa"/>
            </w:tcMar>
            <w:vAlign w:val="center"/>
          </w:tcPr>
          <w:p>
            <w:pPr>
              <w:spacing w:after="0"/>
            </w:pPr>
            <w:r>
              <w:rPr>
                <w:b/>
                <w:color w:val="17324D"/>
                <w:sz w:val="15"/>
              </w:rPr>
              <w:t>Exit condition</w:t>
            </w:r>
          </w:p>
        </w:tc>
      </w:tr>
      <w:tr>
        <w:tc>
          <w:tcPr>
            <w:tcW w:type="dxa" w:w="605"/>
            <w:tcMar>
              <w:top w:w="90" w:type="dxa"/>
              <w:start w:w="120" w:type="dxa"/>
              <w:bottom w:w="90" w:type="dxa"/>
              <w:end w:w="120" w:type="dxa"/>
            </w:tcMar>
            <w:vAlign w:val="center"/>
          </w:tcPr>
          <w:p>
            <w:pPr>
              <w:spacing w:after="0" w:line="259" w:lineRule="auto"/>
            </w:pPr>
            <w:r>
              <w:rPr>
                <w:color w:val="17202A"/>
                <w:sz w:val="15"/>
              </w:rPr>
              <w:t>1</w:t>
            </w:r>
          </w:p>
        </w:tc>
        <w:tc>
          <w:tcPr>
            <w:tcW w:type="dxa" w:w="2520"/>
            <w:tcMar>
              <w:top w:w="90" w:type="dxa"/>
              <w:start w:w="120" w:type="dxa"/>
              <w:bottom w:w="90" w:type="dxa"/>
              <w:end w:w="120" w:type="dxa"/>
            </w:tcMar>
            <w:vAlign w:val="center"/>
          </w:tcPr>
          <w:p>
            <w:pPr>
              <w:spacing w:after="0" w:line="259" w:lineRule="auto"/>
            </w:pPr>
            <w:r>
              <w:rPr>
                <w:color w:val="17202A"/>
                <w:sz w:val="15"/>
              </w:rPr>
              <w:t>Intake + immutable locks</w:t>
            </w:r>
          </w:p>
        </w:tc>
        <w:tc>
          <w:tcPr>
            <w:tcW w:type="dxa" w:w="2909"/>
            <w:tcMar>
              <w:top w:w="90" w:type="dxa"/>
              <w:start w:w="120" w:type="dxa"/>
              <w:bottom w:w="90" w:type="dxa"/>
              <w:end w:w="120" w:type="dxa"/>
            </w:tcMar>
            <w:vAlign w:val="center"/>
          </w:tcPr>
          <w:p>
            <w:pPr>
              <w:spacing w:after="0" w:line="259" w:lineRule="auto"/>
            </w:pPr>
            <w:r>
              <w:rPr>
                <w:color w:val="17202A"/>
                <w:sz w:val="15"/>
              </w:rPr>
              <w:t>Signed resource lock and mirrored sources</w:t>
            </w:r>
          </w:p>
        </w:tc>
        <w:tc>
          <w:tcPr>
            <w:tcW w:type="dxa" w:w="3326"/>
            <w:tcMar>
              <w:top w:w="90" w:type="dxa"/>
              <w:start w:w="120" w:type="dxa"/>
              <w:bottom w:w="90" w:type="dxa"/>
              <w:end w:w="120" w:type="dxa"/>
            </w:tcMar>
            <w:vAlign w:val="center"/>
          </w:tcPr>
          <w:p>
            <w:r>
              <w:t>Checksums and signatures verify; generatedAt normalization is still needed for byte-identical replay</w:t>
            </w:r>
          </w:p>
        </w:tc>
      </w:tr>
      <w:tr>
        <w:tc>
          <w:tcPr>
            <w:tcW w:type="dxa" w:w="605"/>
            <w:shd w:fill="FAFBFC"/>
            <w:tcMar>
              <w:top w:w="90" w:type="dxa"/>
              <w:start w:w="120" w:type="dxa"/>
              <w:bottom w:w="90" w:type="dxa"/>
              <w:end w:w="120" w:type="dxa"/>
            </w:tcMar>
            <w:vAlign w:val="center"/>
          </w:tcPr>
          <w:p>
            <w:pPr>
              <w:spacing w:after="0" w:line="259" w:lineRule="auto"/>
            </w:pPr>
            <w:r>
              <w:rPr>
                <w:color w:val="17202A"/>
                <w:sz w:val="15"/>
              </w:rPr>
              <w:t>2</w:t>
            </w:r>
          </w:p>
        </w:tc>
        <w:tc>
          <w:tcPr>
            <w:tcW w:type="dxa" w:w="2520"/>
            <w:shd w:fill="FAFBFC"/>
            <w:tcMar>
              <w:top w:w="90" w:type="dxa"/>
              <w:start w:w="120" w:type="dxa"/>
              <w:bottom w:w="90" w:type="dxa"/>
              <w:end w:w="120" w:type="dxa"/>
            </w:tcMar>
            <w:vAlign w:val="center"/>
          </w:tcPr>
          <w:p>
            <w:pPr>
              <w:spacing w:after="0" w:line="259" w:lineRule="auto"/>
            </w:pPr>
            <w:r>
              <w:rPr>
                <w:color w:val="17202A"/>
                <w:sz w:val="15"/>
              </w:rPr>
              <w:t>Harden UBI 9.8</w:t>
            </w:r>
          </w:p>
        </w:tc>
        <w:tc>
          <w:tcPr>
            <w:tcW w:type="dxa" w:w="2909"/>
            <w:shd w:fill="FAFBFC"/>
            <w:tcMar>
              <w:top w:w="90" w:type="dxa"/>
              <w:start w:w="120" w:type="dxa"/>
              <w:bottom w:w="90" w:type="dxa"/>
              <w:end w:w="120" w:type="dxa"/>
            </w:tcMar>
            <w:vAlign w:val="center"/>
          </w:tcPr>
          <w:p>
            <w:pPr>
              <w:spacing w:after="0" w:line="259" w:lineRule="auto"/>
            </w:pPr>
            <w:r>
              <w:rPr>
                <w:color w:val="17202A"/>
                <w:sz w:val="15"/>
              </w:rPr>
              <w:t>Released base candidate + evidence</w:t>
            </w:r>
          </w:p>
        </w:tc>
        <w:tc>
          <w:tcPr>
            <w:tcW w:type="dxa" w:w="3326"/>
            <w:shd w:fill="FAFBFC"/>
            <w:tcMar>
              <w:top w:w="90" w:type="dxa"/>
              <w:start w:w="120" w:type="dxa"/>
              <w:bottom w:w="90" w:type="dxa"/>
              <w:end w:w="120" w:type="dxa"/>
            </w:tcMar>
            <w:vAlign w:val="center"/>
          </w:tcPr>
          <w:p>
            <w:pPr>
              <w:spacing w:after="0" w:line="259" w:lineRule="auto"/>
            </w:pPr>
            <w:r>
              <w:rPr>
                <w:color w:val="17202A"/>
                <w:sz w:val="15"/>
              </w:rPr>
              <w:t>Offline build; base and RPM metadata digests in provenance</w:t>
            </w:r>
          </w:p>
        </w:tc>
      </w:tr>
      <w:tr>
        <w:tc>
          <w:tcPr>
            <w:tcW w:type="dxa" w:w="605"/>
            <w:tcMar>
              <w:top w:w="90" w:type="dxa"/>
              <w:start w:w="120" w:type="dxa"/>
              <w:bottom w:w="90" w:type="dxa"/>
              <w:end w:w="120" w:type="dxa"/>
            </w:tcMar>
            <w:vAlign w:val="center"/>
          </w:tcPr>
          <w:p>
            <w:pPr>
              <w:spacing w:after="0" w:line="259" w:lineRule="auto"/>
            </w:pPr>
            <w:r>
              <w:rPr>
                <w:color w:val="17202A"/>
                <w:sz w:val="15"/>
              </w:rPr>
              <w:t>3</w:t>
            </w:r>
          </w:p>
        </w:tc>
        <w:tc>
          <w:tcPr>
            <w:tcW w:type="dxa" w:w="2520"/>
            <w:tcMar>
              <w:top w:w="90" w:type="dxa"/>
              <w:start w:w="120" w:type="dxa"/>
              <w:bottom w:w="90" w:type="dxa"/>
              <w:end w:w="120" w:type="dxa"/>
            </w:tcMar>
            <w:vAlign w:val="center"/>
          </w:tcPr>
          <w:p>
            <w:pPr>
              <w:spacing w:after="0" w:line="259" w:lineRule="auto"/>
            </w:pPr>
            <w:r>
              <w:rPr>
                <w:color w:val="17202A"/>
                <w:sz w:val="15"/>
              </w:rPr>
              <w:t>Atlassian UBI 9 overlays</w:t>
            </w:r>
          </w:p>
        </w:tc>
        <w:tc>
          <w:tcPr>
            <w:tcW w:type="dxa" w:w="2909"/>
            <w:tcMar>
              <w:top w:w="90" w:type="dxa"/>
              <w:start w:w="120" w:type="dxa"/>
              <w:bottom w:w="90" w:type="dxa"/>
              <w:end w:w="120" w:type="dxa"/>
            </w:tcMar>
            <w:vAlign w:val="center"/>
          </w:tcPr>
          <w:p>
            <w:pPr>
              <w:spacing w:after="0" w:line="259" w:lineRule="auto"/>
            </w:pPr>
            <w:r>
              <w:rPr>
                <w:color w:val="17202A"/>
                <w:sz w:val="15"/>
              </w:rPr>
              <w:t>Cleanly applying Bitbucket, Confluence, Jira patches</w:t>
            </w:r>
          </w:p>
        </w:tc>
        <w:tc>
          <w:tcPr>
            <w:tcW w:type="dxa" w:w="3326"/>
            <w:tcMar>
              <w:top w:w="90" w:type="dxa"/>
              <w:start w:w="120" w:type="dxa"/>
              <w:bottom w:w="90" w:type="dxa"/>
              <w:end w:w="120" w:type="dxa"/>
            </w:tcMar>
            <w:vAlign w:val="center"/>
          </w:tcPr>
          <w:p>
            <w:pPr>
              <w:spacing w:after="0" w:line="259" w:lineRule="auto"/>
            </w:pPr>
            <w:r>
              <w:rPr>
                <w:color w:val="17202A"/>
                <w:sz w:val="15"/>
              </w:rPr>
              <w:t>Internal base only; version/resource metadata consistent</w:t>
            </w:r>
          </w:p>
        </w:tc>
      </w:tr>
      <w:tr>
        <w:tc>
          <w:tcPr>
            <w:tcW w:type="dxa" w:w="605"/>
            <w:shd w:fill="FAFBFC"/>
            <w:tcMar>
              <w:top w:w="90" w:type="dxa"/>
              <w:start w:w="120" w:type="dxa"/>
              <w:bottom w:w="90" w:type="dxa"/>
              <w:end w:w="120" w:type="dxa"/>
            </w:tcMar>
            <w:vAlign w:val="center"/>
          </w:tcPr>
          <w:p>
            <w:pPr>
              <w:spacing w:after="0" w:line="259" w:lineRule="auto"/>
            </w:pPr>
            <w:r>
              <w:rPr>
                <w:color w:val="17202A"/>
                <w:sz w:val="15"/>
              </w:rPr>
              <w:t>4</w:t>
            </w:r>
          </w:p>
        </w:tc>
        <w:tc>
          <w:tcPr>
            <w:tcW w:type="dxa" w:w="2520"/>
            <w:shd w:fill="FAFBFC"/>
            <w:tcMar>
              <w:top w:w="90" w:type="dxa"/>
              <w:start w:w="120" w:type="dxa"/>
              <w:bottom w:w="90" w:type="dxa"/>
              <w:end w:w="120" w:type="dxa"/>
            </w:tcMar>
            <w:vAlign w:val="center"/>
          </w:tcPr>
          <w:p>
            <w:pPr>
              <w:spacing w:after="0" w:line="259" w:lineRule="auto"/>
            </w:pPr>
            <w:r>
              <w:rPr>
                <w:color w:val="17202A"/>
                <w:sz w:val="15"/>
              </w:rPr>
              <w:t>Parallel Atlassian builds</w:t>
            </w:r>
          </w:p>
        </w:tc>
        <w:tc>
          <w:tcPr>
            <w:tcW w:type="dxa" w:w="2909"/>
            <w:shd w:fill="FAFBFC"/>
            <w:tcMar>
              <w:top w:w="90" w:type="dxa"/>
              <w:start w:w="120" w:type="dxa"/>
              <w:bottom w:w="90" w:type="dxa"/>
              <w:end w:w="120" w:type="dxa"/>
            </w:tcMar>
            <w:vAlign w:val="center"/>
          </w:tcPr>
          <w:p>
            <w:pPr>
              <w:spacing w:after="0" w:line="259" w:lineRule="auto"/>
            </w:pPr>
            <w:r>
              <w:rPr>
                <w:color w:val="17202A"/>
                <w:sz w:val="15"/>
              </w:rPr>
              <w:t>Dependency-aware child pipeline</w:t>
            </w:r>
          </w:p>
        </w:tc>
        <w:tc>
          <w:tcPr>
            <w:tcW w:type="dxa" w:w="3326"/>
            <w:shd w:fill="FAFBFC"/>
            <w:tcMar>
              <w:top w:w="90" w:type="dxa"/>
              <w:start w:w="120" w:type="dxa"/>
              <w:bottom w:w="90" w:type="dxa"/>
              <w:end w:w="120" w:type="dxa"/>
            </w:tcMar>
            <w:vAlign w:val="center"/>
          </w:tcPr>
          <w:p>
            <w:pPr>
              <w:spacing w:after="0" w:line="259" w:lineRule="auto"/>
            </w:pPr>
            <w:r>
              <w:rPr>
                <w:color w:val="17202A"/>
                <w:sz w:val="15"/>
              </w:rPr>
              <w:t>UBI 9 fans out; app-only change stays isolated</w:t>
            </w:r>
          </w:p>
        </w:tc>
      </w:tr>
      <w:tr>
        <w:tc>
          <w:tcPr>
            <w:tcW w:type="dxa" w:w="605"/>
            <w:tcMar>
              <w:top w:w="90" w:type="dxa"/>
              <w:start w:w="120" w:type="dxa"/>
              <w:bottom w:w="90" w:type="dxa"/>
              <w:end w:w="120" w:type="dxa"/>
            </w:tcMar>
            <w:vAlign w:val="center"/>
          </w:tcPr>
          <w:p>
            <w:pPr>
              <w:spacing w:after="0" w:line="259" w:lineRule="auto"/>
            </w:pPr>
            <w:r>
              <w:rPr>
                <w:color w:val="17202A"/>
                <w:sz w:val="15"/>
              </w:rPr>
              <w:t>5</w:t>
            </w:r>
          </w:p>
        </w:tc>
        <w:tc>
          <w:tcPr>
            <w:tcW w:type="dxa" w:w="2520"/>
            <w:tcMar>
              <w:top w:w="90" w:type="dxa"/>
              <w:start w:w="120" w:type="dxa"/>
              <w:bottom w:w="90" w:type="dxa"/>
              <w:end w:w="120" w:type="dxa"/>
            </w:tcMar>
            <w:vAlign w:val="center"/>
          </w:tcPr>
          <w:p>
            <w:pPr>
              <w:spacing w:after="0" w:line="259" w:lineRule="auto"/>
            </w:pPr>
            <w:r>
              <w:rPr>
                <w:color w:val="17202A"/>
                <w:sz w:val="15"/>
              </w:rPr>
              <w:t>SBOM, scanning, policy</w:t>
            </w:r>
          </w:p>
        </w:tc>
        <w:tc>
          <w:tcPr>
            <w:tcW w:type="dxa" w:w="2909"/>
            <w:tcMar>
              <w:top w:w="90" w:type="dxa"/>
              <w:start w:w="120" w:type="dxa"/>
              <w:bottom w:w="90" w:type="dxa"/>
              <w:end w:w="120" w:type="dxa"/>
            </w:tcMar>
            <w:vAlign w:val="center"/>
          </w:tcPr>
          <w:p>
            <w:r>
              <w:t>FCS assessment, informational findings, and OPA decision</w:t>
            </w:r>
          </w:p>
        </w:tc>
        <w:tc>
          <w:tcPr>
            <w:tcW w:type="dxa" w:w="3326"/>
            <w:tcMar>
              <w:top w:w="90" w:type="dxa"/>
              <w:start w:w="120" w:type="dxa"/>
              <w:bottom w:w="90" w:type="dxa"/>
              <w:end w:w="120" w:type="dxa"/>
            </w:tcMar>
            <w:vAlign w:val="center"/>
          </w:tcPr>
          <w:p>
            <w:r>
              <w:t>FCS is authoritative; invalid/missing FCS, SBOM, compliance, or tests deny</w:t>
            </w:r>
          </w:p>
        </w:tc>
      </w:tr>
      <w:tr>
        <w:tc>
          <w:tcPr>
            <w:tcW w:type="dxa" w:w="605"/>
            <w:shd w:fill="FAFBFC"/>
            <w:tcMar>
              <w:top w:w="90" w:type="dxa"/>
              <w:start w:w="120" w:type="dxa"/>
              <w:bottom w:w="90" w:type="dxa"/>
              <w:end w:w="120" w:type="dxa"/>
            </w:tcMar>
            <w:vAlign w:val="center"/>
          </w:tcPr>
          <w:p>
            <w:pPr>
              <w:spacing w:after="0" w:line="259" w:lineRule="auto"/>
            </w:pPr>
            <w:r>
              <w:rPr>
                <w:color w:val="17202A"/>
                <w:sz w:val="15"/>
              </w:rPr>
              <w:t>6</w:t>
            </w:r>
          </w:p>
        </w:tc>
        <w:tc>
          <w:tcPr>
            <w:tcW w:type="dxa" w:w="2520"/>
            <w:shd w:fill="FAFBFC"/>
            <w:tcMar>
              <w:top w:w="90" w:type="dxa"/>
              <w:start w:w="120" w:type="dxa"/>
              <w:bottom w:w="90" w:type="dxa"/>
              <w:end w:w="120" w:type="dxa"/>
            </w:tcMar>
            <w:vAlign w:val="center"/>
          </w:tcPr>
          <w:p>
            <w:pPr>
              <w:spacing w:after="0" w:line="259" w:lineRule="auto"/>
            </w:pPr>
            <w:r>
              <w:rPr>
                <w:color w:val="17202A"/>
                <w:sz w:val="15"/>
              </w:rPr>
              <w:t>Product integration tests</w:t>
            </w:r>
          </w:p>
        </w:tc>
        <w:tc>
          <w:tcPr>
            <w:tcW w:type="dxa" w:w="2909"/>
            <w:shd w:fill="FAFBFC"/>
            <w:tcMar>
              <w:top w:w="90" w:type="dxa"/>
              <w:start w:w="120" w:type="dxa"/>
              <w:bottom w:w="90" w:type="dxa"/>
              <w:end w:w="120" w:type="dxa"/>
            </w:tcMar>
            <w:vAlign w:val="center"/>
          </w:tcPr>
          <w:p>
            <w:r>
              <w:t>Baseline structural/runtime evidence</w:t>
            </w:r>
          </w:p>
        </w:tc>
        <w:tc>
          <w:tcPr>
            <w:tcW w:type="dxa" w:w="3326"/>
            <w:shd w:fill="FAFBFC"/>
            <w:tcMar>
              <w:top w:w="90" w:type="dxa"/>
              <w:start w:w="120" w:type="dxa"/>
              <w:bottom w:w="90" w:type="dxa"/>
              <w:end w:w="120" w:type="dxa"/>
            </w:tcMar>
            <w:vAlign w:val="center"/>
          </w:tcPr>
          <w:p>
            <w:r>
              <w:t>Startup, HTTP status, shutdown, UID, Java, ports, and RPM integrity; licensed DB/cluster scenarios remain</w:t>
            </w:r>
          </w:p>
        </w:tc>
      </w:tr>
      <w:tr>
        <w:tc>
          <w:tcPr>
            <w:tcW w:type="dxa" w:w="605"/>
            <w:tcMar>
              <w:top w:w="90" w:type="dxa"/>
              <w:start w:w="120" w:type="dxa"/>
              <w:bottom w:w="90" w:type="dxa"/>
              <w:end w:w="120" w:type="dxa"/>
            </w:tcMar>
            <w:vAlign w:val="center"/>
          </w:tcPr>
          <w:p>
            <w:pPr>
              <w:spacing w:after="0" w:line="259" w:lineRule="auto"/>
            </w:pPr>
            <w:r>
              <w:rPr>
                <w:color w:val="17202A"/>
                <w:sz w:val="15"/>
              </w:rPr>
              <w:t>7</w:t>
            </w:r>
          </w:p>
        </w:tc>
        <w:tc>
          <w:tcPr>
            <w:tcW w:type="dxa" w:w="2520"/>
            <w:tcMar>
              <w:top w:w="90" w:type="dxa"/>
              <w:start w:w="120" w:type="dxa"/>
              <w:bottom w:w="90" w:type="dxa"/>
              <w:end w:w="120" w:type="dxa"/>
            </w:tcMar>
            <w:vAlign w:val="center"/>
          </w:tcPr>
          <w:p>
            <w:pPr>
              <w:spacing w:after="0" w:line="259" w:lineRule="auto"/>
            </w:pPr>
            <w:r>
              <w:rPr>
                <w:color w:val="17202A"/>
                <w:sz w:val="15"/>
              </w:rPr>
              <w:t>Signing + pull promotion</w:t>
            </w:r>
          </w:p>
        </w:tc>
        <w:tc>
          <w:tcPr>
            <w:tcW w:type="dxa" w:w="2909"/>
            <w:tcMar>
              <w:top w:w="90" w:type="dxa"/>
              <w:start w:w="120" w:type="dxa"/>
              <w:bottom w:w="90" w:type="dxa"/>
              <w:end w:w="120" w:type="dxa"/>
            </w:tcMar>
            <w:vAlign w:val="center"/>
          </w:tcPr>
          <w:p>
            <w:r>
              <w:t>Signed subject and implemented attestation set</w:t>
            </w:r>
          </w:p>
        </w:tc>
        <w:tc>
          <w:tcPr>
            <w:tcW w:type="dxa" w:w="3326"/>
            <w:tcMar>
              <w:top w:w="90" w:type="dxa"/>
              <w:start w:w="120" w:type="dxa"/>
              <w:bottom w:w="90" w:type="dxa"/>
              <w:end w:w="120" w:type="dxa"/>
            </w:tcMar>
            <w:vAlign w:val="center"/>
          </w:tcPr>
          <w:p>
            <w:r>
              <w:t>Digest preservation works; promotion-time attestation completeness and approval predicate remain</w:t>
            </w:r>
          </w:p>
        </w:tc>
      </w:tr>
      <w:tr>
        <w:tc>
          <w:tcPr>
            <w:tcW w:type="dxa" w:w="605"/>
            <w:shd w:fill="FAFBFC"/>
            <w:tcMar>
              <w:top w:w="90" w:type="dxa"/>
              <w:start w:w="120" w:type="dxa"/>
              <w:bottom w:w="90" w:type="dxa"/>
              <w:end w:w="120" w:type="dxa"/>
            </w:tcMar>
            <w:vAlign w:val="center"/>
          </w:tcPr>
          <w:p>
            <w:pPr>
              <w:spacing w:after="0" w:line="259" w:lineRule="auto"/>
            </w:pPr>
            <w:r>
              <w:rPr>
                <w:color w:val="17202A"/>
                <w:sz w:val="15"/>
              </w:rPr>
              <w:t>8</w:t>
            </w:r>
          </w:p>
        </w:tc>
        <w:tc>
          <w:tcPr>
            <w:tcW w:type="dxa" w:w="2520"/>
            <w:shd w:fill="FAFBFC"/>
            <w:tcMar>
              <w:top w:w="90" w:type="dxa"/>
              <w:start w:w="120" w:type="dxa"/>
              <w:bottom w:w="90" w:type="dxa"/>
              <w:end w:w="120" w:type="dxa"/>
            </w:tcMar>
            <w:vAlign w:val="center"/>
          </w:tcPr>
          <w:p>
            <w:pPr>
              <w:spacing w:after="0" w:line="259" w:lineRule="auto"/>
            </w:pPr>
            <w:r>
              <w:rPr>
                <w:color w:val="17202A"/>
                <w:sz w:val="15"/>
              </w:rPr>
              <w:t>Read-only AI summaries</w:t>
            </w:r>
          </w:p>
        </w:tc>
        <w:tc>
          <w:tcPr>
            <w:tcW w:type="dxa" w:w="2909"/>
            <w:shd w:fill="FAFBFC"/>
            <w:tcMar>
              <w:top w:w="90" w:type="dxa"/>
              <w:start w:w="120" w:type="dxa"/>
              <w:bottom w:w="90" w:type="dxa"/>
              <w:end w:w="120" w:type="dxa"/>
            </w:tcMar>
            <w:vAlign w:val="center"/>
          </w:tcPr>
          <w:p>
            <w:pPr>
              <w:spacing w:after="0" w:line="259" w:lineRule="auto"/>
            </w:pPr>
            <w:r>
              <w:rPr>
                <w:color w:val="17202A"/>
                <w:sz w:val="15"/>
              </w:rPr>
              <w:t>Schema-constrained remediation report</w:t>
            </w:r>
          </w:p>
        </w:tc>
        <w:tc>
          <w:tcPr>
            <w:tcW w:type="dxa" w:w="3326"/>
            <w:shd w:fill="FAFBFC"/>
            <w:tcMar>
              <w:top w:w="90" w:type="dxa"/>
              <w:start w:w="120" w:type="dxa"/>
              <w:bottom w:w="90" w:type="dxa"/>
              <w:end w:w="120" w:type="dxa"/>
            </w:tcMar>
            <w:vAlign w:val="center"/>
          </w:tcPr>
          <w:p>
            <w:pPr>
              <w:spacing w:after="0" w:line="259" w:lineRule="auto"/>
            </w:pPr>
            <w:r>
              <w:rPr>
                <w:color w:val="17202A"/>
                <w:sz w:val="15"/>
              </w:rPr>
              <w:t>No write credentials; unavailable inputs are blocked, not guessed</w:t>
            </w:r>
          </w:p>
        </w:tc>
      </w:tr>
      <w:tr>
        <w:tc>
          <w:tcPr>
            <w:tcW w:type="dxa" w:w="605"/>
            <w:tcMar>
              <w:top w:w="90" w:type="dxa"/>
              <w:start w:w="120" w:type="dxa"/>
              <w:bottom w:w="90" w:type="dxa"/>
              <w:end w:w="120" w:type="dxa"/>
            </w:tcMar>
            <w:vAlign w:val="center"/>
          </w:tcPr>
          <w:p>
            <w:pPr>
              <w:spacing w:after="0" w:line="259" w:lineRule="auto"/>
            </w:pPr>
            <w:r>
              <w:rPr>
                <w:color w:val="17202A"/>
                <w:sz w:val="15"/>
              </w:rPr>
              <w:t>9</w:t>
            </w:r>
          </w:p>
        </w:tc>
        <w:tc>
          <w:tcPr>
            <w:tcW w:type="dxa" w:w="2520"/>
            <w:tcMar>
              <w:top w:w="90" w:type="dxa"/>
              <w:start w:w="120" w:type="dxa"/>
              <w:bottom w:w="90" w:type="dxa"/>
              <w:end w:w="120" w:type="dxa"/>
            </w:tcMar>
            <w:vAlign w:val="center"/>
          </w:tcPr>
          <w:p>
            <w:pPr>
              <w:spacing w:after="0" w:line="259" w:lineRule="auto"/>
            </w:pPr>
            <w:r>
              <w:rPr>
                <w:color w:val="17202A"/>
                <w:sz w:val="15"/>
              </w:rPr>
              <w:t>AI patch merge requests</w:t>
            </w:r>
          </w:p>
        </w:tc>
        <w:tc>
          <w:tcPr>
            <w:tcW w:type="dxa" w:w="2909"/>
            <w:tcMar>
              <w:top w:w="90" w:type="dxa"/>
              <w:start w:w="120" w:type="dxa"/>
              <w:bottom w:w="90" w:type="dxa"/>
              <w:end w:w="120" w:type="dxa"/>
            </w:tcMar>
            <w:vAlign w:val="center"/>
          </w:tcPr>
          <w:p>
            <w:pPr>
              <w:spacing w:after="0" w:line="259" w:lineRule="auto"/>
            </w:pPr>
            <w:r>
              <w:rPr>
                <w:color w:val="17202A"/>
                <w:sz w:val="15"/>
              </w:rPr>
              <w:t>Brokered MR from ephemeral overlay</w:t>
            </w:r>
          </w:p>
        </w:tc>
        <w:tc>
          <w:tcPr>
            <w:tcW w:type="dxa" w:w="3326"/>
            <w:tcMar>
              <w:top w:w="90" w:type="dxa"/>
              <w:start w:w="120" w:type="dxa"/>
              <w:bottom w:w="90" w:type="dxa"/>
              <w:end w:w="120" w:type="dxa"/>
            </w:tcMar>
            <w:vAlign w:val="center"/>
          </w:tcPr>
          <w:p>
            <w:pPr>
              <w:spacing w:after="0" w:line="259" w:lineRule="auto"/>
            </w:pPr>
            <w:r>
              <w:rPr>
                <w:color w:val="17202A"/>
                <w:sz w:val="15"/>
              </w:rPr>
              <w:t>Protected paths blocked; clean rebuild; auto-merge disabled</w:t>
            </w:r>
          </w:p>
        </w:tc>
      </w:tr>
      <w:tr>
        <w:tc>
          <w:tcPr>
            <w:tcW w:type="dxa" w:w="605"/>
            <w:shd w:fill="FAFBFC"/>
            <w:tcMar>
              <w:top w:w="90" w:type="dxa"/>
              <w:start w:w="120" w:type="dxa"/>
              <w:bottom w:w="90" w:type="dxa"/>
              <w:end w:w="120" w:type="dxa"/>
            </w:tcMar>
            <w:vAlign w:val="center"/>
          </w:tcPr>
          <w:p>
            <w:pPr>
              <w:spacing w:after="0" w:line="259" w:lineRule="auto"/>
            </w:pPr>
            <w:r>
              <w:rPr>
                <w:color w:val="17202A"/>
                <w:sz w:val="15"/>
              </w:rPr>
              <w:t>10</w:t>
            </w:r>
          </w:p>
        </w:tc>
        <w:tc>
          <w:tcPr>
            <w:tcW w:type="dxa" w:w="2520"/>
            <w:shd w:fill="FAFBFC"/>
            <w:tcMar>
              <w:top w:w="90" w:type="dxa"/>
              <w:start w:w="120" w:type="dxa"/>
              <w:bottom w:w="90" w:type="dxa"/>
              <w:end w:w="120" w:type="dxa"/>
            </w:tcMar>
            <w:vAlign w:val="center"/>
          </w:tcPr>
          <w:p>
            <w:pPr>
              <w:spacing w:after="0" w:line="259" w:lineRule="auto"/>
            </w:pPr>
            <w:r>
              <w:rPr>
                <w:color w:val="17202A"/>
                <w:sz w:val="15"/>
              </w:rPr>
              <w:t>UBI 10 canary</w:t>
            </w:r>
          </w:p>
        </w:tc>
        <w:tc>
          <w:tcPr>
            <w:tcW w:type="dxa" w:w="2909"/>
            <w:shd w:fill="FAFBFC"/>
            <w:tcMar>
              <w:top w:w="90" w:type="dxa"/>
              <w:start w:w="120" w:type="dxa"/>
              <w:bottom w:w="90" w:type="dxa"/>
              <w:end w:w="120" w:type="dxa"/>
            </w:tcMar>
            <w:vAlign w:val="center"/>
          </w:tcPr>
          <w:p>
            <w:pPr>
              <w:spacing w:after="0" w:line="259" w:lineRule="auto"/>
            </w:pPr>
            <w:r>
              <w:rPr>
                <w:color w:val="17202A"/>
                <w:sz w:val="15"/>
              </w:rPr>
              <w:t>Independent compatibility report</w:t>
            </w:r>
          </w:p>
        </w:tc>
        <w:tc>
          <w:tcPr>
            <w:tcW w:type="dxa" w:w="3326"/>
            <w:shd w:fill="FAFBFC"/>
            <w:tcMar>
              <w:top w:w="90" w:type="dxa"/>
              <w:start w:w="120" w:type="dxa"/>
              <w:bottom w:w="90" w:type="dxa"/>
              <w:end w:w="120" w:type="dxa"/>
            </w:tcMar>
            <w:vAlign w:val="center"/>
          </w:tcPr>
          <w:p>
            <w:pPr>
              <w:spacing w:after="0" w:line="259" w:lineRule="auto"/>
            </w:pPr>
            <w:r>
              <w:rPr>
                <w:color w:val="17202A"/>
                <w:sz w:val="15"/>
              </w:rPr>
              <w:t>No production base change without explicit dependency change and approval</w:t>
            </w:r>
          </w:p>
        </w:tc>
      </w:tr>
    </w:tbl>
    <w:p>
      <w:pPr>
        <w:pStyle w:val="Heading2"/>
      </w:pPr>
      <w:r>
        <w:t>Recommended delivery sequence</w:t>
      </w:r>
    </w:p>
    <w:tbl>
      <w:tblPr>
        <w:tblStyle w:val="TableGrid"/>
        <w:tblW w:type="dxa" w:w="9360"/>
        <w:jc w:val="left"/>
        <w:tblLayout w:type="fixed"/>
        <w:tblLook w:firstColumn="1" w:firstRow="1" w:lastColumn="0" w:lastRow="0" w:noHBand="0" w:noVBand="1" w:val="04A0"/>
        <w:tblInd w:w="120" w:type="dxa"/>
      </w:tblPr>
      <w:tblGrid>
        <w:gridCol w:w="1224"/>
        <w:gridCol w:w="3024"/>
        <w:gridCol w:w="5112"/>
      </w:tblGrid>
      <w:tr>
        <w:trPr>
          <w:tblHeader w:val="true"/>
        </w:trPr>
        <w:tc>
          <w:tcPr>
            <w:tcW w:type="dxa" w:w="1224"/>
            <w:shd w:fill="E8EEF5"/>
            <w:tcMar>
              <w:top w:w="90" w:type="dxa"/>
              <w:start w:w="120" w:type="dxa"/>
              <w:bottom w:w="90" w:type="dxa"/>
              <w:end w:w="120" w:type="dxa"/>
            </w:tcMar>
            <w:vAlign w:val="center"/>
          </w:tcPr>
          <w:p>
            <w:pPr>
              <w:spacing w:after="0"/>
            </w:pPr>
            <w:r>
              <w:rPr>
                <w:b/>
                <w:color w:val="17324D"/>
                <w:sz w:val="18"/>
              </w:rPr>
              <w:t>Sprint</w:t>
            </w:r>
          </w:p>
        </w:tc>
        <w:tc>
          <w:tcPr>
            <w:tcW w:type="dxa" w:w="3024"/>
            <w:shd w:fill="E8EEF5"/>
            <w:tcMar>
              <w:top w:w="90" w:type="dxa"/>
              <w:start w:w="120" w:type="dxa"/>
              <w:bottom w:w="90" w:type="dxa"/>
              <w:end w:w="120" w:type="dxa"/>
            </w:tcMar>
            <w:vAlign w:val="center"/>
          </w:tcPr>
          <w:p>
            <w:pPr>
              <w:spacing w:after="0"/>
            </w:pPr>
            <w:r>
              <w:rPr>
                <w:b/>
                <w:color w:val="17324D"/>
                <w:sz w:val="18"/>
              </w:rPr>
              <w:t>Scope</w:t>
            </w:r>
          </w:p>
        </w:tc>
        <w:tc>
          <w:tcPr>
            <w:tcW w:type="dxa" w:w="5112"/>
            <w:shd w:fill="E8EEF5"/>
            <w:tcMar>
              <w:top w:w="90" w:type="dxa"/>
              <w:start w:w="120" w:type="dxa"/>
              <w:bottom w:w="90" w:type="dxa"/>
              <w:end w:w="120" w:type="dxa"/>
            </w:tcMar>
            <w:vAlign w:val="center"/>
          </w:tcPr>
          <w:p>
            <w:pPr>
              <w:spacing w:after="0"/>
            </w:pPr>
            <w:r>
              <w:rPr>
                <w:b/>
                <w:color w:val="17324D"/>
                <w:sz w:val="18"/>
              </w:rPr>
              <w:t>Exit artifact</w:t>
            </w:r>
          </w:p>
        </w:tc>
      </w:tr>
      <w:tr>
        <w:tc>
          <w:tcPr>
            <w:tcW w:type="dxa" w:w="1224"/>
            <w:tcMar>
              <w:top w:w="90" w:type="dxa"/>
              <w:start w:w="120" w:type="dxa"/>
              <w:bottom w:w="90" w:type="dxa"/>
              <w:end w:w="120" w:type="dxa"/>
            </w:tcMar>
            <w:vAlign w:val="center"/>
          </w:tcPr>
          <w:p>
            <w:pPr>
              <w:spacing w:after="0" w:line="259" w:lineRule="auto"/>
            </w:pPr>
            <w:r>
              <w:rPr>
                <w:color w:val="17202A"/>
                <w:sz w:val="18"/>
              </w:rPr>
              <w:t>1</w:t>
            </w:r>
          </w:p>
        </w:tc>
        <w:tc>
          <w:tcPr>
            <w:tcW w:type="dxa" w:w="3024"/>
            <w:tcMar>
              <w:top w:w="90" w:type="dxa"/>
              <w:start w:w="120" w:type="dxa"/>
              <w:bottom w:w="90" w:type="dxa"/>
              <w:end w:w="120" w:type="dxa"/>
            </w:tcMar>
            <w:vAlign w:val="center"/>
          </w:tcPr>
          <w:p>
            <w:pPr>
              <w:spacing w:after="0" w:line="259" w:lineRule="auto"/>
            </w:pPr>
            <w:r>
              <w:rPr>
                <w:color w:val="17202A"/>
                <w:sz w:val="18"/>
              </w:rPr>
              <w:t>Milestone 1</w:t>
            </w:r>
          </w:p>
        </w:tc>
        <w:tc>
          <w:tcPr>
            <w:tcW w:type="dxa" w:w="5112"/>
            <w:tcMar>
              <w:top w:w="90" w:type="dxa"/>
              <w:start w:w="120" w:type="dxa"/>
              <w:bottom w:w="90" w:type="dxa"/>
              <w:end w:w="120" w:type="dxa"/>
            </w:tcMar>
            <w:vAlign w:val="center"/>
          </w:tcPr>
          <w:p>
            <w:pPr>
              <w:spacing w:after="0" w:line="259" w:lineRule="auto"/>
            </w:pPr>
            <w:r>
              <w:rPr>
                <w:color w:val="17202A"/>
                <w:sz w:val="18"/>
              </w:rPr>
              <w:t>Signed locks in Artifactory</w:t>
            </w:r>
          </w:p>
        </w:tc>
      </w:tr>
      <w:tr>
        <w:tc>
          <w:tcPr>
            <w:tcW w:type="dxa" w:w="1224"/>
            <w:shd w:fill="FAFBFC"/>
            <w:tcMar>
              <w:top w:w="90" w:type="dxa"/>
              <w:start w:w="120" w:type="dxa"/>
              <w:bottom w:w="90" w:type="dxa"/>
              <w:end w:w="120" w:type="dxa"/>
            </w:tcMar>
            <w:vAlign w:val="center"/>
          </w:tcPr>
          <w:p>
            <w:pPr>
              <w:spacing w:after="0" w:line="259" w:lineRule="auto"/>
            </w:pPr>
            <w:r>
              <w:rPr>
                <w:color w:val="17202A"/>
                <w:sz w:val="18"/>
              </w:rPr>
              <w:t>2</w:t>
            </w:r>
          </w:p>
        </w:tc>
        <w:tc>
          <w:tcPr>
            <w:tcW w:type="dxa" w:w="3024"/>
            <w:shd w:fill="FAFBFC"/>
            <w:tcMar>
              <w:top w:w="90" w:type="dxa"/>
              <w:start w:w="120" w:type="dxa"/>
              <w:bottom w:w="90" w:type="dxa"/>
              <w:end w:w="120" w:type="dxa"/>
            </w:tcMar>
            <w:vAlign w:val="center"/>
          </w:tcPr>
          <w:p>
            <w:pPr>
              <w:spacing w:after="0" w:line="259" w:lineRule="auto"/>
            </w:pPr>
            <w:r>
              <w:rPr>
                <w:color w:val="17202A"/>
                <w:sz w:val="18"/>
              </w:rPr>
              <w:t>Milestone 2</w:t>
            </w:r>
          </w:p>
        </w:tc>
        <w:tc>
          <w:tcPr>
            <w:tcW w:type="dxa" w:w="5112"/>
            <w:shd w:fill="FAFBFC"/>
            <w:tcMar>
              <w:top w:w="90" w:type="dxa"/>
              <w:start w:w="120" w:type="dxa"/>
              <w:bottom w:w="90" w:type="dxa"/>
              <w:end w:w="120" w:type="dxa"/>
            </w:tcMar>
            <w:vAlign w:val="center"/>
          </w:tcPr>
          <w:p>
            <w:pPr>
              <w:spacing w:after="0" w:line="259" w:lineRule="auto"/>
            </w:pPr>
            <w:r>
              <w:rPr>
                <w:color w:val="17202A"/>
                <w:sz w:val="18"/>
              </w:rPr>
              <w:t>Released UBI 9.8 digest</w:t>
            </w:r>
          </w:p>
        </w:tc>
      </w:tr>
      <w:tr>
        <w:tc>
          <w:tcPr>
            <w:tcW w:type="dxa" w:w="1224"/>
            <w:tcMar>
              <w:top w:w="90" w:type="dxa"/>
              <w:start w:w="120" w:type="dxa"/>
              <w:bottom w:w="90" w:type="dxa"/>
              <w:end w:w="120" w:type="dxa"/>
            </w:tcMar>
            <w:vAlign w:val="center"/>
          </w:tcPr>
          <w:p>
            <w:pPr>
              <w:spacing w:after="0" w:line="259" w:lineRule="auto"/>
            </w:pPr>
            <w:r>
              <w:rPr>
                <w:color w:val="17202A"/>
                <w:sz w:val="18"/>
              </w:rPr>
              <w:t>3</w:t>
            </w:r>
          </w:p>
        </w:tc>
        <w:tc>
          <w:tcPr>
            <w:tcW w:type="dxa" w:w="3024"/>
            <w:tcMar>
              <w:top w:w="90" w:type="dxa"/>
              <w:start w:w="120" w:type="dxa"/>
              <w:bottom w:w="90" w:type="dxa"/>
              <w:end w:w="120" w:type="dxa"/>
            </w:tcMar>
            <w:vAlign w:val="center"/>
          </w:tcPr>
          <w:p>
            <w:pPr>
              <w:spacing w:after="0" w:line="259" w:lineRule="auto"/>
            </w:pPr>
            <w:r>
              <w:rPr>
                <w:color w:val="17202A"/>
                <w:sz w:val="18"/>
              </w:rPr>
              <w:t>Milestones 3-4</w:t>
            </w:r>
          </w:p>
        </w:tc>
        <w:tc>
          <w:tcPr>
            <w:tcW w:type="dxa" w:w="5112"/>
            <w:tcMar>
              <w:top w:w="90" w:type="dxa"/>
              <w:start w:w="120" w:type="dxa"/>
              <w:bottom w:w="90" w:type="dxa"/>
              <w:end w:w="120" w:type="dxa"/>
            </w:tcMar>
            <w:vAlign w:val="center"/>
          </w:tcPr>
          <w:p>
            <w:pPr>
              <w:spacing w:after="0" w:line="259" w:lineRule="auto"/>
            </w:pPr>
            <w:r>
              <w:rPr>
                <w:color w:val="17202A"/>
                <w:sz w:val="18"/>
              </w:rPr>
              <w:t>Three parallel application candidates</w:t>
            </w:r>
          </w:p>
        </w:tc>
      </w:tr>
      <w:tr>
        <w:tc>
          <w:tcPr>
            <w:tcW w:type="dxa" w:w="1224"/>
            <w:shd w:fill="FAFBFC"/>
            <w:tcMar>
              <w:top w:w="90" w:type="dxa"/>
              <w:start w:w="120" w:type="dxa"/>
              <w:bottom w:w="90" w:type="dxa"/>
              <w:end w:w="120" w:type="dxa"/>
            </w:tcMar>
            <w:vAlign w:val="center"/>
          </w:tcPr>
          <w:p>
            <w:pPr>
              <w:spacing w:after="0" w:line="259" w:lineRule="auto"/>
            </w:pPr>
            <w:r>
              <w:rPr>
                <w:color w:val="17202A"/>
                <w:sz w:val="18"/>
              </w:rPr>
              <w:t>4</w:t>
            </w:r>
          </w:p>
        </w:tc>
        <w:tc>
          <w:tcPr>
            <w:tcW w:type="dxa" w:w="3024"/>
            <w:shd w:fill="FAFBFC"/>
            <w:tcMar>
              <w:top w:w="90" w:type="dxa"/>
              <w:start w:w="120" w:type="dxa"/>
              <w:bottom w:w="90" w:type="dxa"/>
              <w:end w:w="120" w:type="dxa"/>
            </w:tcMar>
            <w:vAlign w:val="center"/>
          </w:tcPr>
          <w:p>
            <w:pPr>
              <w:spacing w:after="0" w:line="259" w:lineRule="auto"/>
            </w:pPr>
            <w:r>
              <w:rPr>
                <w:color w:val="17202A"/>
                <w:sz w:val="18"/>
              </w:rPr>
              <w:t>Milestone 5</w:t>
            </w:r>
          </w:p>
        </w:tc>
        <w:tc>
          <w:tcPr>
            <w:tcW w:type="dxa" w:w="5112"/>
            <w:shd w:fill="FAFBFC"/>
            <w:tcMar>
              <w:top w:w="90" w:type="dxa"/>
              <w:start w:w="120" w:type="dxa"/>
              <w:bottom w:w="90" w:type="dxa"/>
              <w:end w:w="120" w:type="dxa"/>
            </w:tcMar>
            <w:vAlign w:val="center"/>
          </w:tcPr>
          <w:p>
            <w:pPr>
              <w:spacing w:after="0" w:line="259" w:lineRule="auto"/>
            </w:pPr>
            <w:r>
              <w:rPr>
                <w:color w:val="17202A"/>
                <w:sz w:val="18"/>
              </w:rPr>
              <w:t>Enforced release policy</w:t>
            </w:r>
          </w:p>
        </w:tc>
      </w:tr>
      <w:tr>
        <w:tc>
          <w:tcPr>
            <w:tcW w:type="dxa" w:w="1224"/>
            <w:tcMar>
              <w:top w:w="90" w:type="dxa"/>
              <w:start w:w="120" w:type="dxa"/>
              <w:bottom w:w="90" w:type="dxa"/>
              <w:end w:w="120" w:type="dxa"/>
            </w:tcMar>
            <w:vAlign w:val="center"/>
          </w:tcPr>
          <w:p>
            <w:pPr>
              <w:spacing w:after="0" w:line="259" w:lineRule="auto"/>
            </w:pPr>
            <w:r>
              <w:rPr>
                <w:color w:val="17202A"/>
                <w:sz w:val="18"/>
              </w:rPr>
              <w:t>5</w:t>
            </w:r>
          </w:p>
        </w:tc>
        <w:tc>
          <w:tcPr>
            <w:tcW w:type="dxa" w:w="3024"/>
            <w:tcMar>
              <w:top w:w="90" w:type="dxa"/>
              <w:start w:w="120" w:type="dxa"/>
              <w:bottom w:w="90" w:type="dxa"/>
              <w:end w:w="120" w:type="dxa"/>
            </w:tcMar>
            <w:vAlign w:val="center"/>
          </w:tcPr>
          <w:p>
            <w:pPr>
              <w:spacing w:after="0" w:line="259" w:lineRule="auto"/>
            </w:pPr>
            <w:r>
              <w:rPr>
                <w:color w:val="17202A"/>
                <w:sz w:val="18"/>
              </w:rPr>
              <w:t>Milestone 6</w:t>
            </w:r>
          </w:p>
        </w:tc>
        <w:tc>
          <w:tcPr>
            <w:tcW w:type="dxa" w:w="5112"/>
            <w:tcMar>
              <w:top w:w="90" w:type="dxa"/>
              <w:start w:w="120" w:type="dxa"/>
              <w:bottom w:w="90" w:type="dxa"/>
              <w:end w:w="120" w:type="dxa"/>
            </w:tcMar>
            <w:vAlign w:val="center"/>
          </w:tcPr>
          <w:p>
            <w:pPr>
              <w:spacing w:after="0" w:line="259" w:lineRule="auto"/>
            </w:pPr>
            <w:r>
              <w:rPr>
                <w:color w:val="17202A"/>
                <w:sz w:val="18"/>
              </w:rPr>
              <w:t>Product integration evidence</w:t>
            </w:r>
          </w:p>
        </w:tc>
      </w:tr>
      <w:tr>
        <w:tc>
          <w:tcPr>
            <w:tcW w:type="dxa" w:w="1224"/>
            <w:shd w:fill="FAFBFC"/>
            <w:tcMar>
              <w:top w:w="90" w:type="dxa"/>
              <w:start w:w="120" w:type="dxa"/>
              <w:bottom w:w="90" w:type="dxa"/>
              <w:end w:w="120" w:type="dxa"/>
            </w:tcMar>
            <w:vAlign w:val="center"/>
          </w:tcPr>
          <w:p>
            <w:pPr>
              <w:spacing w:after="0" w:line="259" w:lineRule="auto"/>
            </w:pPr>
            <w:r>
              <w:rPr>
                <w:color w:val="17202A"/>
                <w:sz w:val="18"/>
              </w:rPr>
              <w:t>6</w:t>
            </w:r>
          </w:p>
        </w:tc>
        <w:tc>
          <w:tcPr>
            <w:tcW w:type="dxa" w:w="3024"/>
            <w:shd w:fill="FAFBFC"/>
            <w:tcMar>
              <w:top w:w="90" w:type="dxa"/>
              <w:start w:w="120" w:type="dxa"/>
              <w:bottom w:w="90" w:type="dxa"/>
              <w:end w:w="120" w:type="dxa"/>
            </w:tcMar>
            <w:vAlign w:val="center"/>
          </w:tcPr>
          <w:p>
            <w:pPr>
              <w:spacing w:after="0" w:line="259" w:lineRule="auto"/>
            </w:pPr>
            <w:r>
              <w:rPr>
                <w:color w:val="17202A"/>
                <w:sz w:val="18"/>
              </w:rPr>
              <w:t>Milestone 7</w:t>
            </w:r>
          </w:p>
        </w:tc>
        <w:tc>
          <w:tcPr>
            <w:tcW w:type="dxa" w:w="5112"/>
            <w:shd w:fill="FAFBFC"/>
            <w:tcMar>
              <w:top w:w="90" w:type="dxa"/>
              <w:start w:w="120" w:type="dxa"/>
              <w:bottom w:w="90" w:type="dxa"/>
              <w:end w:w="120" w:type="dxa"/>
            </w:tcMar>
            <w:vAlign w:val="center"/>
          </w:tcPr>
          <w:p>
            <w:pPr>
              <w:spacing w:after="0" w:line="259" w:lineRule="auto"/>
            </w:pPr>
            <w:r>
              <w:rPr>
                <w:color w:val="17202A"/>
                <w:sz w:val="18"/>
              </w:rPr>
              <w:t>Signed pull-based release</w:t>
            </w:r>
          </w:p>
        </w:tc>
      </w:tr>
      <w:tr>
        <w:tc>
          <w:tcPr>
            <w:tcW w:type="dxa" w:w="1224"/>
            <w:tcMar>
              <w:top w:w="90" w:type="dxa"/>
              <w:start w:w="120" w:type="dxa"/>
              <w:bottom w:w="90" w:type="dxa"/>
              <w:end w:w="120" w:type="dxa"/>
            </w:tcMar>
            <w:vAlign w:val="center"/>
          </w:tcPr>
          <w:p>
            <w:pPr>
              <w:spacing w:after="0" w:line="259" w:lineRule="auto"/>
            </w:pPr>
            <w:r>
              <w:rPr>
                <w:color w:val="17202A"/>
                <w:sz w:val="18"/>
              </w:rPr>
              <w:t>7</w:t>
            </w:r>
          </w:p>
        </w:tc>
        <w:tc>
          <w:tcPr>
            <w:tcW w:type="dxa" w:w="3024"/>
            <w:tcMar>
              <w:top w:w="90" w:type="dxa"/>
              <w:start w:w="120" w:type="dxa"/>
              <w:bottom w:w="90" w:type="dxa"/>
              <w:end w:w="120" w:type="dxa"/>
            </w:tcMar>
            <w:vAlign w:val="center"/>
          </w:tcPr>
          <w:p>
            <w:pPr>
              <w:spacing w:after="0" w:line="259" w:lineRule="auto"/>
            </w:pPr>
            <w:r>
              <w:rPr>
                <w:color w:val="17202A"/>
                <w:sz w:val="18"/>
              </w:rPr>
              <w:t>Milestone 8</w:t>
            </w:r>
          </w:p>
        </w:tc>
        <w:tc>
          <w:tcPr>
            <w:tcW w:type="dxa" w:w="5112"/>
            <w:tcMar>
              <w:top w:w="90" w:type="dxa"/>
              <w:start w:w="120" w:type="dxa"/>
              <w:bottom w:w="90" w:type="dxa"/>
              <w:end w:w="120" w:type="dxa"/>
            </w:tcMar>
            <w:vAlign w:val="center"/>
          </w:tcPr>
          <w:p>
            <w:pPr>
              <w:spacing w:after="0" w:line="259" w:lineRule="auto"/>
            </w:pPr>
            <w:r>
              <w:rPr>
                <w:color w:val="17202A"/>
                <w:sz w:val="18"/>
              </w:rPr>
              <w:t>Read-only remediation summaries</w:t>
            </w:r>
          </w:p>
        </w:tc>
      </w:tr>
      <w:tr>
        <w:tc>
          <w:tcPr>
            <w:tcW w:type="dxa" w:w="1224"/>
            <w:shd w:fill="FAFBFC"/>
            <w:tcMar>
              <w:top w:w="90" w:type="dxa"/>
              <w:start w:w="120" w:type="dxa"/>
              <w:bottom w:w="90" w:type="dxa"/>
              <w:end w:w="120" w:type="dxa"/>
            </w:tcMar>
            <w:vAlign w:val="center"/>
          </w:tcPr>
          <w:p>
            <w:pPr>
              <w:spacing w:after="0" w:line="259" w:lineRule="auto"/>
            </w:pPr>
            <w:r>
              <w:rPr>
                <w:color w:val="17202A"/>
                <w:sz w:val="18"/>
              </w:rPr>
              <w:t>8</w:t>
            </w:r>
          </w:p>
        </w:tc>
        <w:tc>
          <w:tcPr>
            <w:tcW w:type="dxa" w:w="3024"/>
            <w:shd w:fill="FAFBFC"/>
            <w:tcMar>
              <w:top w:w="90" w:type="dxa"/>
              <w:start w:w="120" w:type="dxa"/>
              <w:bottom w:w="90" w:type="dxa"/>
              <w:end w:w="120" w:type="dxa"/>
            </w:tcMar>
            <w:vAlign w:val="center"/>
          </w:tcPr>
          <w:p>
            <w:pPr>
              <w:spacing w:after="0" w:line="259" w:lineRule="auto"/>
            </w:pPr>
            <w:r>
              <w:rPr>
                <w:color w:val="17202A"/>
                <w:sz w:val="18"/>
              </w:rPr>
              <w:t>Milestone 9</w:t>
            </w:r>
          </w:p>
        </w:tc>
        <w:tc>
          <w:tcPr>
            <w:tcW w:type="dxa" w:w="5112"/>
            <w:shd w:fill="FAFBFC"/>
            <w:tcMar>
              <w:top w:w="90" w:type="dxa"/>
              <w:start w:w="120" w:type="dxa"/>
              <w:bottom w:w="90" w:type="dxa"/>
              <w:end w:w="120" w:type="dxa"/>
            </w:tcMar>
            <w:vAlign w:val="center"/>
          </w:tcPr>
          <w:p>
            <w:pPr>
              <w:spacing w:after="0" w:line="259" w:lineRule="auto"/>
            </w:pPr>
            <w:r>
              <w:rPr>
                <w:color w:val="17202A"/>
                <w:sz w:val="18"/>
              </w:rPr>
              <w:t>Guarded patch MRs</w:t>
            </w:r>
          </w:p>
        </w:tc>
      </w:tr>
      <w:tr>
        <w:tc>
          <w:tcPr>
            <w:tcW w:type="dxa" w:w="1224"/>
            <w:tcMar>
              <w:top w:w="90" w:type="dxa"/>
              <w:start w:w="120" w:type="dxa"/>
              <w:bottom w:w="90" w:type="dxa"/>
              <w:end w:w="120" w:type="dxa"/>
            </w:tcMar>
            <w:vAlign w:val="center"/>
          </w:tcPr>
          <w:p>
            <w:pPr>
              <w:spacing w:after="0" w:line="259" w:lineRule="auto"/>
            </w:pPr>
            <w:r>
              <w:rPr>
                <w:color w:val="17202A"/>
                <w:sz w:val="18"/>
              </w:rPr>
              <w:t>Parallel</w:t>
            </w:r>
          </w:p>
        </w:tc>
        <w:tc>
          <w:tcPr>
            <w:tcW w:type="dxa" w:w="3024"/>
            <w:tcMar>
              <w:top w:w="90" w:type="dxa"/>
              <w:start w:w="120" w:type="dxa"/>
              <w:bottom w:w="90" w:type="dxa"/>
              <w:end w:w="120" w:type="dxa"/>
            </w:tcMar>
            <w:vAlign w:val="center"/>
          </w:tcPr>
          <w:p>
            <w:pPr>
              <w:spacing w:after="0" w:line="259" w:lineRule="auto"/>
            </w:pPr>
            <w:r>
              <w:rPr>
                <w:color w:val="17202A"/>
                <w:sz w:val="18"/>
              </w:rPr>
              <w:t>Milestone 10</w:t>
            </w:r>
          </w:p>
        </w:tc>
        <w:tc>
          <w:tcPr>
            <w:tcW w:type="dxa" w:w="5112"/>
            <w:tcMar>
              <w:top w:w="90" w:type="dxa"/>
              <w:start w:w="120" w:type="dxa"/>
              <w:bottom w:w="90" w:type="dxa"/>
              <w:end w:w="120" w:type="dxa"/>
            </w:tcMar>
            <w:vAlign w:val="center"/>
          </w:tcPr>
          <w:p>
            <w:pPr>
              <w:spacing w:after="0" w:line="259" w:lineRule="auto"/>
            </w:pPr>
            <w:r>
              <w:rPr>
                <w:color w:val="17202A"/>
                <w:sz w:val="18"/>
              </w:rPr>
              <w:t>UBI 10 compatibility report</w:t>
            </w:r>
          </w:p>
        </w:tc>
      </w:tr>
    </w:tbl>
    <w:p>
      <w:pPr>
        <w:pStyle w:val="Heading1"/>
      </w:pPr>
      <w:r>
        <w:t>9. Bootstrap, validation, and go-live</w:t>
      </w:r>
    </w:p>
    <w:p>
      <w:pPr>
        <w:pStyle w:val="Heading2"/>
      </w:pPr>
      <w:r>
        <w:t>Day 0: environment bootstrap</w:t>
      </w:r>
    </w:p>
    <w:p>
      <w:pPr>
        <w:numPr>
          <w:ilvl w:val="0"/>
          <w:numId w:val="10"/>
        </w:numPr>
        <w:spacing w:after="80" w:line="300" w:lineRule="auto"/>
      </w:pPr>
      <w:r>
        <w:t>Create Artifactory repositories and enforce writer separation and immutability.</w:t>
      </w:r>
    </w:p>
    <w:p>
      <w:pPr>
        <w:numPr>
          <w:ilvl w:val="0"/>
          <w:numId w:val="10"/>
        </w:numPr>
        <w:spacing w:after="80" w:line="300" w:lineRule="auto"/>
      </w:pPr>
      <w:r>
        <w:t>Build intake and runner toolchain images from verified source/binaries; generate SBOMs and sign them before use.</w:t>
      </w:r>
    </w:p>
    <w:p>
      <w:pPr>
        <w:numPr>
          <w:ilvl w:val="0"/>
          <w:numId w:val="10"/>
        </w:numPr>
        <w:spacing w:after="80" w:line="300" w:lineRule="auto"/>
      </w:pPr>
      <w:r>
        <w:t>Create internal Git mirrors and protect source, pipeline, policy, and release branches with CODEOWNERS.</w:t>
      </w:r>
    </w:p>
    <w:p>
      <w:pPr>
        <w:numPr>
          <w:ilvl w:val="0"/>
          <w:numId w:val="10"/>
        </w:numPr>
        <w:spacing w:after="80" w:line="300" w:lineRule="auto"/>
      </w:pPr>
      <w:r>
        <w:t>Register ephemeral runner classes and enforce network ACLs that match the trust model.</w:t>
      </w:r>
    </w:p>
    <w:p>
      <w:pPr>
        <w:numPr>
          <w:ilvl w:val="0"/>
          <w:numId w:val="10"/>
        </w:numPr>
        <w:spacing w:after="80" w:line="300" w:lineRule="auto"/>
      </w:pPr>
      <w:r>
        <w:t>Configure GitLab OIDC exchange to Artifactory; create environment-specific encrypted Cosign key pairs, trusted public-key distribution, and FCS environment policies/credentials.</w:t>
      </w:r>
    </w:p>
    <w:p>
      <w:pPr>
        <w:numPr>
          <w:ilvl w:val="0"/>
          <w:numId w:val="10"/>
        </w:numPr>
        <w:spacing w:after="80" w:line="300" w:lineRule="auto"/>
      </w:pPr>
      <w:r>
        <w:t>Populate signed security-data and immutable RPM snapshot repositories.</w:t>
      </w:r>
    </w:p>
    <w:p>
      <w:pPr>
        <w:numPr>
          <w:ilvl w:val="0"/>
          <w:numId w:val="10"/>
        </w:numPr>
        <w:spacing w:after="80" w:line="300" w:lineRule="auto"/>
      </w:pPr>
      <w:r>
        <w:t>Configure Commercial, Gov1, and Gov2 protected environments and approver groups.</w:t>
      </w:r>
    </w:p>
    <w:p>
      <w:pPr>
        <w:pStyle w:val="Heading2"/>
      </w:pPr>
      <w:r>
        <w:t>Day 1: first production activation</w:t>
      </w:r>
    </w:p>
    <w:p>
      <w:pPr>
        <w:numPr>
          <w:ilvl w:val="0"/>
          <w:numId w:val="11"/>
        </w:numPr>
        <w:spacing w:after="80" w:line="300" w:lineRule="auto"/>
      </w:pPr>
      <w:r>
        <w:t>Run the connected intake pipeline and verify the resource lock signature and canonical replay.</w:t>
      </w:r>
    </w:p>
    <w:p>
      <w:pPr>
        <w:numPr>
          <w:ilvl w:val="0"/>
          <w:numId w:val="11"/>
        </w:numPr>
        <w:spacing w:after="80" w:line="300" w:lineRule="auto"/>
      </w:pPr>
      <w:r>
        <w:t>Transfer the source and security-data bundles into the disconnected enclave and verify every digest.</w:t>
      </w:r>
    </w:p>
    <w:p>
      <w:pPr>
        <w:numPr>
          <w:ilvl w:val="0"/>
          <w:numId w:val="11"/>
        </w:numPr>
        <w:spacing w:after="80" w:line="300" w:lineRule="auto"/>
      </w:pPr>
      <w:r>
        <w:t>Render a child pipeline for ubi9-minimal; confirm that all four production-lineage pipelines are selected.</w:t>
      </w:r>
    </w:p>
    <w:p>
      <w:pPr>
        <w:numPr>
          <w:ilvl w:val="0"/>
          <w:numId w:val="11"/>
        </w:numPr>
        <w:spacing w:after="80" w:line="300" w:lineRule="auto"/>
      </w:pPr>
      <w:r>
        <w:t>Build and evaluate UBI 9.8, then stop at quarantine for independent review of SCAP tailoring, RPM deviation allowlists, and evidence completeness.</w:t>
      </w:r>
    </w:p>
    <w:p>
      <w:pPr>
        <w:numPr>
          <w:ilvl w:val="0"/>
          <w:numId w:val="11"/>
        </w:numPr>
        <w:spacing w:after="80" w:line="300" w:lineRule="auto"/>
      </w:pPr>
      <w:r>
        <w:t>Approve, sign, and promote the UBI 9 digest only after the review is complete.</w:t>
      </w:r>
    </w:p>
    <w:p>
      <w:pPr>
        <w:numPr>
          <w:ilvl w:val="0"/>
          <w:numId w:val="11"/>
        </w:numPr>
        <w:spacing w:after="80" w:line="300" w:lineRule="auto"/>
      </w:pPr>
      <w:r>
        <w:t>Build Bitbucket, Confluence, and Jira in parallel using the same approved UBI digest.</w:t>
      </w:r>
    </w:p>
    <w:p>
      <w:pPr>
        <w:numPr>
          <w:ilvl w:val="0"/>
          <w:numId w:val="11"/>
        </w:numPr>
        <w:spacing w:after="80" w:line="300" w:lineRule="auto"/>
      </w:pPr>
      <w:r>
        <w:t>Run the current baseline runtime tests, add licensed PostgreSQL and product-flow integration suites, and validate OCI 1.1 referrer preservation in the deployed Artifactory version.</w:t>
      </w:r>
    </w:p>
    <w:p>
      <w:pPr>
        <w:numPr>
          <w:ilvl w:val="0"/>
          <w:numId w:val="11"/>
        </w:numPr>
        <w:spacing w:after="80" w:line="300" w:lineRule="auto"/>
      </w:pPr>
      <w:r>
        <w:t>Perform a controlled Commercial promotion and a documented rollback rehearsal before enabling Gov promotion.</w:t>
      </w:r>
    </w:p>
    <w:p>
      <w:pPr>
        <w:pStyle w:val="Heading2"/>
      </w:pPr>
      <w:r>
        <w:t>Go-live acceptance checklist</w:t>
      </w:r>
    </w:p>
    <w:p>
      <w:pPr>
        <w:pStyle w:val="ListBullet"/>
      </w:pPr>
      <w:r>
        <w:t>No build job can resolve a public URL or public image reference.</w:t>
      </w:r>
    </w:p>
    <w:p>
      <w:pPr>
        <w:pStyle w:val="ListBullet"/>
      </w:pPr>
      <w:r>
        <w:t>Build, importer, signer, and promoter identities are technically distinct.</w:t>
      </w:r>
    </w:p>
    <w:p>
      <w:pPr>
        <w:pStyle w:val="ListBullet"/>
      </w:pPr>
      <w:r>
        <w:t>FCS failures and tenant-policy denials stop release. If a 72-hour legacy database gate is required, implement and test the Rego rule before claiming enforcement.</w:t>
      </w:r>
    </w:p>
    <w:p>
      <w:pPr>
        <w:pStyle w:val="ListBullet"/>
      </w:pPr>
      <w:r>
        <w:t>Every released digest has the implemented Cosign attestations; production activation additionally requires promotion-time completeness verification and signed approval evidence.</w:t>
      </w:r>
    </w:p>
    <w:p>
      <w:pPr>
        <w:pStyle w:val="ListBullet"/>
      </w:pPr>
      <w:r>
        <w:t>A tag mutation cannot alter the evidence identity or bypass verification.</w:t>
      </w:r>
    </w:p>
    <w:p>
      <w:pPr>
        <w:pStyle w:val="ListBullet"/>
      </w:pPr>
      <w:r>
        <w:t>Gov1/Gov2 require local .us approval and local signing.</w:t>
      </w:r>
    </w:p>
    <w:p>
      <w:pPr>
        <w:pStyle w:val="ListBullet"/>
      </w:pPr>
      <w:r>
        <w:t>Rollback to the last approved UBI 9 and application digests is rehearsed and documented.</w:t>
      </w:r>
    </w:p>
    <w:p>
      <w:pPr>
        <w:pStyle w:val="Heading1"/>
      </w:pPr>
      <w:r>
        <w:t>10. AI-assisted remediation boundaries</w:t>
      </w:r>
    </w:p>
    <w:p>
      <w:r>
        <w:t>AI is an untrusted analysis and proposal component. It can reduce triage effort, but it never becomes a policy, approval, signing, or publication authority. Retrieval inputs are limited to signed evidence, approved vendor data, source files, and verified internal package candidates.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90" w:type="dxa"/>
              <w:start w:w="120" w:type="dxa"/>
              <w:bottom w:w="90" w:type="dxa"/>
              <w:end w:w="120" w:type="dxa"/>
            </w:tcMar>
            <w:vAlign w:val="center"/>
          </w:tcPr>
          <w:p>
            <w:pPr>
              <w:spacing w:after="0"/>
            </w:pPr>
            <w:r>
              <w:rPr>
                <w:b/>
                <w:color w:val="17324D"/>
                <w:sz w:val="18"/>
              </w:rPr>
              <w:t>AI may</w:t>
            </w:r>
          </w:p>
        </w:tc>
        <w:tc>
          <w:tcPr>
            <w:tcW w:type="dxa" w:w="4680"/>
            <w:shd w:fill="E8EEF5"/>
            <w:tcMar>
              <w:top w:w="90" w:type="dxa"/>
              <w:start w:w="120" w:type="dxa"/>
              <w:bottom w:w="90" w:type="dxa"/>
              <w:end w:w="120" w:type="dxa"/>
            </w:tcMar>
            <w:vAlign w:val="center"/>
          </w:tcPr>
          <w:p>
            <w:pPr>
              <w:spacing w:after="0"/>
            </w:pPr>
            <w:r>
              <w:rPr>
                <w:b/>
                <w:color w:val="17324D"/>
                <w:sz w:val="18"/>
              </w:rPr>
              <w:t>AI may not</w:t>
            </w:r>
          </w:p>
        </w:tc>
      </w:tr>
      <w:tr>
        <w:tc>
          <w:tcPr>
            <w:tcW w:type="dxa" w:w="4680"/>
            <w:tcMar>
              <w:top w:w="90" w:type="dxa"/>
              <w:start w:w="120" w:type="dxa"/>
              <w:bottom w:w="90" w:type="dxa"/>
              <w:end w:w="120" w:type="dxa"/>
            </w:tcMar>
            <w:vAlign w:val="center"/>
          </w:tcPr>
          <w:p>
            <w:pPr>
              <w:spacing w:after="0" w:line="259" w:lineRule="auto"/>
            </w:pPr>
            <w:r>
              <w:rPr>
                <w:color w:val="17202A"/>
                <w:sz w:val="18"/>
              </w:rPr>
              <w:t>Summarize signed findings and test evidence</w:t>
            </w:r>
          </w:p>
        </w:tc>
        <w:tc>
          <w:tcPr>
            <w:tcW w:type="dxa" w:w="4680"/>
            <w:tcMar>
              <w:top w:w="90" w:type="dxa"/>
              <w:start w:w="120" w:type="dxa"/>
              <w:bottom w:w="90" w:type="dxa"/>
              <w:end w:w="120" w:type="dxa"/>
            </w:tcMar>
            <w:vAlign w:val="center"/>
          </w:tcPr>
          <w:p>
            <w:pPr>
              <w:spacing w:after="0" w:line="259" w:lineRule="auto"/>
            </w:pPr>
            <w:r>
              <w:rPr>
                <w:color w:val="17202A"/>
                <w:sz w:val="18"/>
              </w:rPr>
              <w:t>Edit release policy, VEX, or exception records</w:t>
            </w:r>
          </w:p>
        </w:tc>
      </w:tr>
      <w:tr>
        <w:tc>
          <w:tcPr>
            <w:tcW w:type="dxa" w:w="4680"/>
            <w:shd w:fill="FAFBFC"/>
            <w:tcMar>
              <w:top w:w="90" w:type="dxa"/>
              <w:start w:w="120" w:type="dxa"/>
              <w:bottom w:w="90" w:type="dxa"/>
              <w:end w:w="120" w:type="dxa"/>
            </w:tcMar>
            <w:vAlign w:val="center"/>
          </w:tcPr>
          <w:p>
            <w:pPr>
              <w:spacing w:after="0" w:line="259" w:lineRule="auto"/>
            </w:pPr>
            <w:r>
              <w:rPr>
                <w:color w:val="17202A"/>
                <w:sz w:val="18"/>
              </w:rPr>
              <w:t>Propose dependency, Dockerfile, or overlay changes</w:t>
            </w:r>
          </w:p>
        </w:tc>
        <w:tc>
          <w:tcPr>
            <w:tcW w:type="dxa" w:w="4680"/>
            <w:shd w:fill="FAFBFC"/>
            <w:tcMar>
              <w:top w:w="90" w:type="dxa"/>
              <w:start w:w="120" w:type="dxa"/>
              <w:bottom w:w="90" w:type="dxa"/>
              <w:end w:w="120" w:type="dxa"/>
            </w:tcMar>
            <w:vAlign w:val="center"/>
          </w:tcPr>
          <w:p>
            <w:pPr>
              <w:spacing w:after="0" w:line="259" w:lineRule="auto"/>
            </w:pPr>
            <w:r>
              <w:rPr>
                <w:color w:val="17202A"/>
                <w:sz w:val="18"/>
              </w:rPr>
              <w:t>Choose an unverified version or checksum</w:t>
            </w:r>
          </w:p>
        </w:tc>
      </w:tr>
      <w:tr>
        <w:tc>
          <w:tcPr>
            <w:tcW w:type="dxa" w:w="4680"/>
            <w:tcMar>
              <w:top w:w="90" w:type="dxa"/>
              <w:start w:w="120" w:type="dxa"/>
              <w:bottom w:w="90" w:type="dxa"/>
              <w:end w:w="120" w:type="dxa"/>
            </w:tcMar>
            <w:vAlign w:val="center"/>
          </w:tcPr>
          <w:p>
            <w:pPr>
              <w:spacing w:after="0" w:line="259" w:lineRule="auto"/>
            </w:pPr>
            <w:r>
              <w:rPr>
                <w:color w:val="17202A"/>
                <w:sz w:val="18"/>
              </w:rPr>
              <w:t>Write to an ephemeral overlay working tree</w:t>
            </w:r>
          </w:p>
        </w:tc>
        <w:tc>
          <w:tcPr>
            <w:tcW w:type="dxa" w:w="4680"/>
            <w:tcMar>
              <w:top w:w="90" w:type="dxa"/>
              <w:start w:w="120" w:type="dxa"/>
              <w:bottom w:w="90" w:type="dxa"/>
              <w:end w:w="120" w:type="dxa"/>
            </w:tcMar>
            <w:vAlign w:val="center"/>
          </w:tcPr>
          <w:p>
            <w:pPr>
              <w:spacing w:after="0" w:line="259" w:lineRule="auto"/>
            </w:pPr>
            <w:r>
              <w:rPr>
                <w:color w:val="17202A"/>
                <w:sz w:val="18"/>
              </w:rPr>
              <w:t>Push directly to protected Git branches</w:t>
            </w:r>
          </w:p>
        </w:tc>
      </w:tr>
      <w:tr>
        <w:tc>
          <w:tcPr>
            <w:tcW w:type="dxa" w:w="4680"/>
            <w:shd w:fill="FAFBFC"/>
            <w:tcMar>
              <w:top w:w="90" w:type="dxa"/>
              <w:start w:w="120" w:type="dxa"/>
              <w:bottom w:w="90" w:type="dxa"/>
              <w:end w:w="120" w:type="dxa"/>
            </w:tcMar>
            <w:vAlign w:val="center"/>
          </w:tcPr>
          <w:p>
            <w:pPr>
              <w:spacing w:after="0" w:line="259" w:lineRule="auto"/>
            </w:pPr>
            <w:r>
              <w:rPr>
                <w:color w:val="17202A"/>
                <w:sz w:val="18"/>
              </w:rPr>
              <w:t>Produce a schema-constrained remediation plan</w:t>
            </w:r>
          </w:p>
        </w:tc>
        <w:tc>
          <w:tcPr>
            <w:tcW w:type="dxa" w:w="4680"/>
            <w:shd w:fill="FAFBFC"/>
            <w:tcMar>
              <w:top w:w="90" w:type="dxa"/>
              <w:start w:w="120" w:type="dxa"/>
              <w:bottom w:w="90" w:type="dxa"/>
              <w:end w:w="120" w:type="dxa"/>
            </w:tcMar>
            <w:vAlign w:val="center"/>
          </w:tcPr>
          <w:p>
            <w:pPr>
              <w:spacing w:after="0" w:line="259" w:lineRule="auto"/>
            </w:pPr>
            <w:r>
              <w:rPr>
                <w:color w:val="17202A"/>
                <w:sz w:val="18"/>
              </w:rPr>
              <w:t>Approve or auto-merge its own proposal</w:t>
            </w:r>
          </w:p>
        </w:tc>
      </w:tr>
      <w:tr>
        <w:tc>
          <w:tcPr>
            <w:tcW w:type="dxa" w:w="4680"/>
            <w:tcMar>
              <w:top w:w="90" w:type="dxa"/>
              <w:start w:w="120" w:type="dxa"/>
              <w:bottom w:w="90" w:type="dxa"/>
              <w:end w:w="120" w:type="dxa"/>
            </w:tcMar>
            <w:vAlign w:val="center"/>
          </w:tcPr>
          <w:p>
            <w:pPr>
              <w:spacing w:after="0" w:line="259" w:lineRule="auto"/>
            </w:pPr>
            <w:r>
              <w:rPr>
                <w:color w:val="17202A"/>
                <w:sz w:val="18"/>
              </w:rPr>
              <w:t>Label unverifiable guidance as blocked</w:t>
            </w:r>
          </w:p>
        </w:tc>
        <w:tc>
          <w:tcPr>
            <w:tcW w:type="dxa" w:w="4680"/>
            <w:tcMar>
              <w:top w:w="90" w:type="dxa"/>
              <w:start w:w="120" w:type="dxa"/>
              <w:bottom w:w="90" w:type="dxa"/>
              <w:end w:w="120" w:type="dxa"/>
            </w:tcMar>
            <w:vAlign w:val="center"/>
          </w:tcPr>
          <w:p>
            <w:pPr>
              <w:spacing w:after="0" w:line="259" w:lineRule="auto"/>
            </w:pPr>
            <w:r>
              <w:rPr>
                <w:color w:val="17202A"/>
                <w:sz w:val="18"/>
              </w:rPr>
              <w:t>Sign, import, publish, or promote an image</w:t>
            </w:r>
          </w:p>
        </w:tc>
      </w:tr>
    </w:tbl>
    <w:p>
      <w:pPr>
        <w:pStyle w:val="Heading2"/>
      </w:pPr>
      <w:r>
        <w:t>Guarded patch-MR flow</w:t>
      </w:r>
    </w:p>
    <w:p>
      <w:pPr>
        <w:numPr>
          <w:ilvl w:val="0"/>
          <w:numId w:val="12"/>
        </w:numPr>
        <w:spacing w:after="80" w:line="300" w:lineRule="auto"/>
      </w:pPr>
      <w:r>
        <w:t>The AI runner receives evidence and a disposable overlay worktree with no Git or registry write credentials.</w:t>
      </w:r>
    </w:p>
    <w:p>
      <w:pPr>
        <w:numPr>
          <w:ilvl w:val="0"/>
          <w:numId w:val="12"/>
        </w:numPr>
        <w:spacing w:after="80" w:line="300" w:lineRule="auto"/>
      </w:pPr>
      <w:r>
        <w:t>Deterministic resolvers prove that proposed packages and artifacts exist in internal Artifactory and calculate checksums.</w:t>
      </w:r>
    </w:p>
    <w:p>
      <w:pPr>
        <w:numPr>
          <w:ilvl w:val="0"/>
          <w:numId w:val="12"/>
        </w:numPr>
        <w:spacing w:after="80" w:line="300" w:lineRule="auto"/>
      </w:pPr>
      <w:r>
        <w:t>A trusted broker validates changed paths, creates the branch and merge request, and keeps auto-merge disabled.</w:t>
      </w:r>
    </w:p>
    <w:p>
      <w:pPr>
        <w:numPr>
          <w:ilvl w:val="0"/>
          <w:numId w:val="12"/>
        </w:numPr>
        <w:spacing w:after="80" w:line="300" w:lineRule="auto"/>
      </w:pPr>
      <w:r>
        <w:t>A clean-checkout pipeline applies the patch, rebuilds, rescans, retests, and reports before/after findings and SBOM delta.</w:t>
      </w:r>
    </w:p>
    <w:p>
      <w:pPr>
        <w:numPr>
          <w:ilvl w:val="0"/>
          <w:numId w:val="12"/>
        </w:numPr>
        <w:spacing w:after="80" w:line="300" w:lineRule="auto"/>
      </w:pPr>
      <w:r>
        <w:t>Human reviewers decide whether to merge; normal release gates still apply afterward.</w:t>
      </w:r>
    </w:p>
    <w:p>
      <w:pPr>
        <w:spacing w:before="120" w:after="180"/>
        <w:ind w:left="230" w:right="230"/>
        <w:shd w:fill="FDECEC"/>
        <w:pBdr>
          <w:left w:val="single" w:sz="20" w:color="A33A32"/>
        </w:pBdr>
      </w:pPr>
      <w:r>
        <w:rPr>
          <w:rFonts w:ascii="Calibri" w:hAnsi="Calibri"/>
          <w:b/>
          <w:color w:val="17324D"/>
        </w:rPr>
        <w:t xml:space="preserve">Prompt injection control: </w:t>
      </w:r>
      <w:r>
        <w:rPr>
          <w:rFonts w:ascii="Calibri" w:hAnsi="Calibri"/>
          <w:color w:val="17202A"/>
        </w:rPr>
        <w:t>Treat advisories, source comments, logs, and package metadata as untrusted data. They can inform a proposal but cannot issue instructions to the agent or broker.</w:t>
      </w:r>
    </w:p>
    <w:p>
      <w:pPr>
        <w:pStyle w:val="Heading1"/>
      </w:pPr>
      <w:r>
        <w:t>11. Day 2 operating model</w:t>
      </w:r>
    </w:p>
    <w:p>
      <w:r>
        <w:t>Day 2 begins when the factory is a supported service. Operations continually verifies that inputs are fresh, runners remain isolated, evidence is complete, promotion preserves identity, and rollback remains practical.</w:t>
      </w:r>
    </w:p>
    <w:p>
      <w:pPr>
        <w:keepNext/>
        <w:jc w:val="center"/>
      </w:pPr>
      <w:r>
        <w:drawing>
          <wp:inline xmlns:a="http://schemas.openxmlformats.org/drawingml/2006/main" xmlns:pic="http://schemas.openxmlformats.org/drawingml/2006/picture">
            <wp:extent cx="5806440" cy="3161284"/>
            <wp:docPr id="4" name="Picture 4" descr="Circular Day 2 operations loop with observe, triage, remediate, verify, and release or learn phases."/>
            <wp:cNvGraphicFramePr>
              <a:graphicFrameLocks noChangeAspect="1"/>
            </wp:cNvGraphicFramePr>
            <a:graphic>
              <a:graphicData uri="http://schemas.openxmlformats.org/drawingml/2006/picture">
                <pic:pic>
                  <pic:nvPicPr>
                    <pic:cNvPr id="0" name="day2-loop.png"/>
                    <pic:cNvPicPr/>
                  </pic:nvPicPr>
                  <pic:blipFill>
                    <a:blip r:embed="rId14"/>
                    <a:stretch>
                      <a:fillRect/>
                    </a:stretch>
                  </pic:blipFill>
                  <pic:spPr>
                    <a:xfrm>
                      <a:off x="0" y="0"/>
                      <a:ext cx="5806440" cy="3161284"/>
                    </a:xfrm>
                    <a:prstGeom prst="rect"/>
                  </pic:spPr>
                </pic:pic>
              </a:graphicData>
            </a:graphic>
          </wp:inline>
        </w:drawing>
      </w:r>
    </w:p>
    <w:p>
      <w:pPr>
        <w:pStyle w:val="Caption"/>
        <w:jc w:val="center"/>
      </w:pPr>
      <w:r>
        <w:t>Figure 4. Continuous observe, triage, remediate, verify, and release/learn loop.</w:t>
      </w:r>
    </w:p>
    <w:p>
      <w:pPr>
        <w:pStyle w:val="Heading2"/>
      </w:pPr>
      <w:r>
        <w:t>Operating cadence</w:t>
      </w:r>
    </w:p>
    <w:tbl>
      <w:tblPr>
        <w:tblStyle w:val="TableGrid"/>
        <w:tblW w:type="dxa" w:w="9360"/>
        <w:jc w:val="left"/>
        <w:tblLayout w:type="fixed"/>
        <w:tblLook w:firstColumn="1" w:firstRow="1" w:lastColumn="0" w:lastRow="0" w:noHBand="0" w:noVBand="1" w:val="04A0"/>
        <w:tblInd w:w="120" w:type="dxa"/>
      </w:tblPr>
      <w:tblGrid>
        <w:gridCol w:w="1440"/>
        <w:gridCol w:w="2088"/>
        <w:gridCol w:w="5832"/>
      </w:tblGrid>
      <w:tr>
        <w:trPr>
          <w:tblHeader w:val="true"/>
        </w:trPr>
        <w:tc>
          <w:tcPr>
            <w:tcW w:type="dxa" w:w="1440"/>
            <w:shd w:fill="E8EEF5"/>
            <w:tcMar>
              <w:top w:w="90" w:type="dxa"/>
              <w:start w:w="120" w:type="dxa"/>
              <w:bottom w:w="90" w:type="dxa"/>
              <w:end w:w="120" w:type="dxa"/>
            </w:tcMar>
            <w:vAlign w:val="center"/>
          </w:tcPr>
          <w:p>
            <w:pPr>
              <w:spacing w:after="0"/>
            </w:pPr>
            <w:r>
              <w:rPr>
                <w:b/>
                <w:color w:val="17324D"/>
                <w:sz w:val="17"/>
              </w:rPr>
              <w:t>Cadence</w:t>
            </w:r>
          </w:p>
        </w:tc>
        <w:tc>
          <w:tcPr>
            <w:tcW w:type="dxa" w:w="2088"/>
            <w:shd w:fill="E8EEF5"/>
            <w:tcMar>
              <w:top w:w="90" w:type="dxa"/>
              <w:start w:w="120" w:type="dxa"/>
              <w:bottom w:w="90" w:type="dxa"/>
              <w:end w:w="120" w:type="dxa"/>
            </w:tcMar>
            <w:vAlign w:val="center"/>
          </w:tcPr>
          <w:p>
            <w:pPr>
              <w:spacing w:after="0"/>
            </w:pPr>
            <w:r>
              <w:rPr>
                <w:b/>
                <w:color w:val="17324D"/>
                <w:sz w:val="17"/>
              </w:rPr>
              <w:t>Owner</w:t>
            </w:r>
          </w:p>
        </w:tc>
        <w:tc>
          <w:tcPr>
            <w:tcW w:type="dxa" w:w="5832"/>
            <w:shd w:fill="E8EEF5"/>
            <w:tcMar>
              <w:top w:w="90" w:type="dxa"/>
              <w:start w:w="120" w:type="dxa"/>
              <w:bottom w:w="90" w:type="dxa"/>
              <w:end w:w="120" w:type="dxa"/>
            </w:tcMar>
            <w:vAlign w:val="center"/>
          </w:tcPr>
          <w:p>
            <w:pPr>
              <w:spacing w:after="0"/>
            </w:pPr>
            <w:r>
              <w:rPr>
                <w:b/>
                <w:color w:val="17324D"/>
                <w:sz w:val="17"/>
              </w:rPr>
              <w:t>Required actions</w:t>
            </w:r>
          </w:p>
        </w:tc>
      </w:tr>
      <w:tr>
        <w:tc>
          <w:tcPr>
            <w:tcW w:type="dxa" w:w="1440"/>
            <w:tcMar>
              <w:top w:w="90" w:type="dxa"/>
              <w:start w:w="120" w:type="dxa"/>
              <w:bottom w:w="90" w:type="dxa"/>
              <w:end w:w="120" w:type="dxa"/>
            </w:tcMar>
            <w:vAlign w:val="center"/>
          </w:tcPr>
          <w:p>
            <w:pPr>
              <w:spacing w:after="0" w:line="259" w:lineRule="auto"/>
            </w:pPr>
            <w:r>
              <w:rPr>
                <w:color w:val="17202A"/>
                <w:sz w:val="17"/>
              </w:rPr>
              <w:t>Per pipeline</w:t>
            </w:r>
          </w:p>
        </w:tc>
        <w:tc>
          <w:tcPr>
            <w:tcW w:type="dxa" w:w="2088"/>
            <w:tcMar>
              <w:top w:w="90" w:type="dxa"/>
              <w:start w:w="120" w:type="dxa"/>
              <w:bottom w:w="90" w:type="dxa"/>
              <w:end w:w="120" w:type="dxa"/>
            </w:tcMar>
            <w:vAlign w:val="center"/>
          </w:tcPr>
          <w:p>
            <w:pPr>
              <w:spacing w:after="0" w:line="259" w:lineRule="auto"/>
            </w:pPr>
            <w:r>
              <w:rPr>
                <w:color w:val="17202A"/>
                <w:sz w:val="17"/>
              </w:rPr>
              <w:t>Image maintainer + automation</w:t>
            </w:r>
          </w:p>
        </w:tc>
        <w:tc>
          <w:tcPr>
            <w:tcW w:type="dxa" w:w="5832"/>
            <w:tcMar>
              <w:top w:w="90" w:type="dxa"/>
              <w:start w:w="120" w:type="dxa"/>
              <w:bottom w:w="90" w:type="dxa"/>
              <w:end w:w="120" w:type="dxa"/>
            </w:tcMar>
            <w:vAlign w:val="center"/>
          </w:tcPr>
          <w:p>
            <w:r>
              <w:t>Verify lock, FCS status, implemented evidence, gate result, image signature, and digest-preserving referrer copy</w:t>
            </w:r>
          </w:p>
        </w:tc>
      </w:tr>
      <w:tr>
        <w:tc>
          <w:tcPr>
            <w:tcW w:type="dxa" w:w="1440"/>
            <w:shd w:fill="FAFBFC"/>
            <w:tcMar>
              <w:top w:w="90" w:type="dxa"/>
              <w:start w:w="120" w:type="dxa"/>
              <w:bottom w:w="90" w:type="dxa"/>
              <w:end w:w="120" w:type="dxa"/>
            </w:tcMar>
            <w:vAlign w:val="center"/>
          </w:tcPr>
          <w:p>
            <w:pPr>
              <w:spacing w:after="0" w:line="259" w:lineRule="auto"/>
            </w:pPr>
            <w:r>
              <w:rPr>
                <w:color w:val="17202A"/>
                <w:sz w:val="17"/>
              </w:rPr>
              <w:t>Daily</w:t>
            </w:r>
          </w:p>
        </w:tc>
        <w:tc>
          <w:tcPr>
            <w:tcW w:type="dxa" w:w="2088"/>
            <w:shd w:fill="FAFBFC"/>
            <w:tcMar>
              <w:top w:w="90" w:type="dxa"/>
              <w:start w:w="120" w:type="dxa"/>
              <w:bottom w:w="90" w:type="dxa"/>
              <w:end w:w="120" w:type="dxa"/>
            </w:tcMar>
            <w:vAlign w:val="center"/>
          </w:tcPr>
          <w:p>
            <w:pPr>
              <w:spacing w:after="0" w:line="259" w:lineRule="auto"/>
            </w:pPr>
            <w:r>
              <w:rPr>
                <w:color w:val="17202A"/>
                <w:sz w:val="17"/>
              </w:rPr>
              <w:t>Factory operations</w:t>
            </w:r>
          </w:p>
        </w:tc>
        <w:tc>
          <w:tcPr>
            <w:tcW w:type="dxa" w:w="5832"/>
            <w:shd w:fill="FAFBFC"/>
            <w:tcMar>
              <w:top w:w="90" w:type="dxa"/>
              <w:start w:w="120" w:type="dxa"/>
              <w:bottom w:w="90" w:type="dxa"/>
              <w:end w:w="120" w:type="dxa"/>
            </w:tcMar>
            <w:vAlign w:val="center"/>
          </w:tcPr>
          <w:p>
            <w:pPr>
              <w:spacing w:after="0" w:line="259" w:lineRule="auto"/>
            </w:pPr>
            <w:r>
              <w:rPr>
                <w:color w:val="17202A"/>
                <w:sz w:val="17"/>
              </w:rPr>
              <w:t>Review failed/stuck pipelines, intake freshness, runner health, Artifactory capacity, security-data age</w:t>
            </w:r>
          </w:p>
        </w:tc>
      </w:tr>
      <w:tr>
        <w:tc>
          <w:tcPr>
            <w:tcW w:type="dxa" w:w="1440"/>
            <w:tcMar>
              <w:top w:w="90" w:type="dxa"/>
              <w:start w:w="120" w:type="dxa"/>
              <w:bottom w:w="90" w:type="dxa"/>
              <w:end w:w="120" w:type="dxa"/>
            </w:tcMar>
            <w:vAlign w:val="center"/>
          </w:tcPr>
          <w:p>
            <w:pPr>
              <w:spacing w:after="0" w:line="259" w:lineRule="auto"/>
            </w:pPr>
            <w:r>
              <w:rPr>
                <w:color w:val="17202A"/>
                <w:sz w:val="17"/>
              </w:rPr>
              <w:t>Weekly</w:t>
            </w:r>
          </w:p>
        </w:tc>
        <w:tc>
          <w:tcPr>
            <w:tcW w:type="dxa" w:w="2088"/>
            <w:tcMar>
              <w:top w:w="90" w:type="dxa"/>
              <w:start w:w="120" w:type="dxa"/>
              <w:bottom w:w="90" w:type="dxa"/>
              <w:end w:w="120" w:type="dxa"/>
            </w:tcMar>
            <w:vAlign w:val="center"/>
          </w:tcPr>
          <w:p>
            <w:pPr>
              <w:spacing w:after="0" w:line="259" w:lineRule="auto"/>
            </w:pPr>
            <w:r>
              <w:rPr>
                <w:color w:val="17202A"/>
                <w:sz w:val="17"/>
              </w:rPr>
              <w:t>Platform + security</w:t>
            </w:r>
          </w:p>
        </w:tc>
        <w:tc>
          <w:tcPr>
            <w:tcW w:type="dxa" w:w="5832"/>
            <w:tcMar>
              <w:top w:w="90" w:type="dxa"/>
              <w:start w:w="120" w:type="dxa"/>
              <w:bottom w:w="90" w:type="dxa"/>
              <w:end w:w="120" w:type="dxa"/>
            </w:tcMar>
            <w:vAlign w:val="center"/>
          </w:tcPr>
          <w:p>
            <w:r>
              <w:t>Review FCS policy outcomes, informational KEV/Critical/High findings, base updates, and roadmap exceptions</w:t>
            </w:r>
          </w:p>
        </w:tc>
      </w:tr>
      <w:tr>
        <w:tc>
          <w:tcPr>
            <w:tcW w:type="dxa" w:w="1440"/>
            <w:shd w:fill="FAFBFC"/>
            <w:tcMar>
              <w:top w:w="90" w:type="dxa"/>
              <w:start w:w="120" w:type="dxa"/>
              <w:bottom w:w="90" w:type="dxa"/>
              <w:end w:w="120" w:type="dxa"/>
            </w:tcMar>
            <w:vAlign w:val="center"/>
          </w:tcPr>
          <w:p>
            <w:pPr>
              <w:spacing w:after="0" w:line="259" w:lineRule="auto"/>
            </w:pPr>
            <w:r>
              <w:rPr>
                <w:color w:val="17202A"/>
                <w:sz w:val="17"/>
              </w:rPr>
              <w:t>Monthly</w:t>
            </w:r>
          </w:p>
        </w:tc>
        <w:tc>
          <w:tcPr>
            <w:tcW w:type="dxa" w:w="2088"/>
            <w:shd w:fill="FAFBFC"/>
            <w:tcMar>
              <w:top w:w="90" w:type="dxa"/>
              <w:start w:w="120" w:type="dxa"/>
              <w:bottom w:w="90" w:type="dxa"/>
              <w:end w:w="120" w:type="dxa"/>
            </w:tcMar>
            <w:vAlign w:val="center"/>
          </w:tcPr>
          <w:p>
            <w:pPr>
              <w:spacing w:after="0" w:line="259" w:lineRule="auto"/>
            </w:pPr>
            <w:r>
              <w:rPr>
                <w:color w:val="17202A"/>
                <w:sz w:val="17"/>
              </w:rPr>
              <w:t>Service owner</w:t>
            </w:r>
          </w:p>
        </w:tc>
        <w:tc>
          <w:tcPr>
            <w:tcW w:type="dxa" w:w="5832"/>
            <w:shd w:fill="FAFBFC"/>
            <w:tcMar>
              <w:top w:w="90" w:type="dxa"/>
              <w:start w:w="120" w:type="dxa"/>
              <w:bottom w:w="90" w:type="dxa"/>
              <w:end w:w="120" w:type="dxa"/>
            </w:tcMar>
            <w:vAlign w:val="center"/>
          </w:tcPr>
          <w:p>
            <w:pPr>
              <w:spacing w:after="0" w:line="259" w:lineRule="auto"/>
            </w:pPr>
            <w:r>
              <w:rPr>
                <w:color w:val="17202A"/>
                <w:sz w:val="17"/>
              </w:rPr>
              <w:t>Restore test, digest rollback drill, credential inventory, capacity trend, runbook corrections</w:t>
            </w:r>
          </w:p>
        </w:tc>
      </w:tr>
      <w:tr>
        <w:tc>
          <w:tcPr>
            <w:tcW w:type="dxa" w:w="1440"/>
            <w:tcMar>
              <w:top w:w="90" w:type="dxa"/>
              <w:start w:w="120" w:type="dxa"/>
              <w:bottom w:w="90" w:type="dxa"/>
              <w:end w:w="120" w:type="dxa"/>
            </w:tcMar>
            <w:vAlign w:val="center"/>
          </w:tcPr>
          <w:p>
            <w:pPr>
              <w:spacing w:after="0" w:line="259" w:lineRule="auto"/>
            </w:pPr>
            <w:r>
              <w:rPr>
                <w:color w:val="17202A"/>
                <w:sz w:val="17"/>
              </w:rPr>
              <w:t>Quarterly</w:t>
            </w:r>
          </w:p>
        </w:tc>
        <w:tc>
          <w:tcPr>
            <w:tcW w:type="dxa" w:w="2088"/>
            <w:tcMar>
              <w:top w:w="90" w:type="dxa"/>
              <w:start w:w="120" w:type="dxa"/>
              <w:bottom w:w="90" w:type="dxa"/>
              <w:end w:w="120" w:type="dxa"/>
            </w:tcMar>
            <w:vAlign w:val="center"/>
          </w:tcPr>
          <w:p>
            <w:pPr>
              <w:spacing w:after="0" w:line="259" w:lineRule="auto"/>
            </w:pPr>
            <w:r>
              <w:rPr>
                <w:color w:val="17202A"/>
                <w:sz w:val="17"/>
              </w:rPr>
              <w:t>Security + release authority</w:t>
            </w:r>
          </w:p>
        </w:tc>
        <w:tc>
          <w:tcPr>
            <w:tcW w:type="dxa" w:w="5832"/>
            <w:tcMar>
              <w:top w:w="90" w:type="dxa"/>
              <w:start w:w="120" w:type="dxa"/>
              <w:bottom w:w="90" w:type="dxa"/>
              <w:end w:w="120" w:type="dxa"/>
            </w:tcMar>
            <w:vAlign w:val="center"/>
          </w:tcPr>
          <w:p>
            <w:pPr>
              <w:spacing w:after="0" w:line="259" w:lineRule="auto"/>
            </w:pPr>
            <w:r>
              <w:rPr>
                <w:color w:val="17202A"/>
                <w:sz w:val="17"/>
              </w:rPr>
              <w:t>Key rotation rehearsal, policy review, SCAP tailoring review, access recertification</w:t>
            </w:r>
          </w:p>
        </w:tc>
      </w:tr>
      <w:tr>
        <w:tc>
          <w:tcPr>
            <w:tcW w:type="dxa" w:w="1440"/>
            <w:shd w:fill="FAFBFC"/>
            <w:tcMar>
              <w:top w:w="90" w:type="dxa"/>
              <w:start w:w="120" w:type="dxa"/>
              <w:bottom w:w="90" w:type="dxa"/>
              <w:end w:w="120" w:type="dxa"/>
            </w:tcMar>
            <w:vAlign w:val="center"/>
          </w:tcPr>
          <w:p>
            <w:pPr>
              <w:spacing w:after="0" w:line="259" w:lineRule="auto"/>
            </w:pPr>
            <w:r>
              <w:rPr>
                <w:color w:val="17202A"/>
                <w:sz w:val="17"/>
              </w:rPr>
              <w:t>Per vendor LTS update</w:t>
            </w:r>
          </w:p>
        </w:tc>
        <w:tc>
          <w:tcPr>
            <w:tcW w:type="dxa" w:w="2088"/>
            <w:shd w:fill="FAFBFC"/>
            <w:tcMar>
              <w:top w:w="90" w:type="dxa"/>
              <w:start w:w="120" w:type="dxa"/>
              <w:bottom w:w="90" w:type="dxa"/>
              <w:end w:w="120" w:type="dxa"/>
            </w:tcMar>
            <w:vAlign w:val="center"/>
          </w:tcPr>
          <w:p>
            <w:pPr>
              <w:spacing w:after="0" w:line="259" w:lineRule="auto"/>
            </w:pPr>
            <w:r>
              <w:rPr>
                <w:color w:val="17202A"/>
                <w:sz w:val="17"/>
              </w:rPr>
              <w:t>Product maintainer</w:t>
            </w:r>
          </w:p>
        </w:tc>
        <w:tc>
          <w:tcPr>
            <w:tcW w:type="dxa" w:w="5832"/>
            <w:shd w:fill="FAFBFC"/>
            <w:tcMar>
              <w:top w:w="90" w:type="dxa"/>
              <w:start w:w="120" w:type="dxa"/>
              <w:bottom w:w="90" w:type="dxa"/>
              <w:end w:w="120" w:type="dxa"/>
            </w:tcMar>
            <w:vAlign w:val="center"/>
          </w:tcPr>
          <w:p>
            <w:pPr>
              <w:spacing w:after="0" w:line="259" w:lineRule="auto"/>
            </w:pPr>
            <w:r>
              <w:rPr>
                <w:color w:val="17202A"/>
                <w:sz w:val="17"/>
              </w:rPr>
              <w:t>Pin source, update overlay, rebuild, integration test, evidence review, controlled promotion</w:t>
            </w:r>
          </w:p>
        </w:tc>
      </w:tr>
    </w:tbl>
    <w:p>
      <w:pPr>
        <w:pStyle w:val="Heading2"/>
      </w:pPr>
      <w:r>
        <w:t>Support queues</w:t>
      </w:r>
    </w:p>
    <w:p>
      <w:pPr>
        <w:pStyle w:val="ListBullet"/>
      </w:pPr>
      <w:r>
        <w:rPr>
          <w:rFonts w:ascii="Calibri" w:hAnsi="Calibri"/>
          <w:b/>
          <w:color w:val="17324D"/>
        </w:rPr>
        <w:t xml:space="preserve">P1 - release integrity risk. </w:t>
      </w:r>
      <w:r>
        <w:rPr>
          <w:rFonts w:ascii="Calibri" w:hAnsi="Calibri"/>
          <w:color w:val="17202A"/>
        </w:rPr>
        <w:t>Suspected key compromise, evidence mismatch, digest mutation, unauthorized promotion, or public egress from a protected runner. Freeze promotions and begin incident response.</w:t>
      </w:r>
    </w:p>
    <w:p>
      <w:pPr>
        <w:pStyle w:val="ListBullet"/>
      </w:pPr>
      <w:r>
        <w:rPr>
          <w:rFonts w:ascii="Calibri" w:hAnsi="Calibri"/>
          <w:b/>
          <w:color w:val="17324D"/>
        </w:rPr>
        <w:t xml:space="preserve">P2 - release path unavailable. </w:t>
      </w:r>
      <w:r>
        <w:rPr>
          <w:rFonts w:ascii="Calibri" w:hAnsi="Calibri"/>
          <w:color w:val="17202A"/>
        </w:rPr>
        <w:t>Factory cannot produce or promote an urgently required security update. Invoke the documented continuity path; do not bypass evidence or signatures.</w:t>
      </w:r>
    </w:p>
    <w:p>
      <w:pPr>
        <w:pStyle w:val="ListBullet"/>
      </w:pPr>
      <w:r>
        <w:rPr>
          <w:rFonts w:ascii="Calibri" w:hAnsi="Calibri"/>
          <w:b/>
          <w:color w:val="17324D"/>
        </w:rPr>
        <w:t xml:space="preserve">P3 - degraded capability. </w:t>
      </w:r>
      <w:r>
        <w:rPr>
          <w:rFonts w:ascii="Calibri" w:hAnsi="Calibri"/>
          <w:color w:val="17202A"/>
        </w:rPr>
        <w:t>One image, scanner, integration test, or canary path is failing while released images remain supported.</w:t>
      </w:r>
    </w:p>
    <w:p>
      <w:pPr>
        <w:pStyle w:val="ListBullet"/>
      </w:pPr>
      <w:r>
        <w:rPr>
          <w:rFonts w:ascii="Calibri" w:hAnsi="Calibri"/>
          <w:b/>
          <w:color w:val="17324D"/>
        </w:rPr>
        <w:t xml:space="preserve">P4 - maintenance. </w:t>
      </w:r>
      <w:r>
        <w:rPr>
          <w:rFonts w:ascii="Calibri" w:hAnsi="Calibri"/>
          <w:color w:val="17202A"/>
        </w:rPr>
        <w:t>Backlog, documentation, performance, non-urgent tool or dependency refresh.</w:t>
      </w:r>
    </w:p>
    <w:p>
      <w:pPr>
        <w:pStyle w:val="Heading1"/>
      </w:pPr>
      <w:r>
        <w:t>12. Day 2 runbooks</w:t>
      </w:r>
    </w:p>
    <w:p>
      <w:pPr>
        <w:pStyle w:val="Heading2"/>
      </w:pPr>
      <w:r>
        <w:t>Runbook A - new vulnerability or KEV</w:t>
      </w:r>
    </w:p>
    <w:p>
      <w:pPr>
        <w:numPr>
          <w:ilvl w:val="0"/>
          <w:numId w:val="13"/>
        </w:numPr>
        <w:spacing w:after="80" w:line="300" w:lineRule="auto"/>
      </w:pPr>
      <w:r>
        <w:t>Confirm security-data bundle signature and generatedAt timestamp; reject stale or unsigned data.</w:t>
      </w:r>
    </w:p>
    <w:p>
      <w:pPr>
        <w:numPr>
          <w:ilvl w:val="0"/>
          <w:numId w:val="13"/>
        </w:numPr>
        <w:spacing w:after="80" w:line="300" w:lineRule="auto"/>
      </w:pPr>
      <w:r>
        <w:t>Correlate the finding to the exact digest and SBOM component; determine applicability and available internal fix candidates.</w:t>
      </w:r>
    </w:p>
    <w:p>
      <w:pPr>
        <w:numPr>
          <w:ilvl w:val="0"/>
          <w:numId w:val="13"/>
        </w:numPr>
        <w:spacing w:after="80" w:line="300" w:lineRule="auto"/>
      </w:pPr>
      <w:r>
        <w:t>Select the smallest valid update path: source/catalog pin, UBI rebuild, Atlassian overlay change, or guarded patch MR.</w:t>
      </w:r>
    </w:p>
    <w:p>
      <w:pPr>
        <w:numPr>
          <w:ilvl w:val="0"/>
          <w:numId w:val="13"/>
        </w:numPr>
        <w:spacing w:after="80" w:line="300" w:lineRule="auto"/>
      </w:pPr>
      <w:r>
        <w:t>Rebuild from a clean checkout, rescan, rerun compliance and product tests, and compare SBOM/findings delta.</w:t>
      </w:r>
    </w:p>
    <w:p>
      <w:pPr>
        <w:numPr>
          <w:ilvl w:val="0"/>
          <w:numId w:val="13"/>
        </w:numPr>
        <w:spacing w:after="80" w:line="300" w:lineRule="auto"/>
      </w:pPr>
      <w:r>
        <w:t>Promote only after policy allow, approval, signature, and evidence-closure checks. Document residual risk or a signed time-bounded exception.</w:t>
      </w:r>
    </w:p>
    <w:p>
      <w:pPr>
        <w:pStyle w:val="Heading2"/>
      </w:pPr>
      <w:r>
        <w:t>Runbook B - failed pipeline triage</w:t>
      </w:r>
    </w:p>
    <w:tbl>
      <w:tblPr>
        <w:tblStyle w:val="TableGrid"/>
        <w:tblW w:type="dxa" w:w="9360"/>
        <w:jc w:val="left"/>
        <w:tblLayout w:type="fixed"/>
        <w:tblLook w:firstColumn="1" w:firstRow="1" w:lastColumn="0" w:lastRow="0" w:noHBand="0" w:noVBand="1" w:val="04A0"/>
        <w:tblInd w:w="120" w:type="dxa"/>
      </w:tblPr>
      <w:tblGrid>
        <w:gridCol w:w="1728"/>
        <w:gridCol w:w="3672"/>
        <w:gridCol w:w="3960"/>
      </w:tblGrid>
      <w:tr>
        <w:trPr>
          <w:tblHeader w:val="true"/>
        </w:trPr>
        <w:tc>
          <w:tcPr>
            <w:tcW w:type="dxa" w:w="1728"/>
            <w:shd w:fill="E8EEF5"/>
            <w:tcMar>
              <w:top w:w="90" w:type="dxa"/>
              <w:start w:w="120" w:type="dxa"/>
              <w:bottom w:w="90" w:type="dxa"/>
              <w:end w:w="120" w:type="dxa"/>
            </w:tcMar>
            <w:vAlign w:val="center"/>
          </w:tcPr>
          <w:p>
            <w:pPr>
              <w:spacing w:after="0"/>
            </w:pPr>
            <w:r>
              <w:rPr>
                <w:b/>
                <w:color w:val="17324D"/>
                <w:sz w:val="16"/>
              </w:rPr>
              <w:t>Failure class</w:t>
            </w:r>
          </w:p>
        </w:tc>
        <w:tc>
          <w:tcPr>
            <w:tcW w:type="dxa" w:w="3672"/>
            <w:shd w:fill="E8EEF5"/>
            <w:tcMar>
              <w:top w:w="90" w:type="dxa"/>
              <w:start w:w="120" w:type="dxa"/>
              <w:bottom w:w="90" w:type="dxa"/>
              <w:end w:w="120" w:type="dxa"/>
            </w:tcMar>
            <w:vAlign w:val="center"/>
          </w:tcPr>
          <w:p>
            <w:pPr>
              <w:spacing w:after="0"/>
            </w:pPr>
            <w:r>
              <w:rPr>
                <w:b/>
                <w:color w:val="17324D"/>
                <w:sz w:val="16"/>
              </w:rPr>
              <w:t>First checks</w:t>
            </w:r>
          </w:p>
        </w:tc>
        <w:tc>
          <w:tcPr>
            <w:tcW w:type="dxa" w:w="3960"/>
            <w:shd w:fill="E8EEF5"/>
            <w:tcMar>
              <w:top w:w="90" w:type="dxa"/>
              <w:start w:w="120" w:type="dxa"/>
              <w:bottom w:w="90" w:type="dxa"/>
              <w:end w:w="120" w:type="dxa"/>
            </w:tcMar>
            <w:vAlign w:val="center"/>
          </w:tcPr>
          <w:p>
            <w:pPr>
              <w:spacing w:after="0"/>
            </w:pPr>
            <w:r>
              <w:rPr>
                <w:b/>
                <w:color w:val="17324D"/>
                <w:sz w:val="16"/>
              </w:rPr>
              <w:t>Escalation / recovery</w:t>
            </w:r>
          </w:p>
        </w:tc>
      </w:tr>
      <w:tr>
        <w:tc>
          <w:tcPr>
            <w:tcW w:type="dxa" w:w="1728"/>
            <w:tcMar>
              <w:top w:w="90" w:type="dxa"/>
              <w:start w:w="120" w:type="dxa"/>
              <w:bottom w:w="90" w:type="dxa"/>
              <w:end w:w="120" w:type="dxa"/>
            </w:tcMar>
            <w:vAlign w:val="center"/>
          </w:tcPr>
          <w:p>
            <w:pPr>
              <w:spacing w:after="0" w:line="259" w:lineRule="auto"/>
            </w:pPr>
            <w:r>
              <w:rPr>
                <w:color w:val="17202A"/>
                <w:sz w:val="16"/>
              </w:rPr>
              <w:t>Intake / lock</w:t>
            </w:r>
          </w:p>
        </w:tc>
        <w:tc>
          <w:tcPr>
            <w:tcW w:type="dxa" w:w="3672"/>
            <w:tcMar>
              <w:top w:w="90" w:type="dxa"/>
              <w:start w:w="120" w:type="dxa"/>
              <w:bottom w:w="90" w:type="dxa"/>
              <w:end w:w="120" w:type="dxa"/>
            </w:tcMar>
            <w:vAlign w:val="center"/>
          </w:tcPr>
          <w:p>
            <w:pPr>
              <w:spacing w:after="0" w:line="259" w:lineRule="auto"/>
            </w:pPr>
            <w:r>
              <w:rPr>
                <w:color w:val="17202A"/>
                <w:sz w:val="16"/>
              </w:rPr>
              <w:t>Commit pin, checksum, upstream allowlist, canonical lock diff</w:t>
            </w:r>
          </w:p>
        </w:tc>
        <w:tc>
          <w:tcPr>
            <w:tcW w:type="dxa" w:w="3960"/>
            <w:tcMar>
              <w:top w:w="90" w:type="dxa"/>
              <w:start w:w="120" w:type="dxa"/>
              <w:bottom w:w="90" w:type="dxa"/>
              <w:end w:w="120" w:type="dxa"/>
            </w:tcMar>
            <w:vAlign w:val="center"/>
          </w:tcPr>
          <w:p>
            <w:pPr>
              <w:spacing w:after="0" w:line="259" w:lineRule="auto"/>
            </w:pPr>
            <w:r>
              <w:rPr>
                <w:color w:val="17202A"/>
                <w:sz w:val="16"/>
              </w:rPr>
              <w:t>Quarantine changed content; never update checksum to match unexplained bytes</w:t>
            </w:r>
          </w:p>
        </w:tc>
      </w:tr>
      <w:tr>
        <w:tc>
          <w:tcPr>
            <w:tcW w:type="dxa" w:w="1728"/>
            <w:shd w:fill="FAFBFC"/>
            <w:tcMar>
              <w:top w:w="90" w:type="dxa"/>
              <w:start w:w="120" w:type="dxa"/>
              <w:bottom w:w="90" w:type="dxa"/>
              <w:end w:w="120" w:type="dxa"/>
            </w:tcMar>
            <w:vAlign w:val="center"/>
          </w:tcPr>
          <w:p>
            <w:pPr>
              <w:spacing w:after="0" w:line="259" w:lineRule="auto"/>
            </w:pPr>
            <w:r>
              <w:rPr>
                <w:color w:val="17202A"/>
                <w:sz w:val="16"/>
              </w:rPr>
              <w:t>Build</w:t>
            </w:r>
          </w:p>
        </w:tc>
        <w:tc>
          <w:tcPr>
            <w:tcW w:type="dxa" w:w="3672"/>
            <w:shd w:fill="FAFBFC"/>
            <w:tcMar>
              <w:top w:w="90" w:type="dxa"/>
              <w:start w:w="120" w:type="dxa"/>
              <w:bottom w:w="90" w:type="dxa"/>
              <w:end w:w="120" w:type="dxa"/>
            </w:tcMar>
            <w:vAlign w:val="center"/>
          </w:tcPr>
          <w:p>
            <w:pPr>
              <w:spacing w:after="0" w:line="259" w:lineRule="auto"/>
            </w:pPr>
            <w:r>
              <w:rPr>
                <w:color w:val="17202A"/>
                <w:sz w:val="16"/>
              </w:rPr>
              <w:t>Overlay apply, internal base digest, RPM snapshot, Buildah logs</w:t>
            </w:r>
          </w:p>
        </w:tc>
        <w:tc>
          <w:tcPr>
            <w:tcW w:type="dxa" w:w="3960"/>
            <w:shd w:fill="FAFBFC"/>
            <w:tcMar>
              <w:top w:w="90" w:type="dxa"/>
              <w:start w:w="120" w:type="dxa"/>
              <w:bottom w:w="90" w:type="dxa"/>
              <w:end w:w="120" w:type="dxa"/>
            </w:tcMar>
            <w:vAlign w:val="center"/>
          </w:tcPr>
          <w:p>
            <w:pPr>
              <w:spacing w:after="0" w:line="259" w:lineRule="auto"/>
            </w:pPr>
            <w:r>
              <w:rPr>
                <w:color w:val="17202A"/>
                <w:sz w:val="16"/>
              </w:rPr>
              <w:t>Reproduce on fresh ephemeral runner; compare resource lock</w:t>
            </w:r>
          </w:p>
        </w:tc>
      </w:tr>
      <w:tr>
        <w:tc>
          <w:tcPr>
            <w:tcW w:type="dxa" w:w="1728"/>
            <w:tcMar>
              <w:top w:w="90" w:type="dxa"/>
              <w:start w:w="120" w:type="dxa"/>
              <w:bottom w:w="90" w:type="dxa"/>
              <w:end w:w="120" w:type="dxa"/>
            </w:tcMar>
            <w:vAlign w:val="center"/>
          </w:tcPr>
          <w:p>
            <w:pPr>
              <w:spacing w:after="0" w:line="259" w:lineRule="auto"/>
            </w:pPr>
            <w:r>
              <w:rPr>
                <w:color w:val="17202A"/>
                <w:sz w:val="16"/>
              </w:rPr>
              <w:t>Scan / data</w:t>
            </w:r>
          </w:p>
        </w:tc>
        <w:tc>
          <w:tcPr>
            <w:tcW w:type="dxa" w:w="3672"/>
            <w:tcMar>
              <w:top w:w="90" w:type="dxa"/>
              <w:start w:w="120" w:type="dxa"/>
              <w:bottom w:w="90" w:type="dxa"/>
              <w:end w:w="120" w:type="dxa"/>
            </w:tcMar>
            <w:vAlign w:val="center"/>
          </w:tcPr>
          <w:p>
            <w:r>
              <w:t>FCS status/API policy; legacy DB generatedAt, bundle signature, and scanner/tool digest</w:t>
            </w:r>
          </w:p>
        </w:tc>
        <w:tc>
          <w:tcPr>
            <w:tcW w:type="dxa" w:w="3960"/>
            <w:tcMar>
              <w:top w:w="90" w:type="dxa"/>
              <w:start w:w="120" w:type="dxa"/>
              <w:bottom w:w="90" w:type="dxa"/>
              <w:end w:w="120" w:type="dxa"/>
            </w:tcMar>
            <w:vAlign w:val="center"/>
          </w:tcPr>
          <w:p>
            <w:r>
              <w:t>FCS failure denies release; refresh legacy bundles for informational evidence</w:t>
            </w:r>
          </w:p>
        </w:tc>
      </w:tr>
      <w:tr>
        <w:tc>
          <w:tcPr>
            <w:tcW w:type="dxa" w:w="1728"/>
            <w:shd w:fill="FAFBFC"/>
            <w:tcMar>
              <w:top w:w="90" w:type="dxa"/>
              <w:start w:w="120" w:type="dxa"/>
              <w:bottom w:w="90" w:type="dxa"/>
              <w:end w:w="120" w:type="dxa"/>
            </w:tcMar>
            <w:vAlign w:val="center"/>
          </w:tcPr>
          <w:p>
            <w:pPr>
              <w:spacing w:after="0" w:line="259" w:lineRule="auto"/>
            </w:pPr>
            <w:r>
              <w:rPr>
                <w:color w:val="17202A"/>
                <w:sz w:val="16"/>
              </w:rPr>
              <w:t>Compliance</w:t>
            </w:r>
          </w:p>
        </w:tc>
        <w:tc>
          <w:tcPr>
            <w:tcW w:type="dxa" w:w="3672"/>
            <w:shd w:fill="FAFBFC"/>
            <w:tcMar>
              <w:top w:w="90" w:type="dxa"/>
              <w:start w:w="120" w:type="dxa"/>
              <w:bottom w:w="90" w:type="dxa"/>
              <w:end w:w="120" w:type="dxa"/>
            </w:tcMar>
            <w:vAlign w:val="center"/>
          </w:tcPr>
          <w:p>
            <w:pPr>
              <w:spacing w:after="0" w:line="259" w:lineRule="auto"/>
            </w:pPr>
            <w:r>
              <w:rPr>
                <w:color w:val="17202A"/>
                <w:sz w:val="16"/>
              </w:rPr>
              <w:t>Profile applicability, ARF errors, FIPS host state</w:t>
            </w:r>
          </w:p>
        </w:tc>
        <w:tc>
          <w:tcPr>
            <w:tcW w:type="dxa" w:w="3960"/>
            <w:shd w:fill="FAFBFC"/>
            <w:tcMar>
              <w:top w:w="90" w:type="dxa"/>
              <w:start w:w="120" w:type="dxa"/>
              <w:bottom w:w="90" w:type="dxa"/>
              <w:end w:w="120" w:type="dxa"/>
            </w:tcMar>
            <w:vAlign w:val="center"/>
          </w:tcPr>
          <w:p>
            <w:pPr>
              <w:spacing w:after="0" w:line="259" w:lineRule="auto"/>
            </w:pPr>
            <w:r>
              <w:rPr>
                <w:color w:val="17202A"/>
                <w:sz w:val="16"/>
              </w:rPr>
              <w:t>Security reviews tailoring; build team cannot mark controls N/A</w:t>
            </w:r>
          </w:p>
        </w:tc>
      </w:tr>
      <w:tr>
        <w:tc>
          <w:tcPr>
            <w:tcW w:type="dxa" w:w="1728"/>
            <w:tcMar>
              <w:top w:w="90" w:type="dxa"/>
              <w:start w:w="120" w:type="dxa"/>
              <w:bottom w:w="90" w:type="dxa"/>
              <w:end w:w="120" w:type="dxa"/>
            </w:tcMar>
            <w:vAlign w:val="center"/>
          </w:tcPr>
          <w:p>
            <w:pPr>
              <w:spacing w:after="0" w:line="259" w:lineRule="auto"/>
            </w:pPr>
            <w:r>
              <w:rPr>
                <w:color w:val="17202A"/>
                <w:sz w:val="16"/>
              </w:rPr>
              <w:t>Product test</w:t>
            </w:r>
          </w:p>
        </w:tc>
        <w:tc>
          <w:tcPr>
            <w:tcW w:type="dxa" w:w="3672"/>
            <w:tcMar>
              <w:top w:w="90" w:type="dxa"/>
              <w:start w:w="120" w:type="dxa"/>
              <w:bottom w:w="90" w:type="dxa"/>
              <w:end w:w="120" w:type="dxa"/>
            </w:tcMar>
            <w:vAlign w:val="center"/>
          </w:tcPr>
          <w:p>
            <w:r>
              <w:t>Baseline service logs, ports, UID, shutdown; PostgreSQL/cluster logs when the licensed suite is added</w:t>
            </w:r>
          </w:p>
        </w:tc>
        <w:tc>
          <w:tcPr>
            <w:tcW w:type="dxa" w:w="3960"/>
            <w:tcMar>
              <w:top w:w="90" w:type="dxa"/>
              <w:start w:w="120" w:type="dxa"/>
              <w:bottom w:w="90" w:type="dxa"/>
              <w:end w:w="120" w:type="dxa"/>
            </w:tcMar>
            <w:vAlign w:val="center"/>
          </w:tcPr>
          <w:p>
            <w:pPr>
              <w:spacing w:after="0" w:line="259" w:lineRule="auto"/>
            </w:pPr>
            <w:r>
              <w:rPr>
                <w:color w:val="17202A"/>
                <w:sz w:val="16"/>
              </w:rPr>
              <w:t>Product maintainer owns compatibility correction</w:t>
            </w:r>
          </w:p>
        </w:tc>
      </w:tr>
      <w:tr>
        <w:tc>
          <w:tcPr>
            <w:tcW w:type="dxa" w:w="1728"/>
            <w:shd w:fill="FAFBFC"/>
            <w:tcMar>
              <w:top w:w="90" w:type="dxa"/>
              <w:start w:w="120" w:type="dxa"/>
              <w:bottom w:w="90" w:type="dxa"/>
              <w:end w:w="120" w:type="dxa"/>
            </w:tcMar>
            <w:vAlign w:val="center"/>
          </w:tcPr>
          <w:p>
            <w:pPr>
              <w:spacing w:after="0" w:line="259" w:lineRule="auto"/>
            </w:pPr>
            <w:r>
              <w:rPr>
                <w:color w:val="17202A"/>
                <w:sz w:val="16"/>
              </w:rPr>
              <w:t>Sign / promote</w:t>
            </w:r>
          </w:p>
        </w:tc>
        <w:tc>
          <w:tcPr>
            <w:tcW w:type="dxa" w:w="3672"/>
            <w:shd w:fill="FAFBFC"/>
            <w:tcMar>
              <w:top w:w="90" w:type="dxa"/>
              <w:start w:w="120" w:type="dxa"/>
              <w:bottom w:w="90" w:type="dxa"/>
              <w:end w:w="120" w:type="dxa"/>
            </w:tcMar>
            <w:vAlign w:val="center"/>
          </w:tcPr>
          <w:p>
            <w:r>
              <w:t>OIDC claims, Cosign key, Artifactory identity, subject digest, and referrers</w:t>
            </w:r>
          </w:p>
        </w:tc>
        <w:tc>
          <w:tcPr>
            <w:tcW w:type="dxa" w:w="3960"/>
            <w:shd w:fill="FAFBFC"/>
            <w:tcMar>
              <w:top w:w="90" w:type="dxa"/>
              <w:start w:w="120" w:type="dxa"/>
              <w:bottom w:w="90" w:type="dxa"/>
              <w:end w:w="120" w:type="dxa"/>
            </w:tcMar>
            <w:vAlign w:val="center"/>
          </w:tcPr>
          <w:p>
            <w:pPr>
              <w:spacing w:after="0" w:line="259" w:lineRule="auto"/>
            </w:pPr>
            <w:r>
              <w:rPr>
                <w:color w:val="17202A"/>
                <w:sz w:val="16"/>
              </w:rPr>
              <w:t>Release authority resolves; never copy unsigned content manually</w:t>
            </w:r>
          </w:p>
        </w:tc>
      </w:tr>
    </w:tbl>
    <w:p>
      <w:pPr>
        <w:pStyle w:val="Heading2"/>
      </w:pPr>
      <w:r>
        <w:t>Runbook C - scanner data stale</w:t>
      </w:r>
    </w:p>
    <w:p>
      <w:pPr>
        <w:numPr>
          <w:ilvl w:val="0"/>
          <w:numId w:val="14"/>
        </w:numPr>
        <w:spacing w:after="80" w:line="300" w:lineRule="auto"/>
      </w:pPr>
      <w:r>
        <w:t>Treat an FCS outage, invalid result, or policy denial as release-blocking. Legacy scanner database age is monitored but does not currently deny release.</w:t>
      </w:r>
    </w:p>
    <w:p>
      <w:pPr>
        <w:numPr>
          <w:ilvl w:val="0"/>
          <w:numId w:val="14"/>
        </w:numPr>
        <w:spacing w:after="80" w:line="300" w:lineRule="auto"/>
      </w:pPr>
      <w:r>
        <w:t>Run connected security-data intake, verify signatures/checksums, and transfer the refreshed bundle.</w:t>
      </w:r>
    </w:p>
    <w:p>
      <w:pPr>
        <w:numPr>
          <w:ilvl w:val="0"/>
          <w:numId w:val="14"/>
        </w:numPr>
        <w:spacing w:after="80" w:line="300" w:lineRule="auto"/>
      </w:pPr>
      <w:r>
        <w:t>Record the bundle digest and generated timestamp; rerun scans and policy evaluation.</w:t>
      </w:r>
    </w:p>
    <w:p>
      <w:pPr>
        <w:numPr>
          <w:ilvl w:val="0"/>
          <w:numId w:val="14"/>
        </w:numPr>
        <w:spacing w:after="80" w:line="300" w:lineRule="auto"/>
      </w:pPr>
      <w:r>
        <w:t>If a legacy feed is unavailable, retain the evidence gap and escalate according to policy. Do not claim automatic freshness denial until the corresponding Rego control is implemented.</w:t>
      </w:r>
    </w:p>
    <w:p>
      <w:pPr>
        <w:pStyle w:val="Heading2"/>
      </w:pPr>
      <w:r>
        <w:t>Runbook D - planned exception governance</w:t>
      </w:r>
    </w:p>
    <w:p>
      <w:pPr>
        <w:numPr>
          <w:ilvl w:val="0"/>
          <w:numId w:val="15"/>
        </w:numPr>
        <w:spacing w:after="80" w:line="300" w:lineRule="auto"/>
      </w:pPr>
      <w:r>
        <w:t>When signed exception enforcement is implemented, alert at 30, 14, and 7 days before expiry.</w:t>
      </w:r>
    </w:p>
    <w:p>
      <w:pPr>
        <w:numPr>
          <w:ilvl w:val="0"/>
          <w:numId w:val="15"/>
        </w:numPr>
        <w:spacing w:after="80" w:line="300" w:lineRule="auto"/>
      </w:pPr>
      <w:r>
        <w:t>Require the owner to remediate, renew with current evidence and independent approval, or accept release denial.</w:t>
      </w:r>
    </w:p>
    <w:p>
      <w:pPr>
        <w:numPr>
          <w:ilvl w:val="0"/>
          <w:numId w:val="15"/>
        </w:numPr>
        <w:spacing w:after="80" w:line="300" w:lineRule="auto"/>
      </w:pPr>
      <w:r>
        <w:t>Verify scope by correlation key and subject/product constraints; broad wildcard exceptions are not permitted.</w:t>
      </w:r>
    </w:p>
    <w:p>
      <w:pPr>
        <w:numPr>
          <w:ilvl w:val="0"/>
          <w:numId w:val="15"/>
        </w:numPr>
        <w:spacing w:after="80" w:line="300" w:lineRule="auto"/>
      </w:pPr>
      <w:r>
        <w:t>Remove expired records from the active approved bundle and retain an immutable audit copy.</w:t>
      </w:r>
    </w:p>
    <w:p>
      <w:pPr>
        <w:pStyle w:val="Heading1"/>
      </w:pPr>
      <w:r>
        <w:t>13. Release, rollback, and continuity</w:t>
      </w:r>
    </w:p>
    <w:p>
      <w:pPr>
        <w:pStyle w:val="Heading2"/>
      </w:pPr>
      <w:r>
        <w:t>Normal promotion</w:t>
      </w:r>
    </w:p>
    <w:p>
      <w:pPr>
        <w:numPr>
          <w:ilvl w:val="0"/>
          <w:numId w:val="16"/>
        </w:numPr>
        <w:spacing w:after="80" w:line="300" w:lineRule="auto"/>
      </w:pPr>
      <w:r>
        <w:t>Resolve the approved source digest; do not resolve only a mutable tag.</w:t>
      </w:r>
    </w:p>
    <w:p>
      <w:pPr>
        <w:numPr>
          <w:ilvl w:val="0"/>
          <w:numId w:val="16"/>
        </w:numPr>
        <w:spacing w:after="80" w:line="300" w:lineRule="auto"/>
      </w:pPr>
      <w:r>
        <w:t>Current: verify the image signature and source digest. Before production activation, add verification of required attestations, gate decision, signed approval evidence, and policy-bundle digest.</w:t>
      </w:r>
    </w:p>
    <w:p>
      <w:pPr>
        <w:numPr>
          <w:ilvl w:val="0"/>
          <w:numId w:val="16"/>
        </w:numPr>
        <w:spacing w:after="80" w:line="300" w:lineRule="auto"/>
      </w:pPr>
      <w:r>
        <w:t>Current: recursively copy the OCI referrer closure. Before production activation, compare it to an explicit required-predicate manifest.</w:t>
      </w:r>
    </w:p>
    <w:p>
      <w:pPr>
        <w:numPr>
          <w:ilvl w:val="0"/>
          <w:numId w:val="16"/>
        </w:numPr>
        <w:spacing w:after="80" w:line="300" w:lineRule="auto"/>
      </w:pPr>
      <w:r>
        <w:t>Pull/copy the subject and closure into the target repository without mutation.</w:t>
      </w:r>
    </w:p>
    <w:p>
      <w:pPr>
        <w:numPr>
          <w:ilvl w:val="0"/>
          <w:numId w:val="16"/>
        </w:numPr>
        <w:spacing w:after="80" w:line="300" w:lineRule="auto"/>
      </w:pPr>
      <w:r>
        <w:t>Re-verify in the target environment and update the approved release tag to the digest.</w:t>
      </w:r>
    </w:p>
    <w:p>
      <w:pPr>
        <w:pStyle w:val="Heading2"/>
      </w:pPr>
      <w:r>
        <w:t>Rollback by digest</w:t>
      </w:r>
    </w:p>
    <w:p>
      <w:pPr>
        <w:numPr>
          <w:ilvl w:val="0"/>
          <w:numId w:val="17"/>
        </w:numPr>
        <w:spacing w:after="80" w:line="300" w:lineRule="auto"/>
      </w:pPr>
      <w:r>
        <w:t>Identify the last approved digest and its signed evidence closure from the release ledger.</w:t>
      </w:r>
    </w:p>
    <w:p>
      <w:pPr>
        <w:numPr>
          <w:ilvl w:val="0"/>
          <w:numId w:val="17"/>
        </w:numPr>
        <w:spacing w:after="80" w:line="300" w:lineRule="auto"/>
      </w:pPr>
      <w:r>
        <w:t>Verify it remains available and trusted in the target environment.</w:t>
      </w:r>
    </w:p>
    <w:p>
      <w:pPr>
        <w:numPr>
          <w:ilvl w:val="0"/>
          <w:numId w:val="17"/>
        </w:numPr>
        <w:spacing w:after="80" w:line="300" w:lineRule="auto"/>
      </w:pPr>
      <w:r>
        <w:t>Move the deployment or approved tag back to that digest; do not rebuild an old source state.</w:t>
      </w:r>
    </w:p>
    <w:p>
      <w:pPr>
        <w:numPr>
          <w:ilvl w:val="0"/>
          <w:numId w:val="17"/>
        </w:numPr>
        <w:spacing w:after="80" w:line="300" w:lineRule="auto"/>
      </w:pPr>
      <w:r>
        <w:t>Run smoke checks, record the rollback reason and impacted release, and keep the failed digest quarantined for analysis.</w:t>
      </w:r>
    </w:p>
    <w:p>
      <w:pPr>
        <w:numPr>
          <w:ilvl w:val="0"/>
          <w:numId w:val="17"/>
        </w:numPr>
        <w:spacing w:after="80" w:line="300" w:lineRule="auto"/>
      </w:pPr>
      <w:r>
        <w:t>Open remediation work and require the normal gate before any forward fix.</w:t>
      </w:r>
    </w:p>
    <w:p>
      <w:pPr>
        <w:spacing w:before="120" w:after="180"/>
        <w:ind w:left="230" w:right="230"/>
        <w:shd w:fill="FDECEC"/>
        <w:pBdr>
          <w:left w:val="single" w:sz="20" w:color="A33A32"/>
        </w:pBdr>
      </w:pPr>
      <w:r>
        <w:rPr>
          <w:rFonts w:ascii="Calibri" w:hAnsi="Calibri"/>
          <w:b/>
          <w:color w:val="17324D"/>
        </w:rPr>
        <w:t xml:space="preserve">Continuity rule: </w:t>
      </w:r>
      <w:r>
        <w:rPr>
          <w:rFonts w:ascii="Calibri" w:hAnsi="Calibri"/>
          <w:color w:val="17202A"/>
        </w:rPr>
        <w:t>Urgency changes response time, not evidence requirements. If automation is impaired, a protected manual procedure must still verify the same digest, signatures, approvals, and predicate closure.</w:t>
      </w:r>
    </w:p>
    <w:p>
      <w:pPr>
        <w:pStyle w:val="Heading2"/>
      </w:pPr>
      <w:r>
        <w:t>Signing key rotation or compromise</w:t>
      </w:r>
    </w:p>
    <w:p>
      <w:pPr>
        <w:pStyle w:val="ListBullet"/>
      </w:pPr>
      <w:r>
        <w:t>For planned rotation, publish the new verification key and overlap trust before changing the signing reference.</w:t>
      </w:r>
    </w:p>
    <w:p>
      <w:pPr>
        <w:pStyle w:val="ListBullet"/>
      </w:pPr>
      <w:r>
        <w:t>Sign a test canary and verify it in every target environment before production use.</w:t>
      </w:r>
    </w:p>
    <w:p>
      <w:pPr>
        <w:pStyle w:val="ListBullet"/>
      </w:pPr>
      <w:r>
        <w:t>For suspected compromise, freeze promotions, disable the affected Artifactory signing identity and Cosign key, preserve audit logs, and invoke incident response.</w:t>
      </w:r>
    </w:p>
    <w:p>
      <w:pPr>
        <w:pStyle w:val="ListBullet"/>
      </w:pPr>
      <w:r>
        <w:t>Re-signing does not erase history. Record affected signatures/digests and the new trust epoch explicitly.</w:t>
      </w:r>
    </w:p>
    <w:p>
      <w:pPr>
        <w:pStyle w:val="Heading1"/>
      </w:pPr>
      <w:r>
        <w:t>14. UBI 10 canary operations</w:t>
      </w:r>
    </w:p>
    <w:p>
      <w:r>
        <w:t>UBI 10 is an evidence-producing compatibility track, not a production migration. Its repositories, catalog track, policy profile, tags, and promotion target must make accidental adoption impossible.</w:t>
      </w:r>
    </w:p>
    <w:p>
      <w:pPr>
        <w:pStyle w:val="ListBullet"/>
      </w:pPr>
      <w:r>
        <w:t>Build UBI 10.2 independently with a validated RHEL 10 SCAP profile and complete vulnerability-data coverage.</w:t>
      </w:r>
    </w:p>
    <w:p>
      <w:pPr>
        <w:pStyle w:val="ListBullet"/>
      </w:pPr>
      <w:r>
        <w:t>Compare runtime libraries, Java behavior, native dependencies, fonts, crypto/FIPS behavior, and vendor support statements.</w:t>
      </w:r>
    </w:p>
    <w:p>
      <w:pPr>
        <w:pStyle w:val="ListBullet"/>
      </w:pPr>
      <w:r>
        <w:t>Use optional application compatibility branches only; do not change the production dependency graph.</w:t>
      </w:r>
    </w:p>
    <w:p>
      <w:pPr>
        <w:pStyle w:val="ListBullet"/>
      </w:pPr>
      <w:r>
        <w:t>Publish canary evidence to oci-canary-local, never the production release repository.</w:t>
      </w:r>
    </w:p>
    <w:p>
      <w:pPr>
        <w:pStyle w:val="ListBullet"/>
      </w:pPr>
      <w:r>
        <w:t>Maintain UBI 9 rollback digests throughout evaluation.</w:t>
      </w:r>
    </w:p>
    <w:p>
      <w:pPr>
        <w:pStyle w:val="ListBullet"/>
      </w:pPr>
      <w:r>
        <w:t>Require an explicit catalog dependency change, architecture review, product validation, and human approval before migration.</w:t>
      </w:r>
    </w:p>
    <w:p>
      <w:pPr>
        <w:pStyle w:val="Heading2"/>
      </w:pPr>
      <w:r>
        <w:t>Canary exit report</w:t>
      </w: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90" w:type="dxa"/>
              <w:start w:w="120" w:type="dxa"/>
              <w:bottom w:w="90" w:type="dxa"/>
              <w:end w:w="120" w:type="dxa"/>
            </w:tcMar>
            <w:vAlign w:val="center"/>
          </w:tcPr>
          <w:p>
            <w:pPr>
              <w:spacing w:after="0"/>
            </w:pPr>
            <w:r>
              <w:rPr>
                <w:b/>
                <w:color w:val="17324D"/>
                <w:sz w:val="18"/>
              </w:rPr>
              <w:t>Decision area</w:t>
            </w:r>
          </w:p>
        </w:tc>
        <w:tc>
          <w:tcPr>
            <w:tcW w:type="dxa" w:w="7056"/>
            <w:shd w:fill="E8EEF5"/>
            <w:tcMar>
              <w:top w:w="90" w:type="dxa"/>
              <w:start w:w="120" w:type="dxa"/>
              <w:bottom w:w="90" w:type="dxa"/>
              <w:end w:w="120" w:type="dxa"/>
            </w:tcMar>
            <w:vAlign w:val="center"/>
          </w:tcPr>
          <w:p>
            <w:pPr>
              <w:spacing w:after="0"/>
            </w:pPr>
            <w:r>
              <w:rPr>
                <w:b/>
                <w:color w:val="17324D"/>
                <w:sz w:val="18"/>
              </w:rPr>
              <w:t>Evidence required</w:t>
            </w:r>
          </w:p>
        </w:tc>
      </w:tr>
      <w:tr>
        <w:tc>
          <w:tcPr>
            <w:tcW w:type="dxa" w:w="2304"/>
            <w:tcMar>
              <w:top w:w="90" w:type="dxa"/>
              <w:start w:w="120" w:type="dxa"/>
              <w:bottom w:w="90" w:type="dxa"/>
              <w:end w:w="120" w:type="dxa"/>
            </w:tcMar>
            <w:vAlign w:val="center"/>
          </w:tcPr>
          <w:p>
            <w:pPr>
              <w:spacing w:after="0" w:line="259" w:lineRule="auto"/>
            </w:pPr>
            <w:r>
              <w:rPr>
                <w:color w:val="17202A"/>
                <w:sz w:val="18"/>
              </w:rPr>
              <w:t>Vendor support</w:t>
            </w:r>
          </w:p>
        </w:tc>
        <w:tc>
          <w:tcPr>
            <w:tcW w:type="dxa" w:w="7056"/>
            <w:tcMar>
              <w:top w:w="90" w:type="dxa"/>
              <w:start w:w="120" w:type="dxa"/>
              <w:bottom w:w="90" w:type="dxa"/>
              <w:end w:w="120" w:type="dxa"/>
            </w:tcMar>
            <w:vAlign w:val="center"/>
          </w:tcPr>
          <w:p>
            <w:pPr>
              <w:spacing w:after="0" w:line="259" w:lineRule="auto"/>
            </w:pPr>
            <w:r>
              <w:rPr>
                <w:color w:val="17202A"/>
                <w:sz w:val="18"/>
              </w:rPr>
              <w:t>Atlassian and Red Hat support position for product/JDK/native stack</w:t>
            </w:r>
          </w:p>
        </w:tc>
      </w:tr>
      <w:tr>
        <w:tc>
          <w:tcPr>
            <w:tcW w:type="dxa" w:w="2304"/>
            <w:shd w:fill="FAFBFC"/>
            <w:tcMar>
              <w:top w:w="90" w:type="dxa"/>
              <w:start w:w="120" w:type="dxa"/>
              <w:bottom w:w="90" w:type="dxa"/>
              <w:end w:w="120" w:type="dxa"/>
            </w:tcMar>
            <w:vAlign w:val="center"/>
          </w:tcPr>
          <w:p>
            <w:pPr>
              <w:spacing w:after="0" w:line="259" w:lineRule="auto"/>
            </w:pPr>
            <w:r>
              <w:rPr>
                <w:color w:val="17202A"/>
                <w:sz w:val="18"/>
              </w:rPr>
              <w:t>Security coverage</w:t>
            </w:r>
          </w:p>
        </w:tc>
        <w:tc>
          <w:tcPr>
            <w:tcW w:type="dxa" w:w="7056"/>
            <w:shd w:fill="FAFBFC"/>
            <w:tcMar>
              <w:top w:w="90" w:type="dxa"/>
              <w:start w:w="120" w:type="dxa"/>
              <w:bottom w:w="90" w:type="dxa"/>
              <w:end w:w="120" w:type="dxa"/>
            </w:tcMar>
            <w:vAlign w:val="center"/>
          </w:tcPr>
          <w:p>
            <w:pPr>
              <w:spacing w:after="0" w:line="259" w:lineRule="auto"/>
            </w:pPr>
            <w:r>
              <w:rPr>
                <w:color w:val="17202A"/>
                <w:sz w:val="18"/>
              </w:rPr>
              <w:t>RHEL 10 OVAL/CSAF, scanner DB completeness, SCAP tailoring validation</w:t>
            </w:r>
          </w:p>
        </w:tc>
      </w:tr>
      <w:tr>
        <w:tc>
          <w:tcPr>
            <w:tcW w:type="dxa" w:w="2304"/>
            <w:tcMar>
              <w:top w:w="90" w:type="dxa"/>
              <w:start w:w="120" w:type="dxa"/>
              <w:bottom w:w="90" w:type="dxa"/>
              <w:end w:w="120" w:type="dxa"/>
            </w:tcMar>
            <w:vAlign w:val="center"/>
          </w:tcPr>
          <w:p>
            <w:pPr>
              <w:spacing w:after="0" w:line="259" w:lineRule="auto"/>
            </w:pPr>
            <w:r>
              <w:rPr>
                <w:color w:val="17202A"/>
                <w:sz w:val="18"/>
              </w:rPr>
              <w:t>Runtime compatibility</w:t>
            </w:r>
          </w:p>
        </w:tc>
        <w:tc>
          <w:tcPr>
            <w:tcW w:type="dxa" w:w="7056"/>
            <w:tcMar>
              <w:top w:w="90" w:type="dxa"/>
              <w:start w:w="120" w:type="dxa"/>
              <w:bottom w:w="90" w:type="dxa"/>
              <w:end w:w="120" w:type="dxa"/>
            </w:tcMar>
            <w:vAlign w:val="center"/>
          </w:tcPr>
          <w:p>
            <w:pPr>
              <w:spacing w:after="0" w:line="259" w:lineRule="auto"/>
            </w:pPr>
            <w:r>
              <w:rPr>
                <w:color w:val="17202A"/>
                <w:sz w:val="18"/>
              </w:rPr>
              <w:t>Startup, clustering, plugins, Git, Synchrony, JSM, graceful shutdown</w:t>
            </w:r>
          </w:p>
        </w:tc>
      </w:tr>
      <w:tr>
        <w:tc>
          <w:tcPr>
            <w:tcW w:type="dxa" w:w="2304"/>
            <w:shd w:fill="FAFBFC"/>
            <w:tcMar>
              <w:top w:w="90" w:type="dxa"/>
              <w:start w:w="120" w:type="dxa"/>
              <w:bottom w:w="90" w:type="dxa"/>
              <w:end w:w="120" w:type="dxa"/>
            </w:tcMar>
            <w:vAlign w:val="center"/>
          </w:tcPr>
          <w:p>
            <w:pPr>
              <w:spacing w:after="0" w:line="259" w:lineRule="auto"/>
            </w:pPr>
            <w:r>
              <w:rPr>
                <w:color w:val="17202A"/>
                <w:sz w:val="18"/>
              </w:rPr>
              <w:t>Operational readiness</w:t>
            </w:r>
          </w:p>
        </w:tc>
        <w:tc>
          <w:tcPr>
            <w:tcW w:type="dxa" w:w="7056"/>
            <w:shd w:fill="FAFBFC"/>
            <w:tcMar>
              <w:top w:w="90" w:type="dxa"/>
              <w:start w:w="120" w:type="dxa"/>
              <w:bottom w:w="90" w:type="dxa"/>
              <w:end w:w="120" w:type="dxa"/>
            </w:tcMar>
            <w:vAlign w:val="center"/>
          </w:tcPr>
          <w:p>
            <w:pPr>
              <w:spacing w:after="0" w:line="259" w:lineRule="auto"/>
            </w:pPr>
            <w:r>
              <w:rPr>
                <w:color w:val="17202A"/>
                <w:sz w:val="18"/>
              </w:rPr>
              <w:t>Toolchain, RPM snapshots, runbooks, capacity, rollback and support ownership</w:t>
            </w:r>
          </w:p>
        </w:tc>
      </w:tr>
      <w:tr>
        <w:tc>
          <w:tcPr>
            <w:tcW w:type="dxa" w:w="2304"/>
            <w:tcMar>
              <w:top w:w="90" w:type="dxa"/>
              <w:start w:w="120" w:type="dxa"/>
              <w:bottom w:w="90" w:type="dxa"/>
              <w:end w:w="120" w:type="dxa"/>
            </w:tcMar>
            <w:vAlign w:val="center"/>
          </w:tcPr>
          <w:p>
            <w:pPr>
              <w:spacing w:after="0" w:line="259" w:lineRule="auto"/>
            </w:pPr>
            <w:r>
              <w:rPr>
                <w:color w:val="17202A"/>
                <w:sz w:val="18"/>
              </w:rPr>
              <w:t>Migration decision</w:t>
            </w:r>
          </w:p>
        </w:tc>
        <w:tc>
          <w:tcPr>
            <w:tcW w:type="dxa" w:w="7056"/>
            <w:tcMar>
              <w:top w:w="90" w:type="dxa"/>
              <w:start w:w="120" w:type="dxa"/>
              <w:bottom w:w="90" w:type="dxa"/>
              <w:end w:w="120" w:type="dxa"/>
            </w:tcMar>
            <w:vAlign w:val="center"/>
          </w:tcPr>
          <w:p>
            <w:pPr>
              <w:spacing w:after="0" w:line="259" w:lineRule="auto"/>
            </w:pPr>
            <w:r>
              <w:rPr>
                <w:color w:val="17202A"/>
                <w:sz w:val="18"/>
              </w:rPr>
              <w:t>Reviewed catalog dependency change with impact and rollback plan</w:t>
            </w:r>
          </w:p>
        </w:tc>
      </w:tr>
    </w:tbl>
    <w:p>
      <w:pPr>
        <w:pStyle w:val="Heading1"/>
      </w:pPr>
      <w:r>
        <w:t>15. Service ownership and RACI</w:t>
      </w:r>
    </w:p>
    <w:tbl>
      <w:tblPr>
        <w:tblStyle w:val="TableGrid"/>
        <w:tblW w:type="dxa" w:w="9360"/>
        <w:jc w:val="left"/>
        <w:tblLayout w:type="fixed"/>
        <w:tblLook w:firstColumn="1" w:firstRow="1" w:lastColumn="0" w:lastRow="0" w:noHBand="0" w:noVBand="1" w:val="04A0"/>
        <w:tblInd w:w="120" w:type="dxa"/>
      </w:tblPr>
      <w:tblGrid>
        <w:gridCol w:w="2477"/>
        <w:gridCol w:w="2232"/>
        <w:gridCol w:w="2232"/>
        <w:gridCol w:w="2419"/>
      </w:tblGrid>
      <w:tr>
        <w:trPr>
          <w:tblHeader w:val="true"/>
        </w:trPr>
        <w:tc>
          <w:tcPr>
            <w:tcW w:type="dxa" w:w="2477"/>
            <w:shd w:fill="E8EEF5"/>
            <w:tcMar>
              <w:top w:w="90" w:type="dxa"/>
              <w:start w:w="120" w:type="dxa"/>
              <w:bottom w:w="90" w:type="dxa"/>
              <w:end w:w="120" w:type="dxa"/>
            </w:tcMar>
            <w:vAlign w:val="center"/>
          </w:tcPr>
          <w:p>
            <w:pPr>
              <w:spacing w:after="0"/>
            </w:pPr>
            <w:r>
              <w:rPr>
                <w:b/>
                <w:color w:val="17324D"/>
                <w:sz w:val="16"/>
              </w:rPr>
              <w:t>Activity</w:t>
            </w:r>
          </w:p>
        </w:tc>
        <w:tc>
          <w:tcPr>
            <w:tcW w:type="dxa" w:w="2232"/>
            <w:shd w:fill="E8EEF5"/>
            <w:tcMar>
              <w:top w:w="90" w:type="dxa"/>
              <w:start w:w="120" w:type="dxa"/>
              <w:bottom w:w="90" w:type="dxa"/>
              <w:end w:w="120" w:type="dxa"/>
            </w:tcMar>
            <w:vAlign w:val="center"/>
          </w:tcPr>
          <w:p>
            <w:pPr>
              <w:spacing w:after="0"/>
            </w:pPr>
            <w:r>
              <w:rPr>
                <w:b/>
                <w:color w:val="17324D"/>
                <w:sz w:val="16"/>
              </w:rPr>
              <w:t>Responsible</w:t>
            </w:r>
          </w:p>
        </w:tc>
        <w:tc>
          <w:tcPr>
            <w:tcW w:type="dxa" w:w="2232"/>
            <w:shd w:fill="E8EEF5"/>
            <w:tcMar>
              <w:top w:w="90" w:type="dxa"/>
              <w:start w:w="120" w:type="dxa"/>
              <w:bottom w:w="90" w:type="dxa"/>
              <w:end w:w="120" w:type="dxa"/>
            </w:tcMar>
            <w:vAlign w:val="center"/>
          </w:tcPr>
          <w:p>
            <w:pPr>
              <w:spacing w:after="0"/>
            </w:pPr>
            <w:r>
              <w:rPr>
                <w:b/>
                <w:color w:val="17324D"/>
                <w:sz w:val="16"/>
              </w:rPr>
              <w:t>Accountable</w:t>
            </w:r>
          </w:p>
        </w:tc>
        <w:tc>
          <w:tcPr>
            <w:tcW w:type="dxa" w:w="2419"/>
            <w:shd w:fill="E8EEF5"/>
            <w:tcMar>
              <w:top w:w="90" w:type="dxa"/>
              <w:start w:w="120" w:type="dxa"/>
              <w:bottom w:w="90" w:type="dxa"/>
              <w:end w:w="120" w:type="dxa"/>
            </w:tcMar>
            <w:vAlign w:val="center"/>
          </w:tcPr>
          <w:p>
            <w:pPr>
              <w:spacing w:after="0"/>
            </w:pPr>
            <w:r>
              <w:rPr>
                <w:b/>
                <w:color w:val="17324D"/>
                <w:sz w:val="16"/>
              </w:rPr>
              <w:t>Consulted / informed</w:t>
            </w:r>
          </w:p>
        </w:tc>
      </w:tr>
      <w:tr>
        <w:tc>
          <w:tcPr>
            <w:tcW w:type="dxa" w:w="2477"/>
            <w:tcMar>
              <w:top w:w="90" w:type="dxa"/>
              <w:start w:w="120" w:type="dxa"/>
              <w:bottom w:w="90" w:type="dxa"/>
              <w:end w:w="120" w:type="dxa"/>
            </w:tcMar>
            <w:vAlign w:val="center"/>
          </w:tcPr>
          <w:p>
            <w:pPr>
              <w:spacing w:after="0" w:line="259" w:lineRule="auto"/>
            </w:pPr>
            <w:r>
              <w:rPr>
                <w:color w:val="17202A"/>
                <w:sz w:val="16"/>
              </w:rPr>
              <w:t>Source intake + lock</w:t>
            </w:r>
          </w:p>
        </w:tc>
        <w:tc>
          <w:tcPr>
            <w:tcW w:type="dxa" w:w="2232"/>
            <w:tcMar>
              <w:top w:w="90" w:type="dxa"/>
              <w:start w:w="120" w:type="dxa"/>
              <w:bottom w:w="90" w:type="dxa"/>
              <w:end w:w="120" w:type="dxa"/>
            </w:tcMar>
            <w:vAlign w:val="center"/>
          </w:tcPr>
          <w:p>
            <w:pPr>
              <w:spacing w:after="0" w:line="259" w:lineRule="auto"/>
            </w:pPr>
            <w:r>
              <w:rPr>
                <w:color w:val="17202A"/>
                <w:sz w:val="16"/>
              </w:rPr>
              <w:t>Intake engineering</w:t>
            </w:r>
          </w:p>
        </w:tc>
        <w:tc>
          <w:tcPr>
            <w:tcW w:type="dxa" w:w="2232"/>
            <w:tcMar>
              <w:top w:w="90" w:type="dxa"/>
              <w:start w:w="120" w:type="dxa"/>
              <w:bottom w:w="90" w:type="dxa"/>
              <w:end w:w="120" w:type="dxa"/>
            </w:tcMar>
            <w:vAlign w:val="center"/>
          </w:tcPr>
          <w:p>
            <w:pPr>
              <w:spacing w:after="0" w:line="259" w:lineRule="auto"/>
            </w:pPr>
            <w:r>
              <w:rPr>
                <w:color w:val="17202A"/>
                <w:sz w:val="16"/>
              </w:rPr>
              <w:t>Factory service owner</w:t>
            </w:r>
          </w:p>
        </w:tc>
        <w:tc>
          <w:tcPr>
            <w:tcW w:type="dxa" w:w="2419"/>
            <w:tcMar>
              <w:top w:w="90" w:type="dxa"/>
              <w:start w:w="120" w:type="dxa"/>
              <w:bottom w:w="90" w:type="dxa"/>
              <w:end w:w="120" w:type="dxa"/>
            </w:tcMar>
            <w:vAlign w:val="center"/>
          </w:tcPr>
          <w:p>
            <w:pPr>
              <w:spacing w:after="0" w:line="259" w:lineRule="auto"/>
            </w:pPr>
            <w:r>
              <w:rPr>
                <w:color w:val="17202A"/>
                <w:sz w:val="16"/>
              </w:rPr>
              <w:t>Security, image maintainer</w:t>
            </w:r>
          </w:p>
        </w:tc>
      </w:tr>
      <w:tr>
        <w:tc>
          <w:tcPr>
            <w:tcW w:type="dxa" w:w="2477"/>
            <w:shd w:fill="FAFBFC"/>
            <w:tcMar>
              <w:top w:w="90" w:type="dxa"/>
              <w:start w:w="120" w:type="dxa"/>
              <w:bottom w:w="90" w:type="dxa"/>
              <w:end w:w="120" w:type="dxa"/>
            </w:tcMar>
            <w:vAlign w:val="center"/>
          </w:tcPr>
          <w:p>
            <w:pPr>
              <w:spacing w:after="0" w:line="259" w:lineRule="auto"/>
            </w:pPr>
            <w:r>
              <w:rPr>
                <w:color w:val="17202A"/>
                <w:sz w:val="16"/>
              </w:rPr>
              <w:t>Catalog / overlay change</w:t>
            </w:r>
          </w:p>
        </w:tc>
        <w:tc>
          <w:tcPr>
            <w:tcW w:type="dxa" w:w="2232"/>
            <w:shd w:fill="FAFBFC"/>
            <w:tcMar>
              <w:top w:w="90" w:type="dxa"/>
              <w:start w:w="120" w:type="dxa"/>
              <w:bottom w:w="90" w:type="dxa"/>
              <w:end w:w="120" w:type="dxa"/>
            </w:tcMar>
            <w:vAlign w:val="center"/>
          </w:tcPr>
          <w:p>
            <w:pPr>
              <w:spacing w:after="0" w:line="259" w:lineRule="auto"/>
            </w:pPr>
            <w:r>
              <w:rPr>
                <w:color w:val="17202A"/>
                <w:sz w:val="16"/>
              </w:rPr>
              <w:t>Image maintainer</w:t>
            </w:r>
          </w:p>
        </w:tc>
        <w:tc>
          <w:tcPr>
            <w:tcW w:type="dxa" w:w="2232"/>
            <w:shd w:fill="FAFBFC"/>
            <w:tcMar>
              <w:top w:w="90" w:type="dxa"/>
              <w:start w:w="120" w:type="dxa"/>
              <w:bottom w:w="90" w:type="dxa"/>
              <w:end w:w="120" w:type="dxa"/>
            </w:tcMar>
            <w:vAlign w:val="center"/>
          </w:tcPr>
          <w:p>
            <w:pPr>
              <w:spacing w:after="0" w:line="259" w:lineRule="auto"/>
            </w:pPr>
            <w:r>
              <w:rPr>
                <w:color w:val="17202A"/>
                <w:sz w:val="16"/>
              </w:rPr>
              <w:t>Product owner</w:t>
            </w:r>
          </w:p>
        </w:tc>
        <w:tc>
          <w:tcPr>
            <w:tcW w:type="dxa" w:w="2419"/>
            <w:shd w:fill="FAFBFC"/>
            <w:tcMar>
              <w:top w:w="90" w:type="dxa"/>
              <w:start w:w="120" w:type="dxa"/>
              <w:bottom w:w="90" w:type="dxa"/>
              <w:end w:w="120" w:type="dxa"/>
            </w:tcMar>
            <w:vAlign w:val="center"/>
          </w:tcPr>
          <w:p>
            <w:pPr>
              <w:spacing w:after="0" w:line="259" w:lineRule="auto"/>
            </w:pPr>
            <w:r>
              <w:rPr>
                <w:color w:val="17202A"/>
                <w:sz w:val="16"/>
              </w:rPr>
              <w:t>Platform, security</w:t>
            </w:r>
          </w:p>
        </w:tc>
      </w:tr>
      <w:tr>
        <w:tc>
          <w:tcPr>
            <w:tcW w:type="dxa" w:w="2477"/>
            <w:tcMar>
              <w:top w:w="90" w:type="dxa"/>
              <w:start w:w="120" w:type="dxa"/>
              <w:bottom w:w="90" w:type="dxa"/>
              <w:end w:w="120" w:type="dxa"/>
            </w:tcMar>
            <w:vAlign w:val="center"/>
          </w:tcPr>
          <w:p>
            <w:pPr>
              <w:spacing w:after="0" w:line="259" w:lineRule="auto"/>
            </w:pPr>
            <w:r>
              <w:rPr>
                <w:color w:val="17202A"/>
                <w:sz w:val="16"/>
              </w:rPr>
              <w:t>Runner + Artifactory</w:t>
            </w:r>
          </w:p>
        </w:tc>
        <w:tc>
          <w:tcPr>
            <w:tcW w:type="dxa" w:w="2232"/>
            <w:tcMar>
              <w:top w:w="90" w:type="dxa"/>
              <w:start w:w="120" w:type="dxa"/>
              <w:bottom w:w="90" w:type="dxa"/>
              <w:end w:w="120" w:type="dxa"/>
            </w:tcMar>
            <w:vAlign w:val="center"/>
          </w:tcPr>
          <w:p>
            <w:pPr>
              <w:spacing w:after="0" w:line="259" w:lineRule="auto"/>
            </w:pPr>
            <w:r>
              <w:rPr>
                <w:color w:val="17202A"/>
                <w:sz w:val="16"/>
              </w:rPr>
              <w:t>Platform engineering</w:t>
            </w:r>
          </w:p>
        </w:tc>
        <w:tc>
          <w:tcPr>
            <w:tcW w:type="dxa" w:w="2232"/>
            <w:tcMar>
              <w:top w:w="90" w:type="dxa"/>
              <w:start w:w="120" w:type="dxa"/>
              <w:bottom w:w="90" w:type="dxa"/>
              <w:end w:w="120" w:type="dxa"/>
            </w:tcMar>
            <w:vAlign w:val="center"/>
          </w:tcPr>
          <w:p>
            <w:pPr>
              <w:spacing w:after="0" w:line="259" w:lineRule="auto"/>
            </w:pPr>
            <w:r>
              <w:rPr>
                <w:color w:val="17202A"/>
                <w:sz w:val="16"/>
              </w:rPr>
              <w:t>Platform owner</w:t>
            </w:r>
          </w:p>
        </w:tc>
        <w:tc>
          <w:tcPr>
            <w:tcW w:type="dxa" w:w="2419"/>
            <w:tcMar>
              <w:top w:w="90" w:type="dxa"/>
              <w:start w:w="120" w:type="dxa"/>
              <w:bottom w:w="90" w:type="dxa"/>
              <w:end w:w="120" w:type="dxa"/>
            </w:tcMar>
            <w:vAlign w:val="center"/>
          </w:tcPr>
          <w:p>
            <w:pPr>
              <w:spacing w:after="0" w:line="259" w:lineRule="auto"/>
            </w:pPr>
            <w:r>
              <w:rPr>
                <w:color w:val="17202A"/>
                <w:sz w:val="16"/>
              </w:rPr>
              <w:t>Security, operations</w:t>
            </w:r>
          </w:p>
        </w:tc>
      </w:tr>
      <w:tr>
        <w:tc>
          <w:tcPr>
            <w:tcW w:type="dxa" w:w="2477"/>
            <w:shd w:fill="FAFBFC"/>
            <w:tcMar>
              <w:top w:w="90" w:type="dxa"/>
              <w:start w:w="120" w:type="dxa"/>
              <w:bottom w:w="90" w:type="dxa"/>
              <w:end w:w="120" w:type="dxa"/>
            </w:tcMar>
            <w:vAlign w:val="center"/>
          </w:tcPr>
          <w:p>
            <w:pPr>
              <w:spacing w:after="0" w:line="259" w:lineRule="auto"/>
            </w:pPr>
            <w:r>
              <w:rPr>
                <w:color w:val="17202A"/>
                <w:sz w:val="16"/>
              </w:rPr>
              <w:t>SCAP / vulnerability policy</w:t>
            </w:r>
          </w:p>
        </w:tc>
        <w:tc>
          <w:tcPr>
            <w:tcW w:type="dxa" w:w="2232"/>
            <w:shd w:fill="FAFBFC"/>
            <w:tcMar>
              <w:top w:w="90" w:type="dxa"/>
              <w:start w:w="120" w:type="dxa"/>
              <w:bottom w:w="90" w:type="dxa"/>
              <w:end w:w="120" w:type="dxa"/>
            </w:tcMar>
            <w:vAlign w:val="center"/>
          </w:tcPr>
          <w:p>
            <w:pPr>
              <w:spacing w:after="0" w:line="259" w:lineRule="auto"/>
            </w:pPr>
            <w:r>
              <w:rPr>
                <w:color w:val="17202A"/>
                <w:sz w:val="16"/>
              </w:rPr>
              <w:t>Security engineering</w:t>
            </w:r>
          </w:p>
        </w:tc>
        <w:tc>
          <w:tcPr>
            <w:tcW w:type="dxa" w:w="2232"/>
            <w:shd w:fill="FAFBFC"/>
            <w:tcMar>
              <w:top w:w="90" w:type="dxa"/>
              <w:start w:w="120" w:type="dxa"/>
              <w:bottom w:w="90" w:type="dxa"/>
              <w:end w:w="120" w:type="dxa"/>
            </w:tcMar>
            <w:vAlign w:val="center"/>
          </w:tcPr>
          <w:p>
            <w:pPr>
              <w:spacing w:after="0" w:line="259" w:lineRule="auto"/>
            </w:pPr>
            <w:r>
              <w:rPr>
                <w:color w:val="17202A"/>
                <w:sz w:val="16"/>
              </w:rPr>
              <w:t>Security authority</w:t>
            </w:r>
          </w:p>
        </w:tc>
        <w:tc>
          <w:tcPr>
            <w:tcW w:type="dxa" w:w="2419"/>
            <w:shd w:fill="FAFBFC"/>
            <w:tcMar>
              <w:top w:w="90" w:type="dxa"/>
              <w:start w:w="120" w:type="dxa"/>
              <w:bottom w:w="90" w:type="dxa"/>
              <w:end w:w="120" w:type="dxa"/>
            </w:tcMar>
            <w:vAlign w:val="center"/>
          </w:tcPr>
          <w:p>
            <w:pPr>
              <w:spacing w:after="0" w:line="259" w:lineRule="auto"/>
            </w:pPr>
            <w:r>
              <w:rPr>
                <w:color w:val="17202A"/>
                <w:sz w:val="16"/>
              </w:rPr>
              <w:t>Product, release authority</w:t>
            </w:r>
          </w:p>
        </w:tc>
      </w:tr>
      <w:tr>
        <w:tc>
          <w:tcPr>
            <w:tcW w:type="dxa" w:w="2477"/>
            <w:tcMar>
              <w:top w:w="90" w:type="dxa"/>
              <w:start w:w="120" w:type="dxa"/>
              <w:bottom w:w="90" w:type="dxa"/>
              <w:end w:w="120" w:type="dxa"/>
            </w:tcMar>
            <w:vAlign w:val="center"/>
          </w:tcPr>
          <w:p>
            <w:pPr>
              <w:spacing w:after="0" w:line="259" w:lineRule="auto"/>
            </w:pPr>
            <w:r>
              <w:rPr>
                <w:color w:val="17202A"/>
                <w:sz w:val="16"/>
              </w:rPr>
              <w:t>Product integration tests</w:t>
            </w:r>
          </w:p>
        </w:tc>
        <w:tc>
          <w:tcPr>
            <w:tcW w:type="dxa" w:w="2232"/>
            <w:tcMar>
              <w:top w:w="90" w:type="dxa"/>
              <w:start w:w="120" w:type="dxa"/>
              <w:bottom w:w="90" w:type="dxa"/>
              <w:end w:w="120" w:type="dxa"/>
            </w:tcMar>
            <w:vAlign w:val="center"/>
          </w:tcPr>
          <w:p>
            <w:pPr>
              <w:spacing w:after="0" w:line="259" w:lineRule="auto"/>
            </w:pPr>
            <w:r>
              <w:rPr>
                <w:color w:val="17202A"/>
                <w:sz w:val="16"/>
              </w:rPr>
              <w:t>Product image maintainer</w:t>
            </w:r>
          </w:p>
        </w:tc>
        <w:tc>
          <w:tcPr>
            <w:tcW w:type="dxa" w:w="2232"/>
            <w:tcMar>
              <w:top w:w="90" w:type="dxa"/>
              <w:start w:w="120" w:type="dxa"/>
              <w:bottom w:w="90" w:type="dxa"/>
              <w:end w:w="120" w:type="dxa"/>
            </w:tcMar>
            <w:vAlign w:val="center"/>
          </w:tcPr>
          <w:p>
            <w:pPr>
              <w:spacing w:after="0" w:line="259" w:lineRule="auto"/>
            </w:pPr>
            <w:r>
              <w:rPr>
                <w:color w:val="17202A"/>
                <w:sz w:val="16"/>
              </w:rPr>
              <w:t>Product owner</w:t>
            </w:r>
          </w:p>
        </w:tc>
        <w:tc>
          <w:tcPr>
            <w:tcW w:type="dxa" w:w="2419"/>
            <w:tcMar>
              <w:top w:w="90" w:type="dxa"/>
              <w:start w:w="120" w:type="dxa"/>
              <w:bottom w:w="90" w:type="dxa"/>
              <w:end w:w="120" w:type="dxa"/>
            </w:tcMar>
            <w:vAlign w:val="center"/>
          </w:tcPr>
          <w:p>
            <w:pPr>
              <w:spacing w:after="0" w:line="259" w:lineRule="auto"/>
            </w:pPr>
            <w:r>
              <w:rPr>
                <w:color w:val="17202A"/>
                <w:sz w:val="16"/>
              </w:rPr>
              <w:t>Platform, database/service owners</w:t>
            </w:r>
          </w:p>
        </w:tc>
      </w:tr>
      <w:tr>
        <w:tc>
          <w:tcPr>
            <w:tcW w:type="dxa" w:w="2477"/>
            <w:shd w:fill="FAFBFC"/>
            <w:tcMar>
              <w:top w:w="90" w:type="dxa"/>
              <w:start w:w="120" w:type="dxa"/>
              <w:bottom w:w="90" w:type="dxa"/>
              <w:end w:w="120" w:type="dxa"/>
            </w:tcMar>
            <w:vAlign w:val="center"/>
          </w:tcPr>
          <w:p>
            <w:pPr>
              <w:spacing w:after="0" w:line="259" w:lineRule="auto"/>
            </w:pPr>
            <w:r>
              <w:rPr>
                <w:color w:val="17202A"/>
                <w:sz w:val="16"/>
              </w:rPr>
              <w:t>Exception approval</w:t>
            </w:r>
          </w:p>
        </w:tc>
        <w:tc>
          <w:tcPr>
            <w:tcW w:type="dxa" w:w="2232"/>
            <w:shd w:fill="FAFBFC"/>
            <w:tcMar>
              <w:top w:w="90" w:type="dxa"/>
              <w:start w:w="120" w:type="dxa"/>
              <w:bottom w:w="90" w:type="dxa"/>
              <w:end w:w="120" w:type="dxa"/>
            </w:tcMar>
            <w:vAlign w:val="center"/>
          </w:tcPr>
          <w:p>
            <w:pPr>
              <w:spacing w:after="0" w:line="259" w:lineRule="auto"/>
            </w:pPr>
            <w:r>
              <w:rPr>
                <w:color w:val="17202A"/>
                <w:sz w:val="16"/>
              </w:rPr>
              <w:t>Risk owner + independent approver</w:t>
            </w:r>
          </w:p>
        </w:tc>
        <w:tc>
          <w:tcPr>
            <w:tcW w:type="dxa" w:w="2232"/>
            <w:shd w:fill="FAFBFC"/>
            <w:tcMar>
              <w:top w:w="90" w:type="dxa"/>
              <w:start w:w="120" w:type="dxa"/>
              <w:bottom w:w="90" w:type="dxa"/>
              <w:end w:w="120" w:type="dxa"/>
            </w:tcMar>
            <w:vAlign w:val="center"/>
          </w:tcPr>
          <w:p>
            <w:pPr>
              <w:spacing w:after="0" w:line="259" w:lineRule="auto"/>
            </w:pPr>
            <w:r>
              <w:rPr>
                <w:color w:val="17202A"/>
                <w:sz w:val="16"/>
              </w:rPr>
              <w:t>Security authority</w:t>
            </w:r>
          </w:p>
        </w:tc>
        <w:tc>
          <w:tcPr>
            <w:tcW w:type="dxa" w:w="2419"/>
            <w:shd w:fill="FAFBFC"/>
            <w:tcMar>
              <w:top w:w="90" w:type="dxa"/>
              <w:start w:w="120" w:type="dxa"/>
              <w:bottom w:w="90" w:type="dxa"/>
              <w:end w:w="120" w:type="dxa"/>
            </w:tcMar>
            <w:vAlign w:val="center"/>
          </w:tcPr>
          <w:p>
            <w:pPr>
              <w:spacing w:after="0" w:line="259" w:lineRule="auto"/>
            </w:pPr>
            <w:r>
              <w:rPr>
                <w:color w:val="17202A"/>
                <w:sz w:val="16"/>
              </w:rPr>
              <w:t>Image maintainer</w:t>
            </w:r>
          </w:p>
        </w:tc>
      </w:tr>
      <w:tr>
        <w:tc>
          <w:tcPr>
            <w:tcW w:type="dxa" w:w="2477"/>
            <w:tcMar>
              <w:top w:w="90" w:type="dxa"/>
              <w:start w:w="120" w:type="dxa"/>
              <w:bottom w:w="90" w:type="dxa"/>
              <w:end w:w="120" w:type="dxa"/>
            </w:tcMar>
            <w:vAlign w:val="center"/>
          </w:tcPr>
          <w:p>
            <w:pPr>
              <w:spacing w:after="0" w:line="259" w:lineRule="auto"/>
            </w:pPr>
            <w:r>
              <w:rPr>
                <w:color w:val="17202A"/>
                <w:sz w:val="16"/>
              </w:rPr>
              <w:t>Signing / promotion</w:t>
            </w:r>
          </w:p>
        </w:tc>
        <w:tc>
          <w:tcPr>
            <w:tcW w:type="dxa" w:w="2232"/>
            <w:tcMar>
              <w:top w:w="90" w:type="dxa"/>
              <w:start w:w="120" w:type="dxa"/>
              <w:bottom w:w="90" w:type="dxa"/>
              <w:end w:w="120" w:type="dxa"/>
            </w:tcMar>
            <w:vAlign w:val="center"/>
          </w:tcPr>
          <w:p>
            <w:pPr>
              <w:spacing w:after="0" w:line="259" w:lineRule="auto"/>
            </w:pPr>
            <w:r>
              <w:rPr>
                <w:color w:val="17202A"/>
                <w:sz w:val="16"/>
              </w:rPr>
              <w:t>Release engineering</w:t>
            </w:r>
          </w:p>
        </w:tc>
        <w:tc>
          <w:tcPr>
            <w:tcW w:type="dxa" w:w="2232"/>
            <w:tcMar>
              <w:top w:w="90" w:type="dxa"/>
              <w:start w:w="120" w:type="dxa"/>
              <w:bottom w:w="90" w:type="dxa"/>
              <w:end w:w="120" w:type="dxa"/>
            </w:tcMar>
            <w:vAlign w:val="center"/>
          </w:tcPr>
          <w:p>
            <w:pPr>
              <w:spacing w:after="0" w:line="259" w:lineRule="auto"/>
            </w:pPr>
            <w:r>
              <w:rPr>
                <w:color w:val="17202A"/>
                <w:sz w:val="16"/>
              </w:rPr>
              <w:t>Release authority</w:t>
            </w:r>
          </w:p>
        </w:tc>
        <w:tc>
          <w:tcPr>
            <w:tcW w:type="dxa" w:w="2419"/>
            <w:tcMar>
              <w:top w:w="90" w:type="dxa"/>
              <w:start w:w="120" w:type="dxa"/>
              <w:bottom w:w="90" w:type="dxa"/>
              <w:end w:w="120" w:type="dxa"/>
            </w:tcMar>
            <w:vAlign w:val="center"/>
          </w:tcPr>
          <w:p>
            <w:pPr>
              <w:spacing w:after="0" w:line="259" w:lineRule="auto"/>
            </w:pPr>
            <w:r>
              <w:rPr>
                <w:color w:val="17202A"/>
                <w:sz w:val="16"/>
              </w:rPr>
              <w:t>Security, environment owner</w:t>
            </w:r>
          </w:p>
        </w:tc>
      </w:tr>
      <w:tr>
        <w:tc>
          <w:tcPr>
            <w:tcW w:type="dxa" w:w="2477"/>
            <w:shd w:fill="FAFBFC"/>
            <w:tcMar>
              <w:top w:w="90" w:type="dxa"/>
              <w:start w:w="120" w:type="dxa"/>
              <w:bottom w:w="90" w:type="dxa"/>
              <w:end w:w="120" w:type="dxa"/>
            </w:tcMar>
            <w:vAlign w:val="center"/>
          </w:tcPr>
          <w:p>
            <w:pPr>
              <w:spacing w:after="0" w:line="259" w:lineRule="auto"/>
            </w:pPr>
            <w:r>
              <w:rPr>
                <w:color w:val="17202A"/>
                <w:sz w:val="16"/>
              </w:rPr>
              <w:t>Day 2 incident</w:t>
            </w:r>
          </w:p>
        </w:tc>
        <w:tc>
          <w:tcPr>
            <w:tcW w:type="dxa" w:w="2232"/>
            <w:shd w:fill="FAFBFC"/>
            <w:tcMar>
              <w:top w:w="90" w:type="dxa"/>
              <w:start w:w="120" w:type="dxa"/>
              <w:bottom w:w="90" w:type="dxa"/>
              <w:end w:w="120" w:type="dxa"/>
            </w:tcMar>
            <w:vAlign w:val="center"/>
          </w:tcPr>
          <w:p>
            <w:pPr>
              <w:spacing w:after="0" w:line="259" w:lineRule="auto"/>
            </w:pPr>
            <w:r>
              <w:rPr>
                <w:color w:val="17202A"/>
                <w:sz w:val="16"/>
              </w:rPr>
              <w:t>Factory operations</w:t>
            </w:r>
          </w:p>
        </w:tc>
        <w:tc>
          <w:tcPr>
            <w:tcW w:type="dxa" w:w="2232"/>
            <w:shd w:fill="FAFBFC"/>
            <w:tcMar>
              <w:top w:w="90" w:type="dxa"/>
              <w:start w:w="120" w:type="dxa"/>
              <w:bottom w:w="90" w:type="dxa"/>
              <w:end w:w="120" w:type="dxa"/>
            </w:tcMar>
            <w:vAlign w:val="center"/>
          </w:tcPr>
          <w:p>
            <w:pPr>
              <w:spacing w:after="0" w:line="259" w:lineRule="auto"/>
            </w:pPr>
            <w:r>
              <w:rPr>
                <w:color w:val="17202A"/>
                <w:sz w:val="16"/>
              </w:rPr>
              <w:t>Service owner</w:t>
            </w:r>
          </w:p>
        </w:tc>
        <w:tc>
          <w:tcPr>
            <w:tcW w:type="dxa" w:w="2419"/>
            <w:shd w:fill="FAFBFC"/>
            <w:tcMar>
              <w:top w:w="90" w:type="dxa"/>
              <w:start w:w="120" w:type="dxa"/>
              <w:bottom w:w="90" w:type="dxa"/>
              <w:end w:w="120" w:type="dxa"/>
            </w:tcMar>
            <w:vAlign w:val="center"/>
          </w:tcPr>
          <w:p>
            <w:pPr>
              <w:spacing w:after="0" w:line="259" w:lineRule="auto"/>
            </w:pPr>
            <w:r>
              <w:rPr>
                <w:color w:val="17202A"/>
                <w:sz w:val="16"/>
              </w:rPr>
              <w:t>Security / platform / product by fault domain</w:t>
            </w:r>
          </w:p>
        </w:tc>
      </w:tr>
      <w:tr>
        <w:tc>
          <w:tcPr>
            <w:tcW w:type="dxa" w:w="2477"/>
            <w:tcMar>
              <w:top w:w="90" w:type="dxa"/>
              <w:start w:w="120" w:type="dxa"/>
              <w:bottom w:w="90" w:type="dxa"/>
              <w:end w:w="120" w:type="dxa"/>
            </w:tcMar>
            <w:vAlign w:val="center"/>
          </w:tcPr>
          <w:p>
            <w:pPr>
              <w:spacing w:after="0" w:line="259" w:lineRule="auto"/>
            </w:pPr>
            <w:r>
              <w:rPr>
                <w:color w:val="17202A"/>
                <w:sz w:val="16"/>
              </w:rPr>
              <w:t>Gov1/Gov2 approval</w:t>
            </w:r>
          </w:p>
        </w:tc>
        <w:tc>
          <w:tcPr>
            <w:tcW w:type="dxa" w:w="2232"/>
            <w:tcMar>
              <w:top w:w="90" w:type="dxa"/>
              <w:start w:w="120" w:type="dxa"/>
              <w:bottom w:w="90" w:type="dxa"/>
              <w:end w:w="120" w:type="dxa"/>
            </w:tcMar>
            <w:vAlign w:val="center"/>
          </w:tcPr>
          <w:p>
            <w:pPr>
              <w:spacing w:after="0" w:line="259" w:lineRule="auto"/>
            </w:pPr>
            <w:r>
              <w:rPr>
                <w:color w:val="17202A"/>
                <w:sz w:val="16"/>
              </w:rPr>
              <w:t>Authorized .us approver</w:t>
            </w:r>
          </w:p>
        </w:tc>
        <w:tc>
          <w:tcPr>
            <w:tcW w:type="dxa" w:w="2232"/>
            <w:tcMar>
              <w:top w:w="90" w:type="dxa"/>
              <w:start w:w="120" w:type="dxa"/>
              <w:bottom w:w="90" w:type="dxa"/>
              <w:end w:w="120" w:type="dxa"/>
            </w:tcMar>
            <w:vAlign w:val="center"/>
          </w:tcPr>
          <w:p>
            <w:pPr>
              <w:spacing w:after="0" w:line="259" w:lineRule="auto"/>
            </w:pPr>
            <w:r>
              <w:rPr>
                <w:color w:val="17202A"/>
                <w:sz w:val="16"/>
              </w:rPr>
              <w:t>Environment release authority</w:t>
            </w:r>
          </w:p>
        </w:tc>
        <w:tc>
          <w:tcPr>
            <w:tcW w:type="dxa" w:w="2419"/>
            <w:tcMar>
              <w:top w:w="90" w:type="dxa"/>
              <w:start w:w="120" w:type="dxa"/>
              <w:bottom w:w="90" w:type="dxa"/>
              <w:end w:w="120" w:type="dxa"/>
            </w:tcMar>
            <w:vAlign w:val="center"/>
          </w:tcPr>
          <w:p>
            <w:pPr>
              <w:spacing w:after="0" w:line="259" w:lineRule="auto"/>
            </w:pPr>
            <w:r>
              <w:rPr>
                <w:color w:val="17202A"/>
                <w:sz w:val="16"/>
              </w:rPr>
              <w:t>Security and audit</w:t>
            </w:r>
          </w:p>
        </w:tc>
      </w:tr>
    </w:tbl>
    <w:p>
      <w:pPr>
        <w:pStyle w:val="Heading2"/>
      </w:pPr>
      <w:r>
        <w:t>Escalation evidence bundle</w:t>
      </w:r>
    </w:p>
    <w:p>
      <w:pPr>
        <w:pStyle w:val="ListBullet"/>
      </w:pPr>
      <w:r>
        <w:t>Pipeline URL and job ID; image/catalog name; source commit; candidate digest; target environment.</w:t>
      </w:r>
    </w:p>
    <w:p>
      <w:pPr>
        <w:pStyle w:val="ListBullet"/>
      </w:pPr>
      <w:r>
        <w:t>Resource-lock digest, RPM snapshot ID, toolchain digest, security-data bundle digest and age.</w:t>
      </w:r>
    </w:p>
    <w:p>
      <w:pPr>
        <w:pStyle w:val="ListBullet"/>
      </w:pPr>
      <w:r>
        <w:t>Relevant logs, normalized findings, compliance result, test result, OPA decision and signatures.</w:t>
      </w:r>
    </w:p>
    <w:p>
      <w:pPr>
        <w:pStyle w:val="ListBullet"/>
      </w:pPr>
      <w:r>
        <w:t>Last known good digest and the proposed containment or rollback action.</w:t>
      </w:r>
    </w:p>
    <w:p>
      <w:pPr>
        <w:pStyle w:val="ListBullet"/>
      </w:pPr>
      <w:r>
        <w:t>Owner, severity, timeline, and decision needed.</w:t>
      </w:r>
    </w:p>
    <w:p>
      <w:pPr>
        <w:pStyle w:val="Heading1"/>
      </w:pPr>
      <w:r>
        <w:t>16. Metrics and service health</w:t>
      </w:r>
    </w:p>
    <w:p>
      <w:r>
        <w:t>Metrics should prove that the release system is trustworthy and operable. Initial targets below are recommended bootstrap targets; adopt formal SLOs only after measuring the deployed environment.</w:t>
      </w:r>
    </w:p>
    <w:tbl>
      <w:tblPr>
        <w:tblStyle w:val="TableGrid"/>
        <w:tblW w:type="dxa" w:w="9360"/>
        <w:jc w:val="left"/>
        <w:tblLayout w:type="fixed"/>
        <w:tblLook w:firstColumn="1" w:firstRow="1" w:lastColumn="0" w:lastRow="0" w:noHBand="0" w:noVBand="1" w:val="04A0"/>
        <w:tblInd w:w="120" w:type="dxa"/>
      </w:tblPr>
      <w:tblGrid>
        <w:gridCol w:w="2664"/>
        <w:gridCol w:w="2088"/>
        <w:gridCol w:w="4608"/>
      </w:tblGrid>
      <w:tr>
        <w:trPr>
          <w:tblHeader w:val="true"/>
        </w:trPr>
        <w:tc>
          <w:tcPr>
            <w:tcW w:type="dxa" w:w="2664"/>
            <w:shd w:fill="E8EEF5"/>
            <w:tcMar>
              <w:top w:w="90" w:type="dxa"/>
              <w:start w:w="120" w:type="dxa"/>
              <w:bottom w:w="90" w:type="dxa"/>
              <w:end w:w="120" w:type="dxa"/>
            </w:tcMar>
            <w:vAlign w:val="center"/>
          </w:tcPr>
          <w:p>
            <w:pPr>
              <w:spacing w:after="0"/>
            </w:pPr>
            <w:r>
              <w:rPr>
                <w:b/>
                <w:color w:val="17324D"/>
                <w:sz w:val="17"/>
              </w:rPr>
              <w:t>Measure</w:t>
            </w:r>
          </w:p>
        </w:tc>
        <w:tc>
          <w:tcPr>
            <w:tcW w:type="dxa" w:w="2088"/>
            <w:shd w:fill="E8EEF5"/>
            <w:tcMar>
              <w:top w:w="90" w:type="dxa"/>
              <w:start w:w="120" w:type="dxa"/>
              <w:bottom w:w="90" w:type="dxa"/>
              <w:end w:w="120" w:type="dxa"/>
            </w:tcMar>
            <w:vAlign w:val="center"/>
          </w:tcPr>
          <w:p>
            <w:pPr>
              <w:spacing w:after="0"/>
            </w:pPr>
            <w:r>
              <w:rPr>
                <w:b/>
                <w:color w:val="17324D"/>
                <w:sz w:val="17"/>
              </w:rPr>
              <w:t>Bootstrap target</w:t>
            </w:r>
          </w:p>
        </w:tc>
        <w:tc>
          <w:tcPr>
            <w:tcW w:type="dxa" w:w="4608"/>
            <w:shd w:fill="E8EEF5"/>
            <w:tcMar>
              <w:top w:w="90" w:type="dxa"/>
              <w:start w:w="120" w:type="dxa"/>
              <w:bottom w:w="90" w:type="dxa"/>
              <w:end w:w="120" w:type="dxa"/>
            </w:tcMar>
            <w:vAlign w:val="center"/>
          </w:tcPr>
          <w:p>
            <w:pPr>
              <w:spacing w:after="0"/>
            </w:pPr>
            <w:r>
              <w:rPr>
                <w:b/>
                <w:color w:val="17324D"/>
                <w:sz w:val="17"/>
              </w:rPr>
              <w:t>Why it matters</w:t>
            </w:r>
          </w:p>
        </w:tc>
      </w:tr>
      <w:tr>
        <w:tc>
          <w:tcPr>
            <w:tcW w:type="dxa" w:w="2664"/>
            <w:tcMar>
              <w:top w:w="90" w:type="dxa"/>
              <w:start w:w="120" w:type="dxa"/>
              <w:bottom w:w="90" w:type="dxa"/>
              <w:end w:w="120" w:type="dxa"/>
            </w:tcMar>
            <w:vAlign w:val="center"/>
          </w:tcPr>
          <w:p>
            <w:pPr>
              <w:spacing w:after="0" w:line="259" w:lineRule="auto"/>
            </w:pPr>
            <w:r>
              <w:rPr>
                <w:color w:val="17202A"/>
                <w:sz w:val="17"/>
              </w:rPr>
              <w:t>Security-data age at evaluation</w:t>
            </w:r>
          </w:p>
        </w:tc>
        <w:tc>
          <w:tcPr>
            <w:tcW w:type="dxa" w:w="2088"/>
            <w:tcMar>
              <w:top w:w="90" w:type="dxa"/>
              <w:start w:w="120" w:type="dxa"/>
              <w:bottom w:w="90" w:type="dxa"/>
              <w:end w:w="120" w:type="dxa"/>
            </w:tcMar>
            <w:vAlign w:val="center"/>
          </w:tcPr>
          <w:p>
            <w:r>
              <w:t>Monitor &lt;= 72 hours (informational today)</w:t>
            </w:r>
          </w:p>
        </w:tc>
        <w:tc>
          <w:tcPr>
            <w:tcW w:type="dxa" w:w="4608"/>
            <w:tcMar>
              <w:top w:w="90" w:type="dxa"/>
              <w:start w:w="120" w:type="dxa"/>
              <w:bottom w:w="90" w:type="dxa"/>
              <w:end w:w="120" w:type="dxa"/>
            </w:tcMar>
            <w:vAlign w:val="center"/>
          </w:tcPr>
          <w:p>
            <w:r>
              <w:t>Implement a Rego age rule before describing freshness as release-blocking</w:t>
            </w:r>
          </w:p>
        </w:tc>
      </w:tr>
      <w:tr>
        <w:tc>
          <w:tcPr>
            <w:tcW w:type="dxa" w:w="2664"/>
            <w:shd w:fill="FAFBFC"/>
            <w:tcMar>
              <w:top w:w="90" w:type="dxa"/>
              <w:start w:w="120" w:type="dxa"/>
              <w:bottom w:w="90" w:type="dxa"/>
              <w:end w:w="120" w:type="dxa"/>
            </w:tcMar>
            <w:vAlign w:val="center"/>
          </w:tcPr>
          <w:p>
            <w:pPr>
              <w:spacing w:after="0" w:line="259" w:lineRule="auto"/>
            </w:pPr>
            <w:r>
              <w:rPr>
                <w:color w:val="17202A"/>
                <w:sz w:val="17"/>
              </w:rPr>
              <w:t>Evidence completeness</w:t>
            </w:r>
          </w:p>
        </w:tc>
        <w:tc>
          <w:tcPr>
            <w:tcW w:type="dxa" w:w="2088"/>
            <w:shd w:fill="FAFBFC"/>
            <w:tcMar>
              <w:top w:w="90" w:type="dxa"/>
              <w:start w:w="120" w:type="dxa"/>
              <w:bottom w:w="90" w:type="dxa"/>
              <w:end w:w="120" w:type="dxa"/>
            </w:tcMar>
            <w:vAlign w:val="center"/>
          </w:tcPr>
          <w:p>
            <w:r>
              <w:t>Production hardening: 100%</w:t>
            </w:r>
          </w:p>
        </w:tc>
        <w:tc>
          <w:tcPr>
            <w:tcW w:type="dxa" w:w="4608"/>
            <w:shd w:fill="FAFBFC"/>
            <w:tcMar>
              <w:top w:w="90" w:type="dxa"/>
              <w:start w:w="120" w:type="dxa"/>
              <w:bottom w:w="90" w:type="dxa"/>
              <w:end w:w="120" w:type="dxa"/>
            </w:tcMar>
            <w:vAlign w:val="center"/>
          </w:tcPr>
          <w:p>
            <w:r>
              <w:t>Current promotion copies referrers but does not verify a required-predicate manifest</w:t>
            </w:r>
          </w:p>
        </w:tc>
      </w:tr>
      <w:tr>
        <w:tc>
          <w:tcPr>
            <w:tcW w:type="dxa" w:w="2664"/>
            <w:tcMar>
              <w:top w:w="90" w:type="dxa"/>
              <w:start w:w="120" w:type="dxa"/>
              <w:bottom w:w="90" w:type="dxa"/>
              <w:end w:w="120" w:type="dxa"/>
            </w:tcMar>
            <w:vAlign w:val="center"/>
          </w:tcPr>
          <w:p>
            <w:pPr>
              <w:spacing w:after="0" w:line="259" w:lineRule="auto"/>
            </w:pPr>
            <w:r>
              <w:rPr>
                <w:color w:val="17202A"/>
                <w:sz w:val="17"/>
              </w:rPr>
              <w:t>Digest preservation</w:t>
            </w:r>
          </w:p>
        </w:tc>
        <w:tc>
          <w:tcPr>
            <w:tcW w:type="dxa" w:w="2088"/>
            <w:tcMar>
              <w:top w:w="90" w:type="dxa"/>
              <w:start w:w="120" w:type="dxa"/>
              <w:bottom w:w="90" w:type="dxa"/>
              <w:end w:w="120" w:type="dxa"/>
            </w:tcMar>
            <w:vAlign w:val="center"/>
          </w:tcPr>
          <w:p>
            <w:pPr>
              <w:spacing w:after="0" w:line="259" w:lineRule="auto"/>
            </w:pPr>
            <w:r>
              <w:rPr>
                <w:color w:val="17202A"/>
                <w:sz w:val="17"/>
              </w:rPr>
              <w:t>100% source = target</w:t>
            </w:r>
          </w:p>
        </w:tc>
        <w:tc>
          <w:tcPr>
            <w:tcW w:type="dxa" w:w="4608"/>
            <w:tcMar>
              <w:top w:w="90" w:type="dxa"/>
              <w:start w:w="120" w:type="dxa"/>
              <w:bottom w:w="90" w:type="dxa"/>
              <w:end w:w="120" w:type="dxa"/>
            </w:tcMar>
            <w:vAlign w:val="center"/>
          </w:tcPr>
          <w:p>
            <w:pPr>
              <w:spacing w:after="0" w:line="259" w:lineRule="auto"/>
            </w:pPr>
            <w:r>
              <w:rPr>
                <w:color w:val="17202A"/>
                <w:sz w:val="17"/>
              </w:rPr>
              <w:t>No rebuild or mutation across environments</w:t>
            </w:r>
          </w:p>
        </w:tc>
      </w:tr>
      <w:tr>
        <w:tc>
          <w:tcPr>
            <w:tcW w:type="dxa" w:w="2664"/>
            <w:shd w:fill="FAFBFC"/>
            <w:tcMar>
              <w:top w:w="90" w:type="dxa"/>
              <w:start w:w="120" w:type="dxa"/>
              <w:bottom w:w="90" w:type="dxa"/>
              <w:end w:w="120" w:type="dxa"/>
            </w:tcMar>
            <w:vAlign w:val="center"/>
          </w:tcPr>
          <w:p>
            <w:pPr>
              <w:spacing w:after="0" w:line="259" w:lineRule="auto"/>
            </w:pPr>
            <w:r>
              <w:rPr>
                <w:color w:val="17202A"/>
                <w:sz w:val="17"/>
              </w:rPr>
              <w:t>External egress from offline runners</w:t>
            </w:r>
          </w:p>
        </w:tc>
        <w:tc>
          <w:tcPr>
            <w:tcW w:type="dxa" w:w="2088"/>
            <w:shd w:fill="FAFBFC"/>
            <w:tcMar>
              <w:top w:w="90" w:type="dxa"/>
              <w:start w:w="120" w:type="dxa"/>
              <w:bottom w:w="90" w:type="dxa"/>
              <w:end w:w="120" w:type="dxa"/>
            </w:tcMar>
            <w:vAlign w:val="center"/>
          </w:tcPr>
          <w:p>
            <w:pPr>
              <w:spacing w:after="0" w:line="259" w:lineRule="auto"/>
            </w:pPr>
            <w:r>
              <w:rPr>
                <w:color w:val="17202A"/>
                <w:sz w:val="17"/>
              </w:rPr>
              <w:t>0 connections</w:t>
            </w:r>
          </w:p>
        </w:tc>
        <w:tc>
          <w:tcPr>
            <w:tcW w:type="dxa" w:w="4608"/>
            <w:shd w:fill="FAFBFC"/>
            <w:tcMar>
              <w:top w:w="90" w:type="dxa"/>
              <w:start w:w="120" w:type="dxa"/>
              <w:bottom w:w="90" w:type="dxa"/>
              <w:end w:w="120" w:type="dxa"/>
            </w:tcMar>
            <w:vAlign w:val="center"/>
          </w:tcPr>
          <w:p>
            <w:pPr>
              <w:spacing w:after="0" w:line="259" w:lineRule="auto"/>
            </w:pPr>
            <w:r>
              <w:rPr>
                <w:color w:val="17202A"/>
                <w:sz w:val="17"/>
              </w:rPr>
              <w:t>Air-gap and supply-chain boundary remains intact</w:t>
            </w:r>
          </w:p>
        </w:tc>
      </w:tr>
      <w:tr>
        <w:tc>
          <w:tcPr>
            <w:tcW w:type="dxa" w:w="2664"/>
            <w:tcMar>
              <w:top w:w="90" w:type="dxa"/>
              <w:start w:w="120" w:type="dxa"/>
              <w:bottom w:w="90" w:type="dxa"/>
              <w:end w:w="120" w:type="dxa"/>
            </w:tcMar>
            <w:vAlign w:val="center"/>
          </w:tcPr>
          <w:p>
            <w:pPr>
              <w:spacing w:after="0" w:line="259" w:lineRule="auto"/>
            </w:pPr>
            <w:r>
              <w:rPr>
                <w:color w:val="17202A"/>
                <w:sz w:val="17"/>
              </w:rPr>
              <w:t>Unauthorized release writes</w:t>
            </w:r>
          </w:p>
        </w:tc>
        <w:tc>
          <w:tcPr>
            <w:tcW w:type="dxa" w:w="2088"/>
            <w:tcMar>
              <w:top w:w="90" w:type="dxa"/>
              <w:start w:w="120" w:type="dxa"/>
              <w:bottom w:w="90" w:type="dxa"/>
              <w:end w:w="120" w:type="dxa"/>
            </w:tcMar>
            <w:vAlign w:val="center"/>
          </w:tcPr>
          <w:p>
            <w:pPr>
              <w:spacing w:after="0" w:line="259" w:lineRule="auto"/>
            </w:pPr>
            <w:r>
              <w:rPr>
                <w:color w:val="17202A"/>
                <w:sz w:val="17"/>
              </w:rPr>
              <w:t>0 events</w:t>
            </w:r>
          </w:p>
        </w:tc>
        <w:tc>
          <w:tcPr>
            <w:tcW w:type="dxa" w:w="4608"/>
            <w:tcMar>
              <w:top w:w="90" w:type="dxa"/>
              <w:start w:w="120" w:type="dxa"/>
              <w:bottom w:w="90" w:type="dxa"/>
              <w:end w:w="120" w:type="dxa"/>
            </w:tcMar>
            <w:vAlign w:val="center"/>
          </w:tcPr>
          <w:p>
            <w:pPr>
              <w:spacing w:after="0" w:line="259" w:lineRule="auto"/>
            </w:pPr>
            <w:r>
              <w:rPr>
                <w:color w:val="17202A"/>
                <w:sz w:val="17"/>
              </w:rPr>
              <w:t>Least privilege and protected workflows hold</w:t>
            </w:r>
          </w:p>
        </w:tc>
      </w:tr>
      <w:tr>
        <w:tc>
          <w:tcPr>
            <w:tcW w:type="dxa" w:w="2664"/>
            <w:shd w:fill="FAFBFC"/>
            <w:tcMar>
              <w:top w:w="90" w:type="dxa"/>
              <w:start w:w="120" w:type="dxa"/>
              <w:bottom w:w="90" w:type="dxa"/>
              <w:end w:w="120" w:type="dxa"/>
            </w:tcMar>
            <w:vAlign w:val="center"/>
          </w:tcPr>
          <w:p>
            <w:pPr>
              <w:spacing w:after="0" w:line="259" w:lineRule="auto"/>
            </w:pPr>
            <w:r>
              <w:rPr>
                <w:color w:val="17202A"/>
                <w:sz w:val="17"/>
              </w:rPr>
              <w:t>Exception hygiene</w:t>
            </w:r>
          </w:p>
        </w:tc>
        <w:tc>
          <w:tcPr>
            <w:tcW w:type="dxa" w:w="2088"/>
            <w:shd w:fill="FAFBFC"/>
            <w:tcMar>
              <w:top w:w="90" w:type="dxa"/>
              <w:start w:w="120" w:type="dxa"/>
              <w:bottom w:w="90" w:type="dxa"/>
              <w:end w:w="120" w:type="dxa"/>
            </w:tcMar>
            <w:vAlign w:val="center"/>
          </w:tcPr>
          <w:p>
            <w:r>
              <w:t>Roadmap: 0 expired active exceptions</w:t>
            </w:r>
          </w:p>
        </w:tc>
        <w:tc>
          <w:tcPr>
            <w:tcW w:type="dxa" w:w="4608"/>
            <w:shd w:fill="FAFBFC"/>
            <w:tcMar>
              <w:top w:w="90" w:type="dxa"/>
              <w:start w:w="120" w:type="dxa"/>
              <w:bottom w:w="90" w:type="dxa"/>
              <w:end w:w="120" w:type="dxa"/>
            </w:tcMar>
            <w:vAlign w:val="center"/>
          </w:tcPr>
          <w:p>
            <w:r>
              <w:t>Exception data exists but is not currently evaluated by Rego</w:t>
            </w:r>
          </w:p>
        </w:tc>
      </w:tr>
      <w:tr>
        <w:tc>
          <w:tcPr>
            <w:tcW w:type="dxa" w:w="2664"/>
            <w:tcMar>
              <w:top w:w="90" w:type="dxa"/>
              <w:start w:w="120" w:type="dxa"/>
              <w:bottom w:w="90" w:type="dxa"/>
              <w:end w:w="120" w:type="dxa"/>
            </w:tcMar>
            <w:vAlign w:val="center"/>
          </w:tcPr>
          <w:p>
            <w:pPr>
              <w:spacing w:after="0" w:line="259" w:lineRule="auto"/>
            </w:pPr>
            <w:r>
              <w:rPr>
                <w:color w:val="17202A"/>
                <w:sz w:val="17"/>
              </w:rPr>
              <w:t>Rollback readiness</w:t>
            </w:r>
          </w:p>
        </w:tc>
        <w:tc>
          <w:tcPr>
            <w:tcW w:type="dxa" w:w="2088"/>
            <w:tcMar>
              <w:top w:w="90" w:type="dxa"/>
              <w:start w:w="120" w:type="dxa"/>
              <w:bottom w:w="90" w:type="dxa"/>
              <w:end w:w="120" w:type="dxa"/>
            </w:tcMar>
            <w:vAlign w:val="center"/>
          </w:tcPr>
          <w:p>
            <w:pPr>
              <w:spacing w:after="0" w:line="259" w:lineRule="auto"/>
            </w:pPr>
            <w:r>
              <w:rPr>
                <w:color w:val="17202A"/>
                <w:sz w:val="17"/>
              </w:rPr>
              <w:t>Monthly verified</w:t>
            </w:r>
          </w:p>
        </w:tc>
        <w:tc>
          <w:tcPr>
            <w:tcW w:type="dxa" w:w="4608"/>
            <w:tcMar>
              <w:top w:w="90" w:type="dxa"/>
              <w:start w:w="120" w:type="dxa"/>
              <w:bottom w:w="90" w:type="dxa"/>
              <w:end w:w="120" w:type="dxa"/>
            </w:tcMar>
            <w:vAlign w:val="center"/>
          </w:tcPr>
          <w:p>
            <w:pPr>
              <w:spacing w:after="0" w:line="259" w:lineRule="auto"/>
            </w:pPr>
            <w:r>
              <w:rPr>
                <w:color w:val="17202A"/>
                <w:sz w:val="17"/>
              </w:rPr>
              <w:t>Last approved digest can be restored under pressure</w:t>
            </w:r>
          </w:p>
        </w:tc>
      </w:tr>
      <w:tr>
        <w:tc>
          <w:tcPr>
            <w:tcW w:type="dxa" w:w="2664"/>
            <w:shd w:fill="FAFBFC"/>
            <w:tcMar>
              <w:top w:w="90" w:type="dxa"/>
              <w:start w:w="120" w:type="dxa"/>
              <w:bottom w:w="90" w:type="dxa"/>
              <w:end w:w="120" w:type="dxa"/>
            </w:tcMar>
            <w:vAlign w:val="center"/>
          </w:tcPr>
          <w:p>
            <w:pPr>
              <w:spacing w:after="0" w:line="259" w:lineRule="auto"/>
            </w:pPr>
            <w:r>
              <w:rPr>
                <w:color w:val="17202A"/>
                <w:sz w:val="17"/>
              </w:rPr>
              <w:t>Patch MR verification</w:t>
            </w:r>
          </w:p>
        </w:tc>
        <w:tc>
          <w:tcPr>
            <w:tcW w:type="dxa" w:w="2088"/>
            <w:shd w:fill="FAFBFC"/>
            <w:tcMar>
              <w:top w:w="90" w:type="dxa"/>
              <w:start w:w="120" w:type="dxa"/>
              <w:bottom w:w="90" w:type="dxa"/>
              <w:end w:w="120" w:type="dxa"/>
            </w:tcMar>
            <w:vAlign w:val="center"/>
          </w:tcPr>
          <w:p>
            <w:pPr>
              <w:spacing w:after="0" w:line="259" w:lineRule="auto"/>
            </w:pPr>
            <w:r>
              <w:rPr>
                <w:color w:val="17202A"/>
                <w:sz w:val="17"/>
              </w:rPr>
              <w:t>100% clean-checkout rebuild</w:t>
            </w:r>
          </w:p>
        </w:tc>
        <w:tc>
          <w:tcPr>
            <w:tcW w:type="dxa" w:w="4608"/>
            <w:shd w:fill="FAFBFC"/>
            <w:tcMar>
              <w:top w:w="90" w:type="dxa"/>
              <w:start w:w="120" w:type="dxa"/>
              <w:bottom w:w="90" w:type="dxa"/>
              <w:end w:w="120" w:type="dxa"/>
            </w:tcMar>
            <w:vAlign w:val="center"/>
          </w:tcPr>
          <w:p>
            <w:pPr>
              <w:spacing w:after="0" w:line="259" w:lineRule="auto"/>
            </w:pPr>
            <w:r>
              <w:rPr>
                <w:color w:val="17202A"/>
                <w:sz w:val="17"/>
              </w:rPr>
              <w:t>AI proposals cannot bypass deterministic verification</w:t>
            </w:r>
          </w:p>
        </w:tc>
      </w:tr>
    </w:tbl>
    <w:p>
      <w:pPr>
        <w:pStyle w:val="Heading2"/>
      </w:pPr>
      <w:r>
        <w:t>Recommended dashboards and alerts</w:t>
      </w:r>
    </w:p>
    <w:p>
      <w:pPr>
        <w:pStyle w:val="ListBullet"/>
      </w:pPr>
      <w:r>
        <w:t>Pipeline outcomes by stage, image, runner class, and failure class.</w:t>
      </w:r>
    </w:p>
    <w:p>
      <w:pPr>
        <w:pStyle w:val="ListBullet"/>
      </w:pPr>
      <w:r>
        <w:t>Security-data and RPM snapshot freshness; next exception expiry; source mirror drift.</w:t>
      </w:r>
    </w:p>
    <w:p>
      <w:pPr>
        <w:pStyle w:val="ListBullet"/>
      </w:pPr>
      <w:r>
        <w:t>Quarantine-to-release lead time and approval wait time.</w:t>
      </w:r>
    </w:p>
    <w:p>
      <w:pPr>
        <w:pStyle w:val="ListBullet"/>
      </w:pPr>
      <w:r>
        <w:t>Open KEV/Critical/fixable High/new High findings by digest and owner.</w:t>
      </w:r>
    </w:p>
    <w:p>
      <w:pPr>
        <w:pStyle w:val="ListBullet"/>
      </w:pPr>
      <w:r>
        <w:t>Cosign signing failures, FCS policy/API failures, Artifactory OIDC failures, and promotion referrer mismatches.</w:t>
      </w:r>
    </w:p>
    <w:p>
      <w:pPr>
        <w:pStyle w:val="ListBullet"/>
      </w:pPr>
      <w:r>
        <w:t>Artifactory storage/capacity and garbage-collection safety for referenced digests.</w:t>
      </w:r>
    </w:p>
    <w:p>
      <w:pPr>
        <w:pStyle w:val="Heading1"/>
      </w:pPr>
      <w:r>
        <w:t>17. Contributor onboarding</w:t>
      </w:r>
    </w:p>
    <w:p>
      <w:pPr>
        <w:pStyle w:val="Heading2"/>
      </w:pPr>
      <w:r>
        <w:t>First-week checklist</w:t>
      </w:r>
    </w:p>
    <w:p>
      <w:pPr>
        <w:pStyle w:val="ListBullet"/>
      </w:pPr>
      <w:r>
        <w:t>Read this guide, README.md, IMPLEMENTATION_PLAN.md, docs/operations.md, docs/evidence-model.md, and SECURITY.md.</w:t>
      </w:r>
    </w:p>
    <w:p>
      <w:pPr>
        <w:pStyle w:val="ListBullet"/>
      </w:pPr>
      <w:r>
        <w:t>Understand which runner class and credential owns each stage; never collapse roles for convenience.</w:t>
      </w:r>
    </w:p>
    <w:p>
      <w:pPr>
        <w:pStyle w:val="ListBullet"/>
      </w:pPr>
      <w:r>
        <w:t>Run catalog validation and unit tests locally with no production credentials.</w:t>
      </w:r>
    </w:p>
    <w:p>
      <w:pPr>
        <w:pStyle w:val="ListBullet"/>
      </w:pPr>
      <w:r>
        <w:t>Render a child pipeline for an application-only change and a UBI 9 change; compare selected nodes.</w:t>
      </w:r>
    </w:p>
    <w:p>
      <w:pPr>
        <w:pStyle w:val="ListBullet"/>
      </w:pPr>
      <w:r>
        <w:t>Review one resource lock, one SBOM, one normalized finding set, one OPA decision, and one promotion evidence closure.</w:t>
      </w:r>
    </w:p>
    <w:p>
      <w:pPr>
        <w:pStyle w:val="ListBullet"/>
      </w:pPr>
      <w:r>
        <w:t>Practice a failed checksum, missing/denied FCS result, failed product test, digest mismatch, and rollback scenario in a non-production environment.</w:t>
      </w:r>
    </w:p>
    <w:p>
      <w:pPr>
        <w:pStyle w:val="ListBullet"/>
      </w:pPr>
      <w:r>
        <w:t>Submit changes through merge requests with CODEOWNERS review; do not edit generated evidence manually.</w:t>
      </w:r>
    </w:p>
    <w:p>
      <w:pPr>
        <w:pStyle w:val="Heading2"/>
      </w:pPr>
      <w:r>
        <w:t>Repository orientation</w:t>
      </w: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90" w:type="dxa"/>
              <w:start w:w="120" w:type="dxa"/>
              <w:bottom w:w="90" w:type="dxa"/>
              <w:end w:w="120" w:type="dxa"/>
            </w:tcMar>
            <w:vAlign w:val="center"/>
          </w:tcPr>
          <w:p>
            <w:pPr>
              <w:spacing w:after="0"/>
            </w:pPr>
            <w:r>
              <w:rPr>
                <w:b/>
                <w:color w:val="17324D"/>
                <w:sz w:val="18"/>
              </w:rPr>
              <w:t>Path</w:t>
            </w:r>
          </w:p>
        </w:tc>
        <w:tc>
          <w:tcPr>
            <w:tcW w:type="dxa" w:w="7056"/>
            <w:shd w:fill="E8EEF5"/>
            <w:tcMar>
              <w:top w:w="90" w:type="dxa"/>
              <w:start w:w="120" w:type="dxa"/>
              <w:bottom w:w="90" w:type="dxa"/>
              <w:end w:w="120" w:type="dxa"/>
            </w:tcMar>
            <w:vAlign w:val="center"/>
          </w:tcPr>
          <w:p>
            <w:pPr>
              <w:spacing w:after="0"/>
            </w:pPr>
            <w:r>
              <w:rPr>
                <w:b/>
                <w:color w:val="17324D"/>
                <w:sz w:val="18"/>
              </w:rPr>
              <w:t>Purpose</w:t>
            </w:r>
          </w:p>
        </w:tc>
      </w:tr>
      <w:tr>
        <w:tc>
          <w:tcPr>
            <w:tcW w:type="dxa" w:w="2304"/>
            <w:tcMar>
              <w:top w:w="90" w:type="dxa"/>
              <w:start w:w="120" w:type="dxa"/>
              <w:bottom w:w="90" w:type="dxa"/>
              <w:end w:w="120" w:type="dxa"/>
            </w:tcMar>
            <w:vAlign w:val="center"/>
          </w:tcPr>
          <w:p>
            <w:pPr>
              <w:spacing w:after="0" w:line="259" w:lineRule="auto"/>
            </w:pPr>
            <w:r>
              <w:rPr>
                <w:color w:val="17202A"/>
                <w:sz w:val="18"/>
              </w:rPr>
              <w:t>catalog/images/</w:t>
            </w:r>
          </w:p>
        </w:tc>
        <w:tc>
          <w:tcPr>
            <w:tcW w:type="dxa" w:w="7056"/>
            <w:tcMar>
              <w:top w:w="90" w:type="dxa"/>
              <w:start w:w="120" w:type="dxa"/>
              <w:bottom w:w="90" w:type="dxa"/>
              <w:end w:w="120" w:type="dxa"/>
            </w:tcMar>
            <w:vAlign w:val="center"/>
          </w:tcPr>
          <w:p>
            <w:pPr>
              <w:spacing w:after="0" w:line="259" w:lineRule="auto"/>
            </w:pPr>
            <w:r>
              <w:rPr>
                <w:color w:val="17202A"/>
                <w:sz w:val="18"/>
              </w:rPr>
              <w:t>Pinned sources, dependencies, policy profile, publication target</w:t>
            </w:r>
          </w:p>
        </w:tc>
      </w:tr>
      <w:tr>
        <w:tc>
          <w:tcPr>
            <w:tcW w:type="dxa" w:w="2304"/>
            <w:shd w:fill="FAFBFC"/>
            <w:tcMar>
              <w:top w:w="90" w:type="dxa"/>
              <w:start w:w="120" w:type="dxa"/>
              <w:bottom w:w="90" w:type="dxa"/>
              <w:end w:w="120" w:type="dxa"/>
            </w:tcMar>
            <w:vAlign w:val="center"/>
          </w:tcPr>
          <w:p>
            <w:pPr>
              <w:spacing w:after="0" w:line="259" w:lineRule="auto"/>
            </w:pPr>
            <w:r>
              <w:rPr>
                <w:color w:val="17202A"/>
                <w:sz w:val="18"/>
              </w:rPr>
              <w:t>overlays/</w:t>
            </w:r>
          </w:p>
        </w:tc>
        <w:tc>
          <w:tcPr>
            <w:tcW w:type="dxa" w:w="7056"/>
            <w:shd w:fill="FAFBFC"/>
            <w:tcMar>
              <w:top w:w="90" w:type="dxa"/>
              <w:start w:w="120" w:type="dxa"/>
              <w:bottom w:w="90" w:type="dxa"/>
              <w:end w:w="120" w:type="dxa"/>
            </w:tcMar>
            <w:vAlign w:val="center"/>
          </w:tcPr>
          <w:p>
            <w:pPr>
              <w:spacing w:after="0" w:line="259" w:lineRule="auto"/>
            </w:pPr>
            <w:r>
              <w:rPr>
                <w:color w:val="17202A"/>
                <w:sz w:val="18"/>
              </w:rPr>
              <w:t>Reviewed product/base patches applied to clean upstream checkouts</w:t>
            </w:r>
          </w:p>
        </w:tc>
      </w:tr>
      <w:tr>
        <w:tc>
          <w:tcPr>
            <w:tcW w:type="dxa" w:w="2304"/>
            <w:tcMar>
              <w:top w:w="90" w:type="dxa"/>
              <w:start w:w="120" w:type="dxa"/>
              <w:bottom w:w="90" w:type="dxa"/>
              <w:end w:w="120" w:type="dxa"/>
            </w:tcMar>
            <w:vAlign w:val="center"/>
          </w:tcPr>
          <w:p>
            <w:pPr>
              <w:spacing w:after="0" w:line="259" w:lineRule="auto"/>
            </w:pPr>
            <w:r>
              <w:rPr>
                <w:color w:val="17202A"/>
                <w:sz w:val="18"/>
              </w:rPr>
              <w:t>factory/</w:t>
            </w:r>
          </w:p>
        </w:tc>
        <w:tc>
          <w:tcPr>
            <w:tcW w:type="dxa" w:w="7056"/>
            <w:tcMar>
              <w:top w:w="90" w:type="dxa"/>
              <w:start w:w="120" w:type="dxa"/>
              <w:bottom w:w="90" w:type="dxa"/>
              <w:end w:w="120" w:type="dxa"/>
            </w:tcMar>
            <w:vAlign w:val="center"/>
          </w:tcPr>
          <w:p>
            <w:pPr>
              <w:spacing w:after="0" w:line="259" w:lineRule="auto"/>
            </w:pPr>
            <w:r>
              <w:rPr>
                <w:color w:val="17202A"/>
                <w:sz w:val="18"/>
              </w:rPr>
              <w:t>Catalog validation, intake, pipeline generation, finding normalization, gate input</w:t>
            </w:r>
          </w:p>
        </w:tc>
      </w:tr>
      <w:tr>
        <w:tc>
          <w:tcPr>
            <w:tcW w:type="dxa" w:w="2304"/>
            <w:shd w:fill="FAFBFC"/>
            <w:tcMar>
              <w:top w:w="90" w:type="dxa"/>
              <w:start w:w="120" w:type="dxa"/>
              <w:bottom w:w="90" w:type="dxa"/>
              <w:end w:w="120" w:type="dxa"/>
            </w:tcMar>
            <w:vAlign w:val="center"/>
          </w:tcPr>
          <w:p>
            <w:pPr>
              <w:spacing w:after="0" w:line="259" w:lineRule="auto"/>
            </w:pPr>
            <w:r>
              <w:rPr>
                <w:color w:val="17202A"/>
                <w:sz w:val="18"/>
              </w:rPr>
              <w:t>scripts/</w:t>
            </w:r>
          </w:p>
        </w:tc>
        <w:tc>
          <w:tcPr>
            <w:tcW w:type="dxa" w:w="7056"/>
            <w:shd w:fill="FAFBFC"/>
            <w:tcMar>
              <w:top w:w="90" w:type="dxa"/>
              <w:start w:w="120" w:type="dxa"/>
              <w:bottom w:w="90" w:type="dxa"/>
              <w:end w:w="120" w:type="dxa"/>
            </w:tcMar>
            <w:vAlign w:val="center"/>
          </w:tcPr>
          <w:p>
            <w:pPr>
              <w:spacing w:after="0" w:line="259" w:lineRule="auto"/>
            </w:pPr>
            <w:r>
              <w:rPr>
                <w:color w:val="17202A"/>
                <w:sz w:val="18"/>
              </w:rPr>
              <w:t>Intake, build, scan, compliance, test, sign, import, promote, AI broker helpers</w:t>
            </w:r>
          </w:p>
        </w:tc>
      </w:tr>
      <w:tr>
        <w:tc>
          <w:tcPr>
            <w:tcW w:type="dxa" w:w="2304"/>
            <w:tcMar>
              <w:top w:w="90" w:type="dxa"/>
              <w:start w:w="120" w:type="dxa"/>
              <w:bottom w:w="90" w:type="dxa"/>
              <w:end w:w="120" w:type="dxa"/>
            </w:tcMar>
            <w:vAlign w:val="center"/>
          </w:tcPr>
          <w:p>
            <w:pPr>
              <w:spacing w:after="0" w:line="259" w:lineRule="auto"/>
            </w:pPr>
            <w:r>
              <w:rPr>
                <w:color w:val="17202A"/>
                <w:sz w:val="18"/>
              </w:rPr>
              <w:t>policies/</w:t>
            </w:r>
          </w:p>
        </w:tc>
        <w:tc>
          <w:tcPr>
            <w:tcW w:type="dxa" w:w="7056"/>
            <w:tcMar>
              <w:top w:w="90" w:type="dxa"/>
              <w:start w:w="120" w:type="dxa"/>
              <w:bottom w:w="90" w:type="dxa"/>
              <w:end w:w="120" w:type="dxa"/>
            </w:tcMar>
            <w:vAlign w:val="center"/>
          </w:tcPr>
          <w:p>
            <w:pPr>
              <w:spacing w:after="0" w:line="259" w:lineRule="auto"/>
            </w:pPr>
            <w:r>
              <w:rPr>
                <w:color w:val="17202A"/>
                <w:sz w:val="18"/>
              </w:rPr>
              <w:t>OPA release policy and independently governed exceptions</w:t>
            </w:r>
          </w:p>
        </w:tc>
      </w:tr>
      <w:tr>
        <w:tc>
          <w:tcPr>
            <w:tcW w:type="dxa" w:w="2304"/>
            <w:shd w:fill="FAFBFC"/>
            <w:tcMar>
              <w:top w:w="90" w:type="dxa"/>
              <w:start w:w="120" w:type="dxa"/>
              <w:bottom w:w="90" w:type="dxa"/>
              <w:end w:w="120" w:type="dxa"/>
            </w:tcMar>
            <w:vAlign w:val="center"/>
          </w:tcPr>
          <w:p>
            <w:pPr>
              <w:spacing w:after="0" w:line="259" w:lineRule="auto"/>
            </w:pPr>
            <w:r>
              <w:rPr>
                <w:color w:val="17202A"/>
                <w:sz w:val="18"/>
              </w:rPr>
              <w:t>tests/</w:t>
            </w:r>
          </w:p>
        </w:tc>
        <w:tc>
          <w:tcPr>
            <w:tcW w:type="dxa" w:w="7056"/>
            <w:shd w:fill="FAFBFC"/>
            <w:tcMar>
              <w:top w:w="90" w:type="dxa"/>
              <w:start w:w="120" w:type="dxa"/>
              <w:bottom w:w="90" w:type="dxa"/>
              <w:end w:w="120" w:type="dxa"/>
            </w:tcMar>
            <w:vAlign w:val="center"/>
          </w:tcPr>
          <w:p>
            <w:pPr>
              <w:spacing w:after="0" w:line="259" w:lineRule="auto"/>
            </w:pPr>
            <w:r>
              <w:rPr>
                <w:color w:val="17202A"/>
                <w:sz w:val="18"/>
              </w:rPr>
              <w:t>Unit tests and image/product test profiles</w:t>
            </w:r>
          </w:p>
        </w:tc>
      </w:tr>
      <w:tr>
        <w:tc>
          <w:tcPr>
            <w:tcW w:type="dxa" w:w="2304"/>
            <w:tcMar>
              <w:top w:w="90" w:type="dxa"/>
              <w:start w:w="120" w:type="dxa"/>
              <w:bottom w:w="90" w:type="dxa"/>
              <w:end w:w="120" w:type="dxa"/>
            </w:tcMar>
            <w:vAlign w:val="center"/>
          </w:tcPr>
          <w:p>
            <w:pPr>
              <w:spacing w:after="0" w:line="259" w:lineRule="auto"/>
            </w:pPr>
            <w:r>
              <w:rPr>
                <w:color w:val="17202A"/>
                <w:sz w:val="18"/>
              </w:rPr>
              <w:t>toolchain/ + tools/</w:t>
            </w:r>
          </w:p>
        </w:tc>
        <w:tc>
          <w:tcPr>
            <w:tcW w:type="dxa" w:w="7056"/>
            <w:tcMar>
              <w:top w:w="90" w:type="dxa"/>
              <w:start w:w="120" w:type="dxa"/>
              <w:bottom w:w="90" w:type="dxa"/>
              <w:end w:w="120" w:type="dxa"/>
            </w:tcMar>
            <w:vAlign w:val="center"/>
          </w:tcPr>
          <w:p>
            <w:pPr>
              <w:spacing w:after="0" w:line="259" w:lineRule="auto"/>
            </w:pPr>
            <w:r>
              <w:rPr>
                <w:color w:val="17202A"/>
                <w:sz w:val="18"/>
              </w:rPr>
              <w:t>Offline runner definition and pinned tool versions</w:t>
            </w:r>
          </w:p>
        </w:tc>
      </w:tr>
      <w:tr>
        <w:tc>
          <w:tcPr>
            <w:tcW w:type="dxa" w:w="2304"/>
            <w:shd w:fill="FAFBFC"/>
            <w:tcMar>
              <w:top w:w="90" w:type="dxa"/>
              <w:start w:w="120" w:type="dxa"/>
              <w:bottom w:w="90" w:type="dxa"/>
              <w:end w:w="120" w:type="dxa"/>
            </w:tcMar>
            <w:vAlign w:val="center"/>
          </w:tcPr>
          <w:p>
            <w:pPr>
              <w:spacing w:after="0" w:line="259" w:lineRule="auto"/>
            </w:pPr>
            <w:r>
              <w:rPr>
                <w:color w:val="17202A"/>
                <w:sz w:val="18"/>
              </w:rPr>
              <w:t>docs/</w:t>
            </w:r>
          </w:p>
        </w:tc>
        <w:tc>
          <w:tcPr>
            <w:tcW w:type="dxa" w:w="7056"/>
            <w:shd w:fill="FAFBFC"/>
            <w:tcMar>
              <w:top w:w="90" w:type="dxa"/>
              <w:start w:w="120" w:type="dxa"/>
              <w:bottom w:w="90" w:type="dxa"/>
              <w:end w:w="120" w:type="dxa"/>
            </w:tcMar>
            <w:vAlign w:val="center"/>
          </w:tcPr>
          <w:p>
            <w:pPr>
              <w:spacing w:after="0" w:line="259" w:lineRule="auto"/>
            </w:pPr>
            <w:r>
              <w:rPr>
                <w:color w:val="17202A"/>
                <w:sz w:val="18"/>
              </w:rPr>
              <w:t>Operations, evidence model, implementation status</w:t>
            </w:r>
          </w:p>
        </w:tc>
      </w:tr>
    </w:tbl>
    <w:p>
      <w:pPr>
        <w:pStyle w:val="Heading2"/>
      </w:pPr>
      <w:r>
        <w:t>Safe local checks</w:t>
      </w:r>
    </w:p>
    <w:p>
      <w:pPr>
        <w:spacing w:before="0" w:after="0" w:line="240" w:lineRule="auto"/>
        <w:ind w:left="259" w:right="259"/>
        <w:shd w:fill="F2F4F7"/>
      </w:pPr>
      <w:r>
        <w:rPr>
          <w:rFonts w:ascii="Courier New" w:hAnsi="Courier New"/>
          <w:color w:val="17202A"/>
          <w:sz w:val="17"/>
        </w:rPr>
        <w:t>cd image-hardening-factory</w:t>
      </w:r>
    </w:p>
    <w:p>
      <w:pPr>
        <w:spacing w:before="0" w:after="0" w:line="240" w:lineRule="auto"/>
        <w:ind w:left="259" w:right="259"/>
        <w:shd w:fill="F2F4F7"/>
      </w:pPr>
      <w:r>
        <w:rPr>
          <w:rFonts w:ascii="Courier New" w:hAnsi="Courier New"/>
          <w:color w:val="17202A"/>
          <w:sz w:val="17"/>
        </w:rPr>
        <w:t>make validate</w:t>
      </w:r>
    </w:p>
    <w:p>
      <w:pPr>
        <w:spacing w:before="0" w:after="0" w:line="240" w:lineRule="auto"/>
        <w:ind w:left="259" w:right="259"/>
        <w:shd w:fill="F2F4F7"/>
      </w:pPr>
      <w:r>
        <w:rPr>
          <w:rFonts w:ascii="Courier New" w:hAnsi="Courier New"/>
          <w:color w:val="17202A"/>
          <w:sz w:val="17"/>
        </w:rPr>
        <w:t>make test</w:t>
      </w:r>
    </w:p>
    <w:p>
      <w:pPr>
        <w:spacing w:before="0" w:after="0" w:line="240" w:lineRule="auto"/>
        <w:ind w:left="259" w:right="259"/>
        <w:shd w:fill="F2F4F7"/>
      </w:pPr>
      <w:r>
        <w:rPr>
          <w:rFonts w:ascii="Courier New" w:hAnsi="Courier New"/>
          <w:color w:val="17202A"/>
          <w:sz w:val="17"/>
        </w:rPr>
        <w:t>make pipeline</w:t>
      </w:r>
    </w:p>
    <w:p>
      <w:pPr>
        <w:spacing w:before="0" w:after="0" w:line="240" w:lineRule="auto"/>
        <w:ind w:left="259" w:right="259"/>
        <w:shd w:fill="F2F4F7"/>
      </w:pPr>
      <w:r>
        <w:rPr>
          <w:rFonts w:ascii="Courier New" w:hAnsi="Courier New"/>
          <w:color w:val="17202A"/>
          <w:sz w:val="17"/>
        </w:rPr>
        <w:t># Review generated-child.yml; do not commit generated evidence or secrets.</w:t>
      </w:r>
    </w:p>
    <w:p>
      <w:pPr>
        <w:pStyle w:val="Heading1"/>
      </w:pPr>
      <w:r>
        <w:t>18. Confluence import and publishing</w:t>
      </w:r>
    </w:p>
    <w:p>
      <w:r>
        <w:t>Import this DOCX using the Word import capability provided by your Confluence Data Center version. Import into a staging page or space first so the page hierarchy, links, images, and tables can be reviewed before publication.</w:t>
      </w:r>
    </w:p>
    <w:p>
      <w:pPr>
        <w:pStyle w:val="Heading2"/>
      </w:pPr>
      <w:r>
        <w:t>Import checklist</w:t>
      </w:r>
    </w:p>
    <w:p>
      <w:pPr>
        <w:numPr>
          <w:ilvl w:val="0"/>
          <w:numId w:val="18"/>
        </w:numPr>
        <w:spacing w:after="80" w:line="300" w:lineRule="auto"/>
      </w:pPr>
      <w:r>
        <w:t>Create or select the target project space and establish page ownership and edit permissions.</w:t>
      </w:r>
    </w:p>
    <w:p>
      <w:pPr>
        <w:numPr>
          <w:ilvl w:val="0"/>
          <w:numId w:val="18"/>
        </w:numPr>
        <w:spacing w:after="80" w:line="300" w:lineRule="auto"/>
      </w:pPr>
      <w:r>
        <w:t>Import the DOCX as a new page hierarchy; keep the original DOCX as a controlled source artifact.</w:t>
      </w:r>
    </w:p>
    <w:p>
      <w:pPr>
        <w:numPr>
          <w:ilvl w:val="0"/>
          <w:numId w:val="18"/>
        </w:numPr>
        <w:spacing w:after="80" w:line="300" w:lineRule="auto"/>
      </w:pPr>
      <w:r>
        <w:t>Replace the static contents section with a Confluence Table of Contents macro.</w:t>
      </w:r>
    </w:p>
    <w:p>
      <w:pPr>
        <w:numPr>
          <w:ilvl w:val="0"/>
          <w:numId w:val="18"/>
        </w:numPr>
        <w:spacing w:after="80" w:line="300" w:lineRule="auto"/>
      </w:pPr>
      <w:r>
        <w:t>Verify all four diagrams render at full width and retain meaningful alt text.</w:t>
      </w:r>
    </w:p>
    <w:p>
      <w:pPr>
        <w:numPr>
          <w:ilvl w:val="0"/>
          <w:numId w:val="18"/>
        </w:numPr>
        <w:spacing w:after="80" w:line="300" w:lineRule="auto"/>
      </w:pPr>
      <w:r>
        <w:t>Check table wrapping, header rows, hyperlinks, and preformatted command examples.</w:t>
      </w:r>
    </w:p>
    <w:p>
      <w:pPr>
        <w:numPr>
          <w:ilvl w:val="0"/>
          <w:numId w:val="18"/>
        </w:numPr>
        <w:spacing w:after="80" w:line="300" w:lineRule="auto"/>
      </w:pPr>
      <w:r>
        <w:t>Convert the Day 2 cadence and runbooks into child pages only if your team needs separate owners or review cycles.</w:t>
      </w:r>
    </w:p>
    <w:p>
      <w:pPr>
        <w:numPr>
          <w:ilvl w:val="0"/>
          <w:numId w:val="18"/>
        </w:numPr>
        <w:spacing w:after="80" w:line="300" w:lineRule="auto"/>
      </w:pPr>
      <w:r>
        <w:t>Add Confluence-native labels, owners, review dates, and status macros after import.</w:t>
      </w:r>
    </w:p>
    <w:p>
      <w:pPr>
        <w:numPr>
          <w:ilvl w:val="0"/>
          <w:numId w:val="18"/>
        </w:numPr>
        <w:spacing w:after="80" w:line="300" w:lineRule="auto"/>
      </w:pPr>
      <w:r>
        <w:t>Do not replace diagrams with Mermaid unless your approved Confluence environment supports and governs that macro.</w:t>
      </w:r>
    </w:p>
    <w:p>
      <w:pPr>
        <w:numPr>
          <w:ilvl w:val="0"/>
          <w:numId w:val="18"/>
        </w:numPr>
        <w:spacing w:after="80" w:line="300" w:lineRule="auto"/>
      </w:pPr>
      <w:r>
        <w:t>Publish only after the factory service owner, platform owner, security authority, product maintainers, and release authority review their sections.</w:t>
      </w:r>
    </w:p>
    <w:p>
      <w:pPr>
        <w:pStyle w:val="Heading2"/>
      </w:pPr>
      <w:r>
        <w:t>Recommended page hierarchy</w:t>
      </w:r>
    </w:p>
    <w:p>
      <w:pPr>
        <w:pStyle w:val="ListBullet"/>
      </w:pPr>
      <w:r>
        <w:t>Image Hardening Factory - Project Bootstrap (landing page)</w:t>
      </w:r>
    </w:p>
    <w:p>
      <w:pPr>
        <w:pStyle w:val="ListBullet"/>
      </w:pPr>
      <w:r>
        <w:t>Architecture and process flow</w:t>
      </w:r>
    </w:p>
    <w:p>
      <w:pPr>
        <w:pStyle w:val="ListBullet"/>
      </w:pPr>
      <w:r>
        <w:t>Implementation milestones 1-10</w:t>
      </w:r>
    </w:p>
    <w:p>
      <w:pPr>
        <w:pStyle w:val="ListBullet"/>
      </w:pPr>
      <w:r>
        <w:t>Evidence, policy, and promotion model</w:t>
      </w:r>
    </w:p>
    <w:p>
      <w:pPr>
        <w:pStyle w:val="ListBullet"/>
      </w:pPr>
      <w:r>
        <w:t>Day 2 operations and runbooks</w:t>
      </w:r>
    </w:p>
    <w:p>
      <w:pPr>
        <w:pStyle w:val="ListBullet"/>
      </w:pPr>
      <w:r>
        <w:t>Contributor onboarding and references</w:t>
      </w:r>
    </w:p>
    <w:p>
      <w:pPr>
        <w:spacing w:before="120" w:after="180"/>
        <w:ind w:left="230" w:right="230"/>
        <w:shd w:fill="F4F6F9"/>
        <w:pBdr>
          <w:left w:val="single" w:sz="20" w:color="2E74B5"/>
        </w:pBdr>
      </w:pPr>
      <w:r>
        <w:rPr>
          <w:rFonts w:ascii="Calibri" w:hAnsi="Calibri"/>
          <w:b/>
          <w:color w:val="17324D"/>
        </w:rPr>
        <w:t xml:space="preserve">Maintenance: </w:t>
      </w:r>
      <w:r>
        <w:rPr>
          <w:rFonts w:ascii="Calibri" w:hAnsi="Calibri"/>
          <w:color w:val="17202A"/>
        </w:rPr>
        <w:t>Assign a named owner and review date to each Confluence page. Code and catalog remain authoritative; update the wiki whenever a trust boundary, runner class, repository name, policy threshold, approval rule, or runbook changes.</w:t>
      </w:r>
    </w:p>
    <w:p>
      <w:pPr>
        <w:pStyle w:val="Heading1"/>
      </w:pPr>
      <w:r>
        <w:t>19. Source repositories and supporting material</w:t>
      </w:r>
    </w:p>
    <w:p>
      <w:pPr>
        <w:pStyle w:val="ListBullet"/>
      </w:pPr>
      <w:hyperlink r:id="rId15">
        <w:r>
          <w:rPr>
            <w:color w:val="2E74B5"/>
            <w:u w:val="single"/>
          </w:rPr>
          <w:t>Bitbucket Data Center LTS</w:t>
        </w:r>
      </w:hyperlink>
      <w:r>
        <w:t xml:space="preserve"> - https://repo1.dso.mil/dsop/atlassian/bitbucket-data-center/bitbucket-lts.git</w:t>
      </w:r>
    </w:p>
    <w:p>
      <w:pPr>
        <w:pStyle w:val="ListBullet"/>
      </w:pPr>
      <w:hyperlink r:id="rId16">
        <w:r>
          <w:rPr>
            <w:color w:val="2E74B5"/>
            <w:u w:val="single"/>
          </w:rPr>
          <w:t>Confluence Data Center LTS</w:t>
        </w:r>
      </w:hyperlink>
      <w:r>
        <w:t xml:space="preserve"> - https://repo1.dso.mil/dsop/atlassian/confluence-data-center/confluence-lts.git</w:t>
      </w:r>
    </w:p>
    <w:p>
      <w:pPr>
        <w:pStyle w:val="ListBullet"/>
      </w:pPr>
      <w:hyperlink r:id="rId17">
        <w:r>
          <w:rPr>
            <w:color w:val="2E74B5"/>
            <w:u w:val="single"/>
          </w:rPr>
          <w:t>Jira Data Center LTS</w:t>
        </w:r>
      </w:hyperlink>
      <w:r>
        <w:t xml:space="preserve"> - https://repo1.dso.mil/dsop/atlassian/jira-data-center/jira-lts.git</w:t>
      </w:r>
    </w:p>
    <w:p>
      <w:pPr>
        <w:pStyle w:val="ListBullet"/>
      </w:pPr>
      <w:hyperlink r:id="rId18">
        <w:r>
          <w:rPr>
            <w:color w:val="2E74B5"/>
            <w:u w:val="single"/>
          </w:rPr>
          <w:t>Red Hat UBI 10 Minimal</w:t>
        </w:r>
      </w:hyperlink>
      <w:r>
        <w:t xml:space="preserve"> - https://repo1.dso.mil/dsop/redhat/ubi/10.x/ubi10-minimal.git</w:t>
      </w:r>
    </w:p>
    <w:p>
      <w:pPr>
        <w:pStyle w:val="ListBullet"/>
      </w:pPr>
      <w:hyperlink r:id="rId19">
        <w:r>
          <w:rPr>
            <w:color w:val="2E74B5"/>
            <w:u w:val="single"/>
          </w:rPr>
          <w:t>Red Hat UBI 9 Minimal</w:t>
        </w:r>
      </w:hyperlink>
      <w:r>
        <w:t xml:space="preserve"> - https://repo1.dso.mil/dsop/redhat/ubi/9.x/ubi9-minimal.git</w:t>
      </w:r>
    </w:p>
    <w:p>
      <w:pPr>
        <w:pStyle w:val="ListBullet"/>
      </w:pPr>
      <w:hyperlink r:id="rId20">
        <w:r>
          <w:rPr>
            <w:color w:val="2E74B5"/>
            <w:u w:val="single"/>
          </w:rPr>
          <w:t>Iron Bank pipeline guidance</w:t>
        </w:r>
      </w:hyperlink>
      <w:r>
        <w:t xml:space="preserve"> - https://repo1.dso.mil/ironbank-tools/ironbank-pipeline.git</w:t>
      </w:r>
    </w:p>
    <w:p>
      <w:pPr>
        <w:pStyle w:val="Heading2"/>
      </w:pPr>
      <w:r>
        <w:t>Starter repository authority</w:t>
      </w:r>
    </w:p>
    <w:p>
      <w:r>
        <w:t>The implementation-specific values described in this guide are grounded in the image-hardening-factory starter repository. Before production use, reconcile this guide against the deployed GitLab CI version, Artifactory behavior, Cosign key and Artifactory configuration, certificates, protected environments, and licensed product integration tests.</w:t>
      </w:r>
    </w:p>
    <w:p>
      <w:pPr>
        <w:pStyle w:val="Heading2"/>
      </w:pPr>
      <w:r>
        <w:t>Glossary</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90" w:type="dxa"/>
              <w:start w:w="120" w:type="dxa"/>
              <w:bottom w:w="90" w:type="dxa"/>
              <w:end w:w="120" w:type="dxa"/>
            </w:tcMar>
            <w:vAlign w:val="center"/>
          </w:tcPr>
          <w:p>
            <w:pPr>
              <w:spacing w:after="0"/>
            </w:pPr>
            <w:r>
              <w:rPr>
                <w:b/>
                <w:color w:val="17324D"/>
                <w:sz w:val="18"/>
              </w:rPr>
              <w:t>Term</w:t>
            </w:r>
          </w:p>
        </w:tc>
        <w:tc>
          <w:tcPr>
            <w:tcW w:type="dxa" w:w="7416"/>
            <w:shd w:fill="E8EEF5"/>
            <w:tcMar>
              <w:top w:w="90" w:type="dxa"/>
              <w:start w:w="120" w:type="dxa"/>
              <w:bottom w:w="90" w:type="dxa"/>
              <w:end w:w="120" w:type="dxa"/>
            </w:tcMar>
            <w:vAlign w:val="center"/>
          </w:tcPr>
          <w:p>
            <w:pPr>
              <w:spacing w:after="0"/>
            </w:pPr>
            <w:r>
              <w:rPr>
                <w:b/>
                <w:color w:val="17324D"/>
                <w:sz w:val="18"/>
              </w:rPr>
              <w:t>Meaning</w:t>
            </w:r>
          </w:p>
        </w:tc>
      </w:tr>
      <w:tr>
        <w:tc>
          <w:tcPr>
            <w:tcW w:type="dxa" w:w="1944"/>
            <w:tcMar>
              <w:top w:w="90" w:type="dxa"/>
              <w:start w:w="120" w:type="dxa"/>
              <w:bottom w:w="90" w:type="dxa"/>
              <w:end w:w="120" w:type="dxa"/>
            </w:tcMar>
            <w:vAlign w:val="center"/>
          </w:tcPr>
          <w:p>
            <w:pPr>
              <w:spacing w:after="0" w:line="259" w:lineRule="auto"/>
            </w:pPr>
            <w:r>
              <w:rPr>
                <w:color w:val="17202A"/>
                <w:sz w:val="18"/>
              </w:rPr>
              <w:t>Subject digest</w:t>
            </w:r>
          </w:p>
        </w:tc>
        <w:tc>
          <w:tcPr>
            <w:tcW w:type="dxa" w:w="7416"/>
            <w:tcMar>
              <w:top w:w="90" w:type="dxa"/>
              <w:start w:w="120" w:type="dxa"/>
              <w:bottom w:w="90" w:type="dxa"/>
              <w:end w:w="120" w:type="dxa"/>
            </w:tcMar>
            <w:vAlign w:val="center"/>
          </w:tcPr>
          <w:p>
            <w:pPr>
              <w:spacing w:after="0" w:line="259" w:lineRule="auto"/>
            </w:pPr>
            <w:r>
              <w:rPr>
                <w:color w:val="17202A"/>
                <w:sz w:val="18"/>
              </w:rPr>
              <w:t>Immutable OCI digest that identifies the candidate or release</w:t>
            </w:r>
          </w:p>
        </w:tc>
      </w:tr>
      <w:tr>
        <w:tc>
          <w:tcPr>
            <w:tcW w:type="dxa" w:w="1944"/>
            <w:shd w:fill="FAFBFC"/>
            <w:tcMar>
              <w:top w:w="90" w:type="dxa"/>
              <w:start w:w="120" w:type="dxa"/>
              <w:bottom w:w="90" w:type="dxa"/>
              <w:end w:w="120" w:type="dxa"/>
            </w:tcMar>
            <w:vAlign w:val="center"/>
          </w:tcPr>
          <w:p>
            <w:pPr>
              <w:spacing w:after="0" w:line="259" w:lineRule="auto"/>
            </w:pPr>
            <w:r>
              <w:rPr>
                <w:color w:val="17202A"/>
                <w:sz w:val="18"/>
              </w:rPr>
              <w:t>Referrer closure</w:t>
            </w:r>
          </w:p>
        </w:tc>
        <w:tc>
          <w:tcPr>
            <w:tcW w:type="dxa" w:w="7416"/>
            <w:shd w:fill="FAFBFC"/>
            <w:tcMar>
              <w:top w:w="90" w:type="dxa"/>
              <w:start w:w="120" w:type="dxa"/>
              <w:bottom w:w="90" w:type="dxa"/>
              <w:end w:w="120" w:type="dxa"/>
            </w:tcMar>
            <w:vAlign w:val="center"/>
          </w:tcPr>
          <w:p>
            <w:pPr>
              <w:spacing w:after="0" w:line="259" w:lineRule="auto"/>
            </w:pPr>
            <w:r>
              <w:rPr>
                <w:color w:val="17202A"/>
                <w:sz w:val="18"/>
              </w:rPr>
              <w:t>Signatures, attestations, SBOMs, and other OCI artifacts that refer to the subject</w:t>
            </w:r>
          </w:p>
        </w:tc>
      </w:tr>
      <w:tr>
        <w:tc>
          <w:tcPr>
            <w:tcW w:type="dxa" w:w="1944"/>
            <w:tcMar>
              <w:top w:w="90" w:type="dxa"/>
              <w:start w:w="120" w:type="dxa"/>
              <w:bottom w:w="90" w:type="dxa"/>
              <w:end w:w="120" w:type="dxa"/>
            </w:tcMar>
            <w:vAlign w:val="center"/>
          </w:tcPr>
          <w:p>
            <w:pPr>
              <w:spacing w:after="0" w:line="259" w:lineRule="auto"/>
            </w:pPr>
            <w:r>
              <w:rPr>
                <w:color w:val="17202A"/>
                <w:sz w:val="18"/>
              </w:rPr>
              <w:t>Resource lock</w:t>
            </w:r>
          </w:p>
        </w:tc>
        <w:tc>
          <w:tcPr>
            <w:tcW w:type="dxa" w:w="7416"/>
            <w:tcMar>
              <w:top w:w="90" w:type="dxa"/>
              <w:start w:w="120" w:type="dxa"/>
              <w:bottom w:w="90" w:type="dxa"/>
              <w:end w:w="120" w:type="dxa"/>
            </w:tcMar>
            <w:vAlign w:val="center"/>
          </w:tcPr>
          <w:p>
            <w:r>
              <w:t>Signed manifest of source revision, manifest/resource digests, OCI identities, and RPM snapshot metadata</w:t>
            </w:r>
          </w:p>
        </w:tc>
      </w:tr>
      <w:tr>
        <w:tc>
          <w:tcPr>
            <w:tcW w:type="dxa" w:w="1944"/>
            <w:shd w:fill="FAFBFC"/>
            <w:tcMar>
              <w:top w:w="90" w:type="dxa"/>
              <w:start w:w="120" w:type="dxa"/>
              <w:bottom w:w="90" w:type="dxa"/>
              <w:end w:w="120" w:type="dxa"/>
            </w:tcMar>
            <w:vAlign w:val="center"/>
          </w:tcPr>
          <w:p>
            <w:pPr>
              <w:spacing w:after="0" w:line="259" w:lineRule="auto"/>
            </w:pPr>
            <w:r>
              <w:rPr>
                <w:color w:val="17202A"/>
                <w:sz w:val="18"/>
              </w:rPr>
              <w:t>Quarantine</w:t>
            </w:r>
          </w:p>
        </w:tc>
        <w:tc>
          <w:tcPr>
            <w:tcW w:type="dxa" w:w="7416"/>
            <w:shd w:fill="FAFBFC"/>
            <w:tcMar>
              <w:top w:w="90" w:type="dxa"/>
              <w:start w:w="120" w:type="dxa"/>
              <w:bottom w:w="90" w:type="dxa"/>
              <w:end w:w="120" w:type="dxa"/>
            </w:tcMar>
            <w:vAlign w:val="center"/>
          </w:tcPr>
          <w:p>
            <w:pPr>
              <w:spacing w:after="0" w:line="259" w:lineRule="auto"/>
            </w:pPr>
            <w:r>
              <w:rPr>
                <w:color w:val="17202A"/>
                <w:sz w:val="18"/>
              </w:rPr>
              <w:t>Protected repository for passing candidates before release promotion</w:t>
            </w:r>
          </w:p>
        </w:tc>
      </w:tr>
      <w:tr>
        <w:tc>
          <w:tcPr>
            <w:tcW w:type="dxa" w:w="1944"/>
            <w:tcMar>
              <w:top w:w="90" w:type="dxa"/>
              <w:start w:w="120" w:type="dxa"/>
              <w:bottom w:w="90" w:type="dxa"/>
              <w:end w:w="120" w:type="dxa"/>
            </w:tcMar>
            <w:vAlign w:val="center"/>
          </w:tcPr>
          <w:p>
            <w:pPr>
              <w:spacing w:after="0" w:line="259" w:lineRule="auto"/>
            </w:pPr>
            <w:r>
              <w:rPr>
                <w:color w:val="17202A"/>
                <w:sz w:val="18"/>
              </w:rPr>
              <w:t>Gate</w:t>
            </w:r>
          </w:p>
        </w:tc>
        <w:tc>
          <w:tcPr>
            <w:tcW w:type="dxa" w:w="7416"/>
            <w:tcMar>
              <w:top w:w="90" w:type="dxa"/>
              <w:start w:w="120" w:type="dxa"/>
              <w:bottom w:w="90" w:type="dxa"/>
              <w:end w:w="120" w:type="dxa"/>
            </w:tcMar>
            <w:vAlign w:val="center"/>
          </w:tcPr>
          <w:p>
            <w:r>
              <w:t>OPA decision over SBOM validity, compliance, tests, and authoritative FCS status</w:t>
            </w:r>
          </w:p>
        </w:tc>
      </w:tr>
      <w:tr>
        <w:tc>
          <w:tcPr>
            <w:tcW w:type="dxa" w:w="1944"/>
            <w:shd w:fill="FAFBFC"/>
            <w:tcMar>
              <w:top w:w="90" w:type="dxa"/>
              <w:start w:w="120" w:type="dxa"/>
              <w:bottom w:w="90" w:type="dxa"/>
              <w:end w:w="120" w:type="dxa"/>
            </w:tcMar>
            <w:vAlign w:val="center"/>
          </w:tcPr>
          <w:p>
            <w:pPr>
              <w:spacing w:after="0" w:line="259" w:lineRule="auto"/>
            </w:pPr>
            <w:r>
              <w:rPr>
                <w:color w:val="17202A"/>
                <w:sz w:val="18"/>
              </w:rPr>
              <w:t>Canary</w:t>
            </w:r>
          </w:p>
        </w:tc>
        <w:tc>
          <w:tcPr>
            <w:tcW w:type="dxa" w:w="7416"/>
            <w:shd w:fill="FAFBFC"/>
            <w:tcMar>
              <w:top w:w="90" w:type="dxa"/>
              <w:start w:w="120" w:type="dxa"/>
              <w:bottom w:w="90" w:type="dxa"/>
              <w:end w:w="120" w:type="dxa"/>
            </w:tcMar>
            <w:vAlign w:val="center"/>
          </w:tcPr>
          <w:p>
            <w:pPr>
              <w:spacing w:after="0" w:line="259" w:lineRule="auto"/>
            </w:pPr>
            <w:r>
              <w:rPr>
                <w:color w:val="17202A"/>
                <w:sz w:val="18"/>
              </w:rPr>
              <w:t>Evidence-producing compatibility track that cannot become production by tag accident</w:t>
            </w:r>
          </w:p>
        </w:tc>
      </w:tr>
      <w:tr>
        <w:tc>
          <w:tcPr>
            <w:tcW w:type="dxa" w:w="1944"/>
            <w:tcMar>
              <w:top w:w="90" w:type="dxa"/>
              <w:start w:w="120" w:type="dxa"/>
              <w:bottom w:w="90" w:type="dxa"/>
              <w:end w:w="120" w:type="dxa"/>
            </w:tcMar>
            <w:vAlign w:val="center"/>
          </w:tcPr>
          <w:p>
            <w:pPr>
              <w:spacing w:after="0" w:line="259" w:lineRule="auto"/>
            </w:pPr>
            <w:r>
              <w:rPr>
                <w:color w:val="17202A"/>
                <w:sz w:val="18"/>
              </w:rPr>
              <w:t>Day 2</w:t>
            </w:r>
          </w:p>
        </w:tc>
        <w:tc>
          <w:tcPr>
            <w:tcW w:type="dxa" w:w="7416"/>
            <w:tcMar>
              <w:top w:w="90" w:type="dxa"/>
              <w:start w:w="120" w:type="dxa"/>
              <w:bottom w:w="90" w:type="dxa"/>
              <w:end w:w="120" w:type="dxa"/>
            </w:tcMar>
            <w:vAlign w:val="center"/>
          </w:tcPr>
          <w:p>
            <w:pPr>
              <w:spacing w:after="0" w:line="259" w:lineRule="auto"/>
            </w:pPr>
            <w:r>
              <w:rPr>
                <w:color w:val="17202A"/>
                <w:sz w:val="18"/>
              </w:rPr>
              <w:t>Ongoing operation, maintenance, support, incident response, and lifecycle management after launch</w:t>
            </w:r>
          </w:p>
        </w:tc>
      </w:tr>
    </w:tbl>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B76"/>
        <w:sz w:val="17"/>
      </w:rPr>
      <w:t xml:space="preserve">Version 1.0  |  14 August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6"/>
        <w:sz w:val="17"/>
      </w:rPr>
      <w:t>IMAGE HARDENING FACTORY  |  PROJECT BOOTSTRAP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abstractNum w:abstractNumId="13">
    <w:multiLevelType w:val="singleLevel"/>
    <w:lvl w:ilvl="0">
      <w:start w:val="1"/>
      <w:numFmt w:val="decimal"/>
      <w:lvlText w:val="%1."/>
      <w:suff w:val="tab"/>
      <w:pPr>
        <w:tabs>
          <w:tab w:val="num" w:pos="540"/>
        </w:tabs>
        <w:ind w:left="540" w:hanging="270"/>
      </w:pPr>
    </w:lvl>
  </w:abstractNum>
  <w:num w:numId="14">
    <w:abstractNumId w:val="13"/>
  </w:num>
  <w:abstractNum w:abstractNumId="14">
    <w:multiLevelType w:val="singleLevel"/>
    <w:lvl w:ilvl="0">
      <w:start w:val="1"/>
      <w:numFmt w:val="decimal"/>
      <w:lvlText w:val="%1."/>
      <w:suff w:val="tab"/>
      <w:pPr>
        <w:tabs>
          <w:tab w:val="num" w:pos="540"/>
        </w:tabs>
        <w:ind w:left="540" w:hanging="270"/>
      </w:pPr>
    </w:lvl>
  </w:abstractNum>
  <w:num w:numId="15">
    <w:abstractNumId w:val="14"/>
  </w:num>
  <w:abstractNum w:abstractNumId="15">
    <w:multiLevelType w:val="singleLevel"/>
    <w:lvl w:ilvl="0">
      <w:start w:val="1"/>
      <w:numFmt w:val="decimal"/>
      <w:lvlText w:val="%1."/>
      <w:suff w:val="tab"/>
      <w:pPr>
        <w:tabs>
          <w:tab w:val="num" w:pos="540"/>
        </w:tabs>
        <w:ind w:left="540" w:hanging="270"/>
      </w:pPr>
    </w:lvl>
  </w:abstractNum>
  <w:num w:numId="16">
    <w:abstractNumId w:val="15"/>
  </w:num>
  <w:abstractNum w:abstractNumId="16">
    <w:multiLevelType w:val="singleLevel"/>
    <w:lvl w:ilvl="0">
      <w:start w:val="1"/>
      <w:numFmt w:val="decimal"/>
      <w:lvlText w:val="%1."/>
      <w:suff w:val="tab"/>
      <w:pPr>
        <w:tabs>
          <w:tab w:val="num" w:pos="540"/>
        </w:tabs>
        <w:ind w:left="540" w:hanging="270"/>
      </w:pPr>
    </w:lvl>
  </w:abstractNum>
  <w:num w:numId="17">
    <w:abstractNumId w:val="16"/>
  </w:num>
  <w:abstractNum w:abstractNumId="17">
    <w:multiLevelType w:val="singleLevel"/>
    <w:lvl w:ilvl="0">
      <w:start w:val="1"/>
      <w:numFmt w:val="decimal"/>
      <w:lvlText w:val="%1."/>
      <w:suff w:val="tab"/>
      <w:pPr>
        <w:tabs>
          <w:tab w:val="num" w:pos="540"/>
        </w:tabs>
        <w:ind w:left="540" w:hanging="270"/>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jc w:val="left"/>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b/>
      <w:bCs/>
      <w:i/>
      <w:color w:val="5F6B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repo1.dso.mil/dsop/atlassian/bitbucket-data-center/bitbucket-lts.git" TargetMode="External"/><Relationship Id="rId16" Type="http://schemas.openxmlformats.org/officeDocument/2006/relationships/hyperlink" Target="https://repo1.dso.mil/dsop/atlassian/confluence-data-center/confluence-lts.git" TargetMode="External"/><Relationship Id="rId17" Type="http://schemas.openxmlformats.org/officeDocument/2006/relationships/hyperlink" Target="https://repo1.dso.mil/dsop/atlassian/jira-data-center/jira-lts.git" TargetMode="External"/><Relationship Id="rId18" Type="http://schemas.openxmlformats.org/officeDocument/2006/relationships/hyperlink" Target="https://repo1.dso.mil/dsop/redhat/ubi/10.x/ubi10-minimal.git" TargetMode="External"/><Relationship Id="rId19" Type="http://schemas.openxmlformats.org/officeDocument/2006/relationships/hyperlink" Target="https://repo1.dso.mil/dsop/redhat/ubi/9.x/ubi9-minimal.git" TargetMode="External"/><Relationship Id="rId20" Type="http://schemas.openxmlformats.org/officeDocument/2006/relationships/hyperlink" Target="https://repo1.dso.mil/ironbank-tools/ironbank-pipelin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Hardening Factory - Project Bootstrap Guide</dc:title>
  <dc:subject>Confluence-compatible project introduction, architecture, implementation milestones, and Day 2 operations</dc:subject>
  <dc:creator>Image Hardening Factory Project</dc:creator>
  <cp:keywords>image hardening, GitLab CI, Artifactory, air gap, SBOM, OpenSCAP, Cosign, CrowdStrike FCS, Confluence</cp:keywords>
  <dc:description>Generated as a project bootstrap artifact from the image-hardening-factory starter repository.</dc:description>
  <cp:lastModifiedBy/>
  <cp:revision>1</cp:revision>
  <dcterms:created xsi:type="dcterms:W3CDTF">2013-12-23T23:15:00Z</dcterms:created>
  <dcterms:modified xsi:type="dcterms:W3CDTF">2013-12-23T23:15:00Z</dcterms:modified>
  <cp:category/>
</cp:coreProperties>
</file>