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6221D"/>
          <w:sz w:val="44"/>
          <w:szCs w:val="44"/>
        </w:rPr>
        <w:t xml:space="preserve">MOMO 渠道合作初步方案</w:t>
      </w:r>
    </w:p>
    <w:p>
      <w:pPr>
        <w:spacing w:after="1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0E8F62"/>
          <w:sz w:val="24"/>
          <w:szCs w:val="24"/>
        </w:rPr>
        <w:t xml:space="preserve">九週年慶 × 雙十一　檔期加碼行銷計畫</w:t>
      </w:r>
    </w:p>
    <w:p>
      <w:pPr>
        <w:spacing w:after="60"/>
        <w:jc w:val="center"/>
      </w:pPr>
      <w:r>
        <w:rPr>
          <w:rFonts w:ascii="Microsoft JhengHei" w:cs="Microsoft JhengHei" w:eastAsia="Microsoft JhengHei" w:hAnsi="Microsoft JhengHei"/>
          <w:color w:val="6B6355"/>
          <w:sz w:val="18"/>
          <w:szCs w:val="18"/>
        </w:rPr>
        <w:t xml:space="preserve">提出方：阿爾法餐飲（希塔食品）專案發展部 / 業務部　|　提案對象：MOMO 電商平台　|　日期：2026年8月11日</w:t>
      </w:r>
    </w:p>
    <w:p>
      <w:pPr>
        <w:pBdr>
          <w:bottom w:val="single" w:color="DDD6C7" w:sz="6" w:space="1"/>
        </w:pBdr>
        <w:spacing w:after="240" w:before="4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0E8F62" w:sz="10" w:space="6"/>
        </w:pBdr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26221D"/>
          <w:sz w:val="30"/>
          <w:szCs w:val="30"/>
        </w:rPr>
        <w:t xml:space="preserve">一、方案概述</w:t>
      </w:r>
    </w:p>
    <w:p>
      <w:pPr>
        <w:spacing w:after="16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6221D"/>
          <w:sz w:val="21"/>
          <w:szCs w:val="21"/>
        </w:rPr>
        <w:t xml:space="preserve">延續雙方初步洽談之核心合作架構——MOMO 平台抽成由 26.5% 調降至 10.0%，差額 16.5% 由阿爾法以 1:1 比例全數回投站內外行銷——本方案進一步結合三項操作，鎖定下半年度兩大關鍵檔期創造綜效：(1) 阿爾法額外加碼投入檔期行銷預算，主動衝高檔期業績；(2) 期待 MOMO 同步提供對應曝光資源；(3) 於 MOMO 平台導入「買實體送虛擬」O2O 機制，將線上訂單導流至阿爾法實體門店，串連線上線下雙渠道。</w:t>
      </w:r>
    </w:p>
    <w:p>
      <w:pPr>
        <w:spacing w:after="16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6221D"/>
          <w:sz w:val="21"/>
          <w:szCs w:val="21"/>
        </w:rPr>
        <w:t xml:space="preserve">兩大檔期為：阿爾法餐飲九週年慶（2026 年 9 月下旬）與 MOMO 雙十一（2026 年 11 月初）。阿爾法規劃於此二檔期各額外加碼投入 NT$50,000 行銷預算（不動用抽成差額本身，屬阿爾法自籌加碼），目標帶動該月業績在基礎預估之上再增加 30%。</w:t>
      </w:r>
    </w:p>
    <w:p>
      <w:pPr>
        <w:pStyle w:val="Heading1"/>
        <w:pBdr>
          <w:bottom w:val="single" w:color="0E8F62" w:sz="10" w:space="6"/>
        </w:pBdr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26221D"/>
          <w:sz w:val="30"/>
          <w:szCs w:val="30"/>
        </w:rPr>
        <w:t xml:space="preserve">二、檔期加碼行銷計畫</w:t>
      </w:r>
    </w:p>
    <w:tbl>
      <w:tblPr>
        <w:tblW w:type="dxa" w:w="9350"/>
        <w:tblBorders>
          <w:top w:val="single" w:color="DDD6C7" w:sz="4"/>
          <w:left w:val="single" w:color="DDD6C7" w:sz="4"/>
          <w:bottom w:val="single" w:color="DDD6C7" w:sz="4"/>
          <w:right w:val="single" w:color="DDD6C7" w:sz="4"/>
          <w:insideH w:val="single" w:color="DDD6C7" w:sz="4"/>
          <w:insideV w:val="single" w:color="DDD6C7" w:sz="4"/>
        </w:tblBorders>
      </w:tblPr>
      <w:tblGrid>
        <w:gridCol w:w="2400"/>
        <w:gridCol w:w="2200"/>
        <w:gridCol w:w="2450"/>
        <w:gridCol w:w="2300"/>
      </w:tblGrid>
      <w:tr>
        <w:trPr>
          <w:tblHeader/>
        </w:trPr>
        <w:tc>
          <w:tcPr>
            <w:tcW w:type="dxa" w:w="240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檔期活動</w:t>
            </w:r>
          </w:p>
        </w:tc>
        <w:tc>
          <w:tcPr>
            <w:tcW w:type="dxa" w:w="220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預計時間</w:t>
            </w:r>
          </w:p>
        </w:tc>
        <w:tc>
          <w:tcPr>
            <w:tcW w:type="dxa" w:w="245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阿爾法加碼行銷投入</w:t>
            </w:r>
          </w:p>
        </w:tc>
        <w:tc>
          <w:tcPr>
            <w:tcW w:type="dxa" w:w="230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目標業績提升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20"/>
                <w:szCs w:val="20"/>
              </w:rPr>
              <w:t xml:space="preserve">阿爾法餐飲九週年慶</w:t>
            </w:r>
          </w:p>
        </w:tc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20"/>
                <w:szCs w:val="20"/>
              </w:rPr>
              <w:t xml:space="preserve">2026 年 9 月下旬</w:t>
            </w:r>
          </w:p>
        </w:tc>
        <w:tc>
          <w:tcPr>
            <w:tcW w:type="dxa" w:w="24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20"/>
                <w:szCs w:val="20"/>
              </w:rPr>
              <w:t xml:space="preserve">NT$50,000</w:t>
            </w:r>
          </w:p>
        </w:tc>
        <w:tc>
          <w:tcPr>
            <w:tcW w:type="dxa" w:w="2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20"/>
                <w:szCs w:val="20"/>
              </w:rPr>
              <w:t xml:space="preserve">較基礎預估　+30%</w:t>
            </w:r>
          </w:p>
        </w:tc>
      </w:tr>
      <w:tr>
        <w:tc>
          <w:tcPr>
            <w:tcW w:type="dxa" w:w="24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20"/>
                <w:szCs w:val="20"/>
              </w:rPr>
              <w:t xml:space="preserve">MOMO 雙十一</w:t>
            </w:r>
          </w:p>
        </w:tc>
        <w:tc>
          <w:tcPr>
            <w:tcW w:type="dxa" w:w="22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20"/>
                <w:szCs w:val="20"/>
              </w:rPr>
              <w:t xml:space="preserve">2026 年 11 月初</w:t>
            </w:r>
          </w:p>
        </w:tc>
        <w:tc>
          <w:tcPr>
            <w:tcW w:type="dxa" w:w="245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20"/>
                <w:szCs w:val="20"/>
              </w:rPr>
              <w:t xml:space="preserve">NT$50,000</w:t>
            </w:r>
          </w:p>
        </w:tc>
        <w:tc>
          <w:tcPr>
            <w:tcW w:type="dxa" w:w="23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20"/>
                <w:szCs w:val="20"/>
              </w:rPr>
              <w:t xml:space="preserve">較基礎預估　+30%</w:t>
            </w:r>
          </w:p>
        </w:tc>
      </w:tr>
      <w:tr>
        <w:tc>
          <w:tcPr>
            <w:tcW w:type="dxa" w:w="240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20"/>
                <w:szCs w:val="20"/>
              </w:rPr>
              <w:t xml:space="preserve">合計</w:t>
            </w:r>
          </w:p>
        </w:tc>
        <w:tc>
          <w:tcPr>
            <w:tcW w:type="dxa" w:w="220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20"/>
                <w:szCs w:val="20"/>
              </w:rPr>
              <w:t xml:space="preserve">—</w:t>
            </w:r>
          </w:p>
        </w:tc>
        <w:tc>
          <w:tcPr>
            <w:tcW w:type="dxa" w:w="245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20"/>
                <w:szCs w:val="20"/>
              </w:rPr>
              <w:t xml:space="preserve">NT$100,000</w:t>
            </w:r>
          </w:p>
        </w:tc>
        <w:tc>
          <w:tcPr>
            <w:tcW w:type="dxa" w:w="230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6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6355"/>
          <w:sz w:val="17"/>
          <w:szCs w:val="17"/>
        </w:rPr>
        <w:t xml:space="preserve">說明：基礎預估業績依基期（2026-07）實際業績 NT$40,687、假設每月成長 1.5 倍（+50%）推算；檔期加碼視為當月一次性業績拉抬，不併入後續月份之成長基期——即 12 月的預估仍沿基礎成長軌跡推算，不因 11 月雙十一的高基期而墊高。</w:t>
      </w:r>
    </w:p>
    <w:p>
      <w:pPr>
        <w:pStyle w:val="Heading1"/>
        <w:pBdr>
          <w:bottom w:val="single" w:color="0E8F62" w:sz="10" w:space="6"/>
        </w:pBdr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26221D"/>
          <w:sz w:val="30"/>
          <w:szCs w:val="30"/>
        </w:rPr>
        <w:t xml:space="preserve">三、O2O 導流合作方案（買實體送虛擬）</w:t>
      </w:r>
    </w:p>
    <w:p>
      <w:pPr>
        <w:spacing w:after="16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6221D"/>
          <w:sz w:val="21"/>
          <w:szCs w:val="21"/>
        </w:rPr>
        <w:t xml:space="preserve">在兩大檔期加碼衝業績的同時，進一步導入「買實體送虛擬」機制，將 MOMO 平台的線上訂單流量，精準導回阿爾法餐飲之實體門店，創造線上線下雙渠道互動，並為門店帶來額外增量客流。</w:t>
      </w:r>
    </w:p>
    <w:tbl>
      <w:tblPr>
        <w:tblW w:type="dxa" w:w="9350"/>
        <w:tblBorders>
          <w:top w:val="single" w:color="DDD6C7" w:sz="4"/>
          <w:left w:val="single" w:color="DDD6C7" w:sz="4"/>
          <w:bottom w:val="single" w:color="DDD6C7" w:sz="4"/>
          <w:right w:val="single" w:color="DDD6C7" w:sz="4"/>
          <w:insideH w:val="single" w:color="DDD6C7" w:sz="4"/>
          <w:insideV w:val="single" w:color="DDD6C7" w:sz="4"/>
        </w:tblBorders>
      </w:tblPr>
      <w:tblGrid>
        <w:gridCol w:w="900"/>
        <w:gridCol w:w="8450"/>
      </w:tblGrid>
      <w:tr>
        <w:trPr>
          <w:tblHeader/>
        </w:trPr>
        <w:tc>
          <w:tcPr>
            <w:tcW w:type="dxa" w:w="90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步驟</w:t>
            </w:r>
          </w:p>
        </w:tc>
        <w:tc>
          <w:tcPr>
            <w:tcW w:type="dxa" w:w="845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內容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26221D"/>
                <w:sz w:val="20"/>
                <w:szCs w:val="20"/>
              </w:rPr>
              <w:t xml:space="preserve">1</w:t>
            </w:r>
          </w:p>
        </w:tc>
        <w:tc>
          <w:tcPr>
            <w:tcW w:type="dxa" w:w="84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26221D"/>
                <w:sz w:val="20"/>
                <w:szCs w:val="20"/>
              </w:rPr>
              <w:t xml:space="preserve">消費者於 MOMO 平台購買阿爾法零售商品（如雞湯大叔雞湯包、滴雞精等）</w:t>
            </w:r>
          </w:p>
        </w:tc>
      </w:tr>
      <w:tr>
        <w:tc>
          <w:tcPr>
            <w:tcW w:type="dxa" w:w="9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26221D"/>
                <w:sz w:val="20"/>
                <w:szCs w:val="20"/>
              </w:rPr>
              <w:t xml:space="preserve">2</w:t>
            </w:r>
          </w:p>
        </w:tc>
        <w:tc>
          <w:tcPr>
            <w:tcW w:type="dxa" w:w="845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26221D"/>
                <w:sz w:val="20"/>
                <w:szCs w:val="20"/>
              </w:rPr>
              <w:t xml:space="preserve">訂單成立後，系統自動發送「阿爾法餐飲門店虛擬折抵券／兌換券」至消費者 MOMO 會員帳戶</w:t>
            </w:r>
          </w:p>
        </w:tc>
      </w:tr>
      <w:tr>
        <w:tc>
          <w:tcPr>
            <w:tcW w:type="dxa" w:w="9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26221D"/>
                <w:sz w:val="20"/>
                <w:szCs w:val="20"/>
              </w:rPr>
              <w:t xml:space="preserve">3</w:t>
            </w:r>
          </w:p>
        </w:tc>
        <w:tc>
          <w:tcPr>
            <w:tcW w:type="dxa" w:w="84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26221D"/>
                <w:sz w:val="20"/>
                <w:szCs w:val="20"/>
              </w:rPr>
              <w:t xml:space="preserve">消費者持券至全台雞湯大叔、賴山嶼等阿爾法實體門店消費並完成兌換折抵</w:t>
            </w:r>
          </w:p>
        </w:tc>
      </w:tr>
      <w:tr>
        <w:tc>
          <w:tcPr>
            <w:tcW w:type="dxa" w:w="9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color w:val="26221D"/>
                <w:sz w:val="20"/>
                <w:szCs w:val="20"/>
              </w:rPr>
              <w:t xml:space="preserve">4</w:t>
            </w:r>
          </w:p>
        </w:tc>
        <w:tc>
          <w:tcPr>
            <w:tcW w:type="dxa" w:w="845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color w:val="26221D"/>
                <w:sz w:val="20"/>
                <w:szCs w:val="20"/>
              </w:rPr>
              <w:t xml:space="preserve">門店完成核銷，並將兌換數據回饋雙方，共同追蹤導流成效與後續優化</w:t>
            </w:r>
          </w:p>
        </w:tc>
      </w:tr>
    </w:tbl>
    <w:p>
      <w:pPr>
        <w:spacing w:after="16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6221D"/>
          <w:sz w:val="21"/>
          <w:szCs w:val="21"/>
        </w:rPr>
        <w:t xml:space="preserve">執行時機：建議優先於九週年慶檔期試行（與檔期加碼行銷同步推出，強化線上線下綜效），視兌換與導流成效，再評估擴大至雙十一檔期及後續常態化合作。</w:t>
      </w:r>
    </w:p>
    <w:p>
      <w:pPr>
        <w:spacing w:after="16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6355"/>
          <w:sz w:val="17"/>
          <w:szCs w:val="17"/>
        </w:rPr>
        <w:t xml:space="preserve">分工與待確認事項：阿爾法市場部將與現行票券發行商（宜叡）進行系統端與核銷端之評估與串接；MOMO 端則需支援訂單成立後之自動派券機制（MOMO 於前次洽談中已表示技術層面可行）。虛擬券面額、發放門檻與預期兌換率待雙方三方會議（阿爾法／MOMO／宜叡）確認後，可另行補充本方案之量化增量業績測算。</w:t>
      </w:r>
    </w:p>
    <w:p>
      <w:pPr>
        <w:pStyle w:val="Heading1"/>
        <w:pBdr>
          <w:bottom w:val="single" w:color="0E8F62" w:sz="10" w:space="6"/>
        </w:pBdr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26221D"/>
          <w:sz w:val="30"/>
          <w:szCs w:val="30"/>
        </w:rPr>
        <w:t xml:space="preserve">四、逐月測算總表（含檔期加碼）</w:t>
      </w:r>
    </w:p>
    <w:tbl>
      <w:tblPr>
        <w:tblW w:type="dxa" w:w="9350"/>
        <w:tblBorders>
          <w:top w:val="single" w:color="DDD6C7" w:sz="4"/>
          <w:left w:val="single" w:color="DDD6C7" w:sz="4"/>
          <w:bottom w:val="single" w:color="DDD6C7" w:sz="4"/>
          <w:right w:val="single" w:color="DDD6C7" w:sz="4"/>
          <w:insideH w:val="single" w:color="DDD6C7" w:sz="4"/>
          <w:insideV w:val="single" w:color="DDD6C7" w:sz="4"/>
        </w:tblBorders>
      </w:tblPr>
      <w:tblGrid>
        <w:gridCol w:w="1050"/>
        <w:gridCol w:w="1580"/>
        <w:gridCol w:w="1700"/>
        <w:gridCol w:w="1630"/>
        <w:gridCol w:w="1590"/>
        <w:gridCol w:w="1800"/>
      </w:tblGrid>
      <w:tr>
        <w:trPr>
          <w:tblHeader/>
        </w:trPr>
        <w:tc>
          <w:tcPr>
            <w:tcW w:type="dxa" w:w="105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月份／檔期</w:t>
            </w:r>
          </w:p>
        </w:tc>
        <w:tc>
          <w:tcPr>
            <w:tcW w:type="dxa" w:w="158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基礎預估業績</w:t>
            </w:r>
          </w:p>
        </w:tc>
        <w:tc>
          <w:tcPr>
            <w:tcW w:type="dxa" w:w="170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實際預估業績</w:t>
            </w:r>
          </w:p>
        </w:tc>
        <w:tc>
          <w:tcPr>
            <w:tcW w:type="dxa" w:w="163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標準回投行銷</w:t>
            </w:r>
          </w:p>
        </w:tc>
        <w:tc>
          <w:tcPr>
            <w:tcW w:type="dxa" w:w="159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檔期加碼投入</w:t>
            </w:r>
          </w:p>
        </w:tc>
        <w:tc>
          <w:tcPr>
            <w:tcW w:type="dxa" w:w="180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MOMO 新抽成</w:t>
            </w:r>
          </w:p>
        </w:tc>
      </w:tr>
      <w:tr>
        <w:tc>
          <w:tcPr>
            <w:tcW w:type="dxa" w:w="1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2026-08</w:t>
            </w:r>
          </w:p>
        </w:tc>
        <w:tc>
          <w:tcPr>
            <w:tcW w:type="dxa" w:w="1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NT$61,031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NT$61,031</w:t>
            </w:r>
          </w:p>
        </w:tc>
        <w:tc>
          <w:tcPr>
            <w:tcW w:type="dxa" w:w="16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NT$10,070</w:t>
            </w:r>
          </w:p>
        </w:tc>
        <w:tc>
          <w:tcPr>
            <w:tcW w:type="dxa" w:w="1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NT$6,103</w:t>
            </w:r>
          </w:p>
        </w:tc>
      </w:tr>
      <w:tr>
        <w:tc>
          <w:tcPr>
            <w:tcW w:type="dxa" w:w="105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2026-09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br/>
              <w:t xml:space="preserve">阿爾法九週年慶</w:t>
            </w:r>
          </w:p>
        </w:tc>
        <w:tc>
          <w:tcPr>
            <w:tcW w:type="dxa" w:w="158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NT$91,546</w:t>
            </w:r>
          </w:p>
        </w:tc>
        <w:tc>
          <w:tcPr>
            <w:tcW w:type="dxa" w:w="17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NT$119,009</w:t>
            </w:r>
          </w:p>
        </w:tc>
        <w:tc>
          <w:tcPr>
            <w:tcW w:type="dxa" w:w="163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NT$19,637</w:t>
            </w:r>
          </w:p>
        </w:tc>
        <w:tc>
          <w:tcPr>
            <w:tcW w:type="dxa" w:w="159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NT$50,000</w:t>
            </w:r>
          </w:p>
        </w:tc>
        <w:tc>
          <w:tcPr>
            <w:tcW w:type="dxa" w:w="18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NT$11,901</w:t>
            </w:r>
          </w:p>
        </w:tc>
      </w:tr>
      <w:tr>
        <w:tc>
          <w:tcPr>
            <w:tcW w:type="dxa" w:w="1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2026-10</w:t>
            </w:r>
          </w:p>
        </w:tc>
        <w:tc>
          <w:tcPr>
            <w:tcW w:type="dxa" w:w="1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NT$137,319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NT$137,319</w:t>
            </w:r>
          </w:p>
        </w:tc>
        <w:tc>
          <w:tcPr>
            <w:tcW w:type="dxa" w:w="16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NT$22,658</w:t>
            </w:r>
          </w:p>
        </w:tc>
        <w:tc>
          <w:tcPr>
            <w:tcW w:type="dxa" w:w="1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NT$13,732</w:t>
            </w:r>
          </w:p>
        </w:tc>
      </w:tr>
      <w:tr>
        <w:tc>
          <w:tcPr>
            <w:tcW w:type="dxa" w:w="105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2026-11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br/>
              <w:t xml:space="preserve">MOMO 雙十一</w:t>
            </w:r>
          </w:p>
        </w:tc>
        <w:tc>
          <w:tcPr>
            <w:tcW w:type="dxa" w:w="158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NT$205,978</w:t>
            </w:r>
          </w:p>
        </w:tc>
        <w:tc>
          <w:tcPr>
            <w:tcW w:type="dxa" w:w="17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NT$267,771</w:t>
            </w:r>
          </w:p>
        </w:tc>
        <w:tc>
          <w:tcPr>
            <w:tcW w:type="dxa" w:w="163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NT$44,182</w:t>
            </w:r>
          </w:p>
        </w:tc>
        <w:tc>
          <w:tcPr>
            <w:tcW w:type="dxa" w:w="159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NT$50,000</w:t>
            </w:r>
          </w:p>
        </w:tc>
        <w:tc>
          <w:tcPr>
            <w:tcW w:type="dxa" w:w="18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NT$26,777</w:t>
            </w:r>
          </w:p>
        </w:tc>
      </w:tr>
      <w:tr>
        <w:tc>
          <w:tcPr>
            <w:tcW w:type="dxa" w:w="10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2026-12</w:t>
            </w:r>
          </w:p>
        </w:tc>
        <w:tc>
          <w:tcPr>
            <w:tcW w:type="dxa" w:w="1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NT$308,967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NT$308,967</w:t>
            </w:r>
          </w:p>
        </w:tc>
        <w:tc>
          <w:tcPr>
            <w:tcW w:type="dxa" w:w="16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NT$50,980</w:t>
            </w:r>
          </w:p>
        </w:tc>
        <w:tc>
          <w:tcPr>
            <w:tcW w:type="dxa" w:w="159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—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NT$30,897</w:t>
            </w:r>
          </w:p>
        </w:tc>
      </w:tr>
      <w:tr>
        <w:tc>
          <w:tcPr>
            <w:tcW w:type="dxa" w:w="105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8"/>
                <w:szCs w:val="18"/>
              </w:rPr>
              <w:t xml:space="preserve">總計</w:t>
            </w:r>
          </w:p>
        </w:tc>
        <w:tc>
          <w:tcPr>
            <w:tcW w:type="dxa" w:w="158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8"/>
                <w:szCs w:val="18"/>
              </w:rPr>
              <w:t xml:space="preserve">NT$804,840</w:t>
            </w:r>
          </w:p>
        </w:tc>
        <w:tc>
          <w:tcPr>
            <w:tcW w:type="dxa" w:w="170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8"/>
                <w:szCs w:val="18"/>
              </w:rPr>
              <w:t xml:space="preserve">NT$894,097</w:t>
            </w:r>
          </w:p>
        </w:tc>
        <w:tc>
          <w:tcPr>
            <w:tcW w:type="dxa" w:w="163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8"/>
                <w:szCs w:val="18"/>
              </w:rPr>
              <w:t xml:space="preserve">NT$147,526</w:t>
            </w:r>
          </w:p>
        </w:tc>
        <w:tc>
          <w:tcPr>
            <w:tcW w:type="dxa" w:w="159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8"/>
                <w:szCs w:val="18"/>
              </w:rPr>
              <w:t xml:space="preserve">NT$100,000</w:t>
            </w:r>
          </w:p>
        </w:tc>
        <w:tc>
          <w:tcPr>
            <w:tcW w:type="dxa" w:w="180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8"/>
                <w:szCs w:val="18"/>
              </w:rPr>
              <w:t xml:space="preserve">NT$89,410</w:t>
            </w:r>
          </w:p>
        </w:tc>
      </w:tr>
    </w:tbl>
    <w:p>
      <w:pPr>
        <w:pStyle w:val="Heading1"/>
        <w:pBdr>
          <w:bottom w:val="single" w:color="0E8F62" w:sz="10" w:space="6"/>
        </w:pBdr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26221D"/>
          <w:sz w:val="30"/>
          <w:szCs w:val="30"/>
        </w:rPr>
        <w:t xml:space="preserve">五、檔期加碼效益測算</w:t>
      </w:r>
    </w:p>
    <w:p>
      <w:pPr>
        <w:spacing w:after="16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6221D"/>
          <w:sz w:val="21"/>
          <w:szCs w:val="21"/>
        </w:rPr>
        <w:t xml:space="preserve">以下獨立拆解兩檔期各自的「加碼投入 → 業績增量 → 回收率 → MOMO 增量抽成」，作為向 MOMO 說明加碼綜效的核心數據：</w:t>
      </w:r>
    </w:p>
    <w:tbl>
      <w:tblPr>
        <w:tblW w:type="dxa" w:w="9700"/>
        <w:tblBorders>
          <w:top w:val="single" w:color="DDD6C7" w:sz="4"/>
          <w:left w:val="single" w:color="DDD6C7" w:sz="4"/>
          <w:bottom w:val="single" w:color="DDD6C7" w:sz="4"/>
          <w:right w:val="single" w:color="DDD6C7" w:sz="4"/>
          <w:insideH w:val="single" w:color="DDD6C7" w:sz="4"/>
          <w:insideV w:val="single" w:color="DDD6C7" w:sz="4"/>
        </w:tblBorders>
      </w:tblPr>
      <w:tblGrid>
        <w:gridCol w:w="1200"/>
        <w:gridCol w:w="1400"/>
        <w:gridCol w:w="1430"/>
        <w:gridCol w:w="1450"/>
        <w:gridCol w:w="1450"/>
        <w:gridCol w:w="1420"/>
        <w:gridCol w:w="1350"/>
      </w:tblGrid>
      <w:tr>
        <w:trPr>
          <w:tblHeader/>
        </w:trPr>
        <w:tc>
          <w:tcPr>
            <w:tcW w:type="dxa" w:w="120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檔期</w:t>
            </w:r>
          </w:p>
        </w:tc>
        <w:tc>
          <w:tcPr>
            <w:tcW w:type="dxa" w:w="140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基礎預估業績</w:t>
            </w:r>
          </w:p>
        </w:tc>
        <w:tc>
          <w:tcPr>
            <w:tcW w:type="dxa" w:w="143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加碼後業績</w:t>
            </w:r>
          </w:p>
        </w:tc>
        <w:tc>
          <w:tcPr>
            <w:tcW w:type="dxa" w:w="145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業績增量</w:t>
            </w:r>
          </w:p>
        </w:tc>
        <w:tc>
          <w:tcPr>
            <w:tcW w:type="dxa" w:w="145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加碼投入</w:t>
            </w:r>
          </w:p>
        </w:tc>
        <w:tc>
          <w:tcPr>
            <w:tcW w:type="dxa" w:w="142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業績回收率</w:t>
            </w:r>
          </w:p>
        </w:tc>
        <w:tc>
          <w:tcPr>
            <w:tcW w:type="dxa" w:w="135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MOMO 增量抽成</w:t>
            </w:r>
          </w:p>
        </w:tc>
      </w:tr>
      <w:tr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7"/>
                <w:szCs w:val="17"/>
              </w:rPr>
              <w:t xml:space="preserve">阿爾法九週年慶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7"/>
                <w:szCs w:val="17"/>
              </w:rPr>
              <w:br/>
              <w:t xml:space="preserve">（2026-09）</w:t>
            </w:r>
          </w:p>
        </w:tc>
        <w:tc>
          <w:tcPr>
            <w:tcW w:type="dxa" w:w="1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7"/>
                <w:szCs w:val="17"/>
              </w:rPr>
              <w:t xml:space="preserve">NT$91,546</w:t>
            </w:r>
          </w:p>
        </w:tc>
        <w:tc>
          <w:tcPr>
            <w:tcW w:type="dxa" w:w="143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7"/>
                <w:szCs w:val="17"/>
              </w:rPr>
              <w:t xml:space="preserve">NT$119,009</w:t>
            </w:r>
          </w:p>
        </w:tc>
        <w:tc>
          <w:tcPr>
            <w:tcW w:type="dxa" w:w="14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7"/>
                <w:szCs w:val="17"/>
              </w:rPr>
              <w:t xml:space="preserve">+NT$27,463</w:t>
            </w:r>
          </w:p>
        </w:tc>
        <w:tc>
          <w:tcPr>
            <w:tcW w:type="dxa" w:w="14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7"/>
                <w:szCs w:val="17"/>
              </w:rPr>
              <w:t xml:space="preserve">NT$50,000</w:t>
            </w:r>
          </w:p>
        </w:tc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7"/>
                <w:szCs w:val="17"/>
              </w:rPr>
              <w:t xml:space="preserve">0.55x</w:t>
            </w:r>
          </w:p>
        </w:tc>
        <w:tc>
          <w:tcPr>
            <w:tcW w:type="dxa" w:w="13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7"/>
                <w:szCs w:val="17"/>
              </w:rPr>
              <w:t xml:space="preserve">+NT$2,746</w:t>
            </w:r>
          </w:p>
        </w:tc>
      </w:tr>
      <w:tr>
        <w:tc>
          <w:tcPr>
            <w:tcW w:type="dxa" w:w="12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7"/>
                <w:szCs w:val="17"/>
              </w:rPr>
              <w:t xml:space="preserve">MOMO 雙十一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7"/>
                <w:szCs w:val="17"/>
              </w:rPr>
              <w:br/>
              <w:t xml:space="preserve">（2026-11）</w:t>
            </w:r>
          </w:p>
        </w:tc>
        <w:tc>
          <w:tcPr>
            <w:tcW w:type="dxa" w:w="14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7"/>
                <w:szCs w:val="17"/>
              </w:rPr>
              <w:t xml:space="preserve">NT$205,978</w:t>
            </w:r>
          </w:p>
        </w:tc>
        <w:tc>
          <w:tcPr>
            <w:tcW w:type="dxa" w:w="143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7"/>
                <w:szCs w:val="17"/>
              </w:rPr>
              <w:t xml:space="preserve">NT$267,771</w:t>
            </w:r>
          </w:p>
        </w:tc>
        <w:tc>
          <w:tcPr>
            <w:tcW w:type="dxa" w:w="145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7"/>
                <w:szCs w:val="17"/>
              </w:rPr>
              <w:t xml:space="preserve">+NT$61,793</w:t>
            </w:r>
          </w:p>
        </w:tc>
        <w:tc>
          <w:tcPr>
            <w:tcW w:type="dxa" w:w="145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7"/>
                <w:szCs w:val="17"/>
              </w:rPr>
              <w:t xml:space="preserve">NT$50,000</w:t>
            </w:r>
          </w:p>
        </w:tc>
        <w:tc>
          <w:tcPr>
            <w:tcW w:type="dxa" w:w="142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7"/>
                <w:szCs w:val="17"/>
              </w:rPr>
              <w:t xml:space="preserve">1.24x</w:t>
            </w:r>
          </w:p>
        </w:tc>
        <w:tc>
          <w:tcPr>
            <w:tcW w:type="dxa" w:w="135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7"/>
                <w:szCs w:val="17"/>
              </w:rPr>
              <w:t xml:space="preserve">+NT$6,179</w:t>
            </w:r>
          </w:p>
        </w:tc>
      </w:tr>
      <w:tr>
        <w:tc>
          <w:tcPr>
            <w:tcW w:type="dxa" w:w="120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7"/>
                <w:szCs w:val="17"/>
              </w:rPr>
              <w:t xml:space="preserve">合計</w:t>
            </w:r>
          </w:p>
        </w:tc>
        <w:tc>
          <w:tcPr>
            <w:tcW w:type="dxa" w:w="140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7"/>
                <w:szCs w:val="17"/>
              </w:rPr>
              <w:t xml:space="preserve">NT$297,524</w:t>
            </w:r>
          </w:p>
        </w:tc>
        <w:tc>
          <w:tcPr>
            <w:tcW w:type="dxa" w:w="143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7"/>
                <w:szCs w:val="17"/>
              </w:rPr>
              <w:t xml:space="preserve">NT$386,780</w:t>
            </w:r>
          </w:p>
        </w:tc>
        <w:tc>
          <w:tcPr>
            <w:tcW w:type="dxa" w:w="145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7"/>
                <w:szCs w:val="17"/>
              </w:rPr>
              <w:t xml:space="preserve">+NT$89,256</w:t>
            </w:r>
          </w:p>
        </w:tc>
        <w:tc>
          <w:tcPr>
            <w:tcW w:type="dxa" w:w="145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7"/>
                <w:szCs w:val="17"/>
              </w:rPr>
              <w:t xml:space="preserve">NT$100,000</w:t>
            </w:r>
          </w:p>
        </w:tc>
        <w:tc>
          <w:tcPr>
            <w:tcW w:type="dxa" w:w="142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7"/>
                <w:szCs w:val="17"/>
              </w:rPr>
              <w:t xml:space="preserve">0.89x（平均）</w:t>
            </w:r>
          </w:p>
        </w:tc>
        <w:tc>
          <w:tcPr>
            <w:tcW w:type="dxa" w:w="135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7"/>
                <w:szCs w:val="17"/>
              </w:rPr>
              <w:t xml:space="preserve">+NT$8,926</w:t>
            </w:r>
          </w:p>
        </w:tc>
      </w:tr>
    </w:tbl>
    <w:p>
      <w:pPr>
        <w:spacing w:after="16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6B6355"/>
          <w:sz w:val="17"/>
          <w:szCs w:val="17"/>
        </w:rPr>
        <w:t xml:space="preserve">業績回收率＝業績增量 ÷ 加碼投入。雙十一檔期回收率較高（1.24x），主因該月基礎業績基期本身較高，同樣 30% 的提升幅度可換得更大的絕對增量；九週年慶檔期基期較低，回收率相對保守（0.55x）。</w:t>
      </w:r>
    </w:p>
    <w:p>
      <w:pPr>
        <w:pStyle w:val="Heading1"/>
        <w:pBdr>
          <w:bottom w:val="single" w:color="0E8F62" w:sz="10" w:space="6"/>
        </w:pBdr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26221D"/>
          <w:sz w:val="30"/>
          <w:szCs w:val="30"/>
        </w:rPr>
        <w:t xml:space="preserve">六、整體效益總覽（5 個月，含檔期加碼）</w:t>
      </w:r>
    </w:p>
    <w:tbl>
      <w:tblPr>
        <w:tblW w:type="dxa" w:w="935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37"/>
        <w:gridCol w:w="2337"/>
        <w:gridCol w:w="2337"/>
        <w:gridCol w:w="2337"/>
      </w:tblGrid>
      <w:tr>
        <w:tc>
          <w:tcPr>
            <w:tcW w:type="dxa" w:w="2337"/>
            <w:shd w:fill="DCF0E7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355"/>
                <w:sz w:val="16"/>
                <w:szCs w:val="16"/>
              </w:rPr>
              <w:t xml:space="preserve">累計預估業績（含加碼）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26221D"/>
                <w:sz w:val="30"/>
                <w:szCs w:val="30"/>
              </w:rPr>
              <w:t xml:space="preserve">NT$894,097</w:t>
            </w:r>
          </w:p>
          <w:p>
            <w:r>
              <w:rPr>
                <w:rFonts w:ascii="Microsoft JhengHei" w:cs="Microsoft JhengHei" w:eastAsia="Microsoft JhengHei" w:hAnsi="Microsoft JhengHei"/>
                <w:color w:val="6B6355"/>
                <w:sz w:val="15"/>
                <w:szCs w:val="15"/>
              </w:rPr>
              <w:t xml:space="preserve">較未加碼版本 +NT$89,257（+11.1%）</w:t>
            </w:r>
          </w:p>
        </w:tc>
        <w:tc>
          <w:tcPr>
            <w:tcW w:type="dxa" w:w="2337"/>
            <w:shd w:fill="DCF0E7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355"/>
                <w:sz w:val="16"/>
                <w:szCs w:val="16"/>
              </w:rPr>
              <w:t xml:space="preserve">累計行銷投入（標準＋加碼）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26221D"/>
                <w:sz w:val="30"/>
                <w:szCs w:val="30"/>
              </w:rPr>
              <w:t xml:space="preserve">NT$247,526</w:t>
            </w:r>
          </w:p>
          <w:p>
            <w:r>
              <w:rPr>
                <w:rFonts w:ascii="Microsoft JhengHei" w:cs="Microsoft JhengHei" w:eastAsia="Microsoft JhengHei" w:hAnsi="Microsoft JhengHei"/>
                <w:color w:val="6B6355"/>
                <w:sz w:val="15"/>
                <w:szCs w:val="15"/>
              </w:rPr>
              <w:t xml:space="preserve">標準回投 NT$147,526 ＋ 檔期加碼 NT$100,000</w:t>
            </w:r>
          </w:p>
        </w:tc>
        <w:tc>
          <w:tcPr>
            <w:tcW w:type="dxa" w:w="2337"/>
            <w:shd w:fill="DCF0E7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355"/>
                <w:sz w:val="16"/>
                <w:szCs w:val="16"/>
              </w:rPr>
              <w:t xml:space="preserve">MOMO 累計新抽成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26221D"/>
                <w:sz w:val="30"/>
                <w:szCs w:val="30"/>
              </w:rPr>
              <w:t xml:space="preserve">NT$89,410</w:t>
            </w:r>
          </w:p>
          <w:p>
            <w:r>
              <w:rPr>
                <w:rFonts w:ascii="Microsoft JhengHei" w:cs="Microsoft JhengHei" w:eastAsia="Microsoft JhengHei" w:hAnsi="Microsoft JhengHei"/>
                <w:color w:val="6B6355"/>
                <w:sz w:val="15"/>
                <w:szCs w:val="15"/>
              </w:rPr>
              <w:t xml:space="preserve">較「現狀不變」情境多創造 +NT$35,500</w:t>
            </w:r>
          </w:p>
        </w:tc>
        <w:tc>
          <w:tcPr>
            <w:tcW w:type="dxa" w:w="2337"/>
            <w:shd w:fill="DCF0E7" w:val="clear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6355"/>
                <w:sz w:val="16"/>
                <w:szCs w:val="16"/>
              </w:rPr>
              <w:t xml:space="preserve">我方淨留存（毛留存）</w:t>
            </w:r>
          </w:p>
          <w:p>
            <w:pPr>
              <w:spacing w:after="40"/>
            </w:pPr>
            <w:r>
              <w:rPr>
                <w:rFonts w:ascii="Consolas" w:cs="Consolas" w:eastAsia="Consolas" w:hAnsi="Consolas"/>
                <w:b/>
                <w:bCs/>
                <w:color w:val="26221D"/>
                <w:sz w:val="30"/>
                <w:szCs w:val="30"/>
              </w:rPr>
              <w:t xml:space="preserve">NT$557,161</w:t>
            </w:r>
          </w:p>
          <w:p>
            <w:r>
              <w:rPr>
                <w:rFonts w:ascii="Microsoft JhengHei" w:cs="Microsoft JhengHei" w:eastAsia="Microsoft JhengHei" w:hAnsi="Microsoft JhengHei"/>
                <w:color w:val="6B6355"/>
                <w:sz w:val="15"/>
                <w:szCs w:val="15"/>
              </w:rPr>
              <w:t xml:space="preserve">含待投入行銷預算，未扣加碼投入之機會成本</w:t>
            </w:r>
          </w:p>
        </w:tc>
      </w:tr>
    </w:tbl>
    <w:p>
      <w:pPr>
        <w:pStyle w:val="Heading1"/>
        <w:pBdr>
          <w:bottom w:val="single" w:color="0E8F62" w:sz="10" w:space="6"/>
        </w:pBdr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26221D"/>
          <w:sz w:val="30"/>
          <w:szCs w:val="30"/>
        </w:rPr>
        <w:t xml:space="preserve">七、給 MOMO 的資源需求與結論訴求</w:t>
      </w:r>
    </w:p>
    <w:p>
      <w:pPr>
        <w:spacing w:after="16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6221D"/>
          <w:sz w:val="21"/>
          <w:szCs w:val="21"/>
        </w:rPr>
        <w:t xml:space="preserve">阿爾法在此方案中承諾於兩大檔期主動加碼、自負行銷投入風險，並額外導入 O2O 導流機制，目的是把 MOMO 平台的檔期流量轉化為實際業績與實體門店客流，也讓 MOMO 在檔期期間收到的抽成金額同步放大。基於此，我方期待 MOMO 提供以下對應資源，讓雙方投入形成加乘效果：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6221D"/>
          <w:sz w:val="21"/>
          <w:szCs w:val="21"/>
        </w:rPr>
        <w:t xml:space="preserve">九週年慶及雙十一檔期期間，提供站內曝光資源（首頁 banner、分類頁、EDM）與檔期活動報名資格，比照母親節檔期松露雞湯禮盒之曝光規格。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6221D"/>
          <w:sz w:val="21"/>
          <w:szCs w:val="21"/>
        </w:rPr>
        <w:t xml:space="preserve">針對兩檔期之關鍵字廣告／站內廣告，提供競價成本優惠或廣告金折抵，提升阿爾法加碼預算的實際觸及效率。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6221D"/>
          <w:sz w:val="21"/>
          <w:szCs w:val="21"/>
        </w:rPr>
        <w:t xml:space="preserve">技術面支援訂單成立後之虛擬券自動派發機制，並協助安排阿爾法／MOMO／票券發行商（宜叡）三方系統串接會議，確認核銷與數據回饋流程。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6221D"/>
          <w:sz w:val="21"/>
          <w:szCs w:val="21"/>
        </w:rPr>
        <w:t xml:space="preserve">維持既有降抽成與差額回投行銷之核心方案（26.5% → 10.0%，差額 1:1 全數回投），作為長期合作基礎，本檔期加碼與 O2O 導流為此基礎之上的額外投入。</w:t>
      </w:r>
    </w:p>
    <w:p>
      <w:pPr>
        <w:spacing w:after="16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6221D"/>
          <w:sz w:val="21"/>
          <w:szCs w:val="21"/>
        </w:rPr>
        <w:t xml:space="preserve">整體而言：即使不計入兩檔期加碼效果，本方案在 +50% 月成長假設下，MOMO 於 5 個月內已可比「抽成維持 26.5%、業績持平」之現狀多收 +NT$26,574 的抽成收入；疊加兩檔期加碼後，5 個月合計可為 MOMO 額外貢獻 +NT$35,500 的抽成收入，其中兩檔期加碼本身即貢獻 +NT$8,925。</w:t>
      </w:r>
    </w:p>
    <w:p>
      <w:pPr>
        <w:pBdr>
          <w:bottom w:val="single" w:color="C4362F" w:sz="6" w:space="1"/>
        </w:pBdr>
        <w:spacing w:after="240" w:before="4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C4362F" w:sz="10" w:space="6"/>
        </w:pBdr>
        <w:spacing w:after="160" w:before="320"/>
      </w:pPr>
      <w:r>
        <w:rPr>
          <w:rFonts w:ascii="Microsoft JhengHei" w:cs="Microsoft JhengHei" w:eastAsia="Microsoft JhengHei" w:hAnsi="Microsoft JhengHei"/>
          <w:b/>
          <w:bCs/>
          <w:color w:val="26221D"/>
          <w:sz w:val="30"/>
          <w:szCs w:val="30"/>
        </w:rPr>
        <w:t xml:space="preserve">附錄：阿爾法內部財務評估（僅供內部參考，非提案予 MOMO 之內容）</w:t>
      </w:r>
    </w:p>
    <w:p>
      <w:pPr>
        <w:pBdr>
          <w:top w:val="single" w:color="C4362F" w:sz="4" w:space="8"/>
          <w:bottom w:val="single" w:color="C4362F" w:sz="4" w:space="8"/>
          <w:left w:val="single" w:color="C4362F" w:sz="16" w:space="8"/>
          <w:right w:val="single" w:color="C4362F" w:sz="4" w:space="8"/>
        </w:pBdr>
        <w:shd w:fill="FBE7E5" w:val="clear"/>
        <w:spacing w:after="200" w:before="60"/>
        <w:ind w:left="215"/>
      </w:pPr>
      <w:r>
        <w:rPr>
          <w:rFonts w:ascii="Microsoft JhengHei" w:cs="Microsoft JhengHei" w:eastAsia="Microsoft JhengHei" w:hAnsi="Microsoft JhengHei"/>
          <w:color w:val="6B211D"/>
          <w:sz w:val="19"/>
          <w:szCs w:val="19"/>
        </w:rPr>
        <w:t xml:space="preserve">以下內容評估阿爾法自身損益，屬內部決策參考，不建議納入提供予 MOMO 之提案版本。</w:t>
      </w:r>
    </w:p>
    <w:p>
      <w:pPr>
        <w:spacing w:after="16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6221D"/>
          <w:sz w:val="21"/>
          <w:szCs w:val="21"/>
        </w:rPr>
        <w:t xml:space="preserve">本方案採用阿爾法餐飲預估毛利率 5%（較先前內部測算之 8% 更保守）。在 1:1（100%）回投比例下，打平所需毛利率為 16.5%，現行 5% 毛利率下之毛利回收率僅 30.3%，5 個月（不含檔期加碼）預估已有毛利缺口。</w:t>
      </w:r>
    </w:p>
    <w:p>
      <w:pPr>
        <w:spacing w:after="16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6221D"/>
          <w:sz w:val="21"/>
          <w:szCs w:val="21"/>
        </w:rPr>
        <w:t xml:space="preserve">計入兩檔期各 NT$50,000 加碼後，缺口進一步擴大：5 個月累積毛利－行銷差額約為 -NT$202,821。</w:t>
      </w:r>
    </w:p>
    <w:tbl>
      <w:tblPr>
        <w:tblW w:type="dxa" w:w="9350"/>
        <w:tblBorders>
          <w:top w:val="single" w:color="DDD6C7" w:sz="4"/>
          <w:left w:val="single" w:color="DDD6C7" w:sz="4"/>
          <w:bottom w:val="single" w:color="DDD6C7" w:sz="4"/>
          <w:right w:val="single" w:color="DDD6C7" w:sz="4"/>
          <w:insideH w:val="single" w:color="DDD6C7" w:sz="4"/>
          <w:insideV w:val="single" w:color="DDD6C7" w:sz="4"/>
        </w:tblBorders>
      </w:tblPr>
      <w:tblGrid>
        <w:gridCol w:w="1300"/>
        <w:gridCol w:w="1600"/>
        <w:gridCol w:w="1550"/>
        <w:gridCol w:w="1600"/>
        <w:gridCol w:w="1600"/>
        <w:gridCol w:w="1700"/>
      </w:tblGrid>
      <w:tr>
        <w:trPr>
          <w:tblHeader/>
        </w:trPr>
        <w:tc>
          <w:tcPr>
            <w:tcW w:type="dxa" w:w="130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月份</w:t>
            </w:r>
          </w:p>
        </w:tc>
        <w:tc>
          <w:tcPr>
            <w:tcW w:type="dxa" w:w="160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實際預估業績</w:t>
            </w:r>
          </w:p>
        </w:tc>
        <w:tc>
          <w:tcPr>
            <w:tcW w:type="dxa" w:w="155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毛利額(5%)</w:t>
            </w:r>
          </w:p>
        </w:tc>
        <w:tc>
          <w:tcPr>
            <w:tcW w:type="dxa" w:w="160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合計行銷投入</w:t>
            </w:r>
          </w:p>
        </w:tc>
        <w:tc>
          <w:tcPr>
            <w:tcW w:type="dxa" w:w="160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毛利－行銷差額</w:t>
            </w:r>
          </w:p>
        </w:tc>
        <w:tc>
          <w:tcPr>
            <w:tcW w:type="dxa" w:w="1700"/>
            <w:shd w:fill="0E8F62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累積差額</w:t>
            </w:r>
          </w:p>
        </w:tc>
      </w:tr>
      <w:tr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2026-08</w:t>
            </w:r>
          </w:p>
        </w:tc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NT$61,031</w:t>
            </w:r>
          </w:p>
        </w:tc>
        <w:tc>
          <w:tcPr>
            <w:tcW w:type="dxa" w:w="1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NT$3,052</w:t>
            </w:r>
          </w:p>
        </w:tc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NT$10,070</w:t>
            </w:r>
          </w:p>
        </w:tc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-NT$7,019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-NT$7,019</w:t>
            </w:r>
          </w:p>
        </w:tc>
      </w:tr>
      <w:tr>
        <w:tc>
          <w:tcPr>
            <w:tcW w:type="dxa" w:w="13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2026-09</w:t>
            </w:r>
          </w:p>
        </w:tc>
        <w:tc>
          <w:tcPr>
            <w:tcW w:type="dxa" w:w="16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NT$119,009</w:t>
            </w:r>
          </w:p>
        </w:tc>
        <w:tc>
          <w:tcPr>
            <w:tcW w:type="dxa" w:w="155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NT$5,950</w:t>
            </w:r>
          </w:p>
        </w:tc>
        <w:tc>
          <w:tcPr>
            <w:tcW w:type="dxa" w:w="16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NT$69,637</w:t>
            </w:r>
          </w:p>
        </w:tc>
        <w:tc>
          <w:tcPr>
            <w:tcW w:type="dxa" w:w="16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-NT$63,686</w:t>
            </w:r>
          </w:p>
        </w:tc>
        <w:tc>
          <w:tcPr>
            <w:tcW w:type="dxa" w:w="17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-NT$70,705</w:t>
            </w:r>
          </w:p>
        </w:tc>
      </w:tr>
      <w:tr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2026-10</w:t>
            </w:r>
          </w:p>
        </w:tc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NT$137,319</w:t>
            </w:r>
          </w:p>
        </w:tc>
        <w:tc>
          <w:tcPr>
            <w:tcW w:type="dxa" w:w="1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NT$6,866</w:t>
            </w:r>
          </w:p>
        </w:tc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NT$22,658</w:t>
            </w:r>
          </w:p>
        </w:tc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-NT$15,792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-NT$86,496</w:t>
            </w:r>
          </w:p>
        </w:tc>
      </w:tr>
      <w:tr>
        <w:tc>
          <w:tcPr>
            <w:tcW w:type="dxa" w:w="13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2026-11</w:t>
            </w:r>
          </w:p>
        </w:tc>
        <w:tc>
          <w:tcPr>
            <w:tcW w:type="dxa" w:w="16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NT$267,771</w:t>
            </w:r>
          </w:p>
        </w:tc>
        <w:tc>
          <w:tcPr>
            <w:tcW w:type="dxa" w:w="155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NT$13,389</w:t>
            </w:r>
          </w:p>
        </w:tc>
        <w:tc>
          <w:tcPr>
            <w:tcW w:type="dxa" w:w="16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NT$94,182</w:t>
            </w:r>
          </w:p>
        </w:tc>
        <w:tc>
          <w:tcPr>
            <w:tcW w:type="dxa" w:w="16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-NT$80,794</w:t>
            </w:r>
          </w:p>
        </w:tc>
        <w:tc>
          <w:tcPr>
            <w:tcW w:type="dxa" w:w="1700"/>
            <w:shd w:fill="FBFAF6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-NT$167,290</w:t>
            </w:r>
          </w:p>
        </w:tc>
      </w:tr>
      <w:tr>
        <w:tc>
          <w:tcPr>
            <w:tcW w:type="dxa" w:w="1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2026-12</w:t>
            </w:r>
          </w:p>
        </w:tc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NT$308,967</w:t>
            </w:r>
          </w:p>
        </w:tc>
        <w:tc>
          <w:tcPr>
            <w:tcW w:type="dxa" w:w="15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NT$15,448</w:t>
            </w:r>
          </w:p>
        </w:tc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NT$50,980</w:t>
            </w:r>
          </w:p>
        </w:tc>
        <w:tc>
          <w:tcPr>
            <w:tcW w:type="dxa" w:w="1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-NT$35,531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6221D"/>
                <w:sz w:val="18"/>
                <w:szCs w:val="18"/>
              </w:rPr>
              <w:t xml:space="preserve">-NT$202,821</w:t>
            </w:r>
          </w:p>
        </w:tc>
      </w:tr>
      <w:tr>
        <w:tc>
          <w:tcPr>
            <w:tcW w:type="dxa" w:w="130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8"/>
                <w:szCs w:val="18"/>
              </w:rPr>
              <w:t xml:space="preserve">總計</w:t>
            </w:r>
          </w:p>
        </w:tc>
        <w:tc>
          <w:tcPr>
            <w:tcW w:type="dxa" w:w="160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8"/>
                <w:szCs w:val="18"/>
              </w:rPr>
              <w:t xml:space="preserve">NT$894,097</w:t>
            </w:r>
          </w:p>
        </w:tc>
        <w:tc>
          <w:tcPr>
            <w:tcW w:type="dxa" w:w="155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8"/>
                <w:szCs w:val="18"/>
              </w:rPr>
              <w:t xml:space="preserve">NT$44,705</w:t>
            </w:r>
          </w:p>
        </w:tc>
        <w:tc>
          <w:tcPr>
            <w:tcW w:type="dxa" w:w="160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8"/>
                <w:szCs w:val="18"/>
              </w:rPr>
              <w:t xml:space="preserve">NT$247,526</w:t>
            </w:r>
          </w:p>
        </w:tc>
        <w:tc>
          <w:tcPr>
            <w:tcW w:type="dxa" w:w="160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8"/>
                <w:szCs w:val="18"/>
              </w:rPr>
              <w:t xml:space="preserve">-NT$202,821</w:t>
            </w:r>
          </w:p>
        </w:tc>
        <w:tc>
          <w:tcPr>
            <w:tcW w:type="dxa" w:w="1700"/>
            <w:shd w:fill="EFEAE0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26221D"/>
                <w:sz w:val="18"/>
                <w:szCs w:val="18"/>
              </w:rPr>
              <w:t xml:space="preserve">-NT$202,821</w:t>
            </w:r>
          </w:p>
        </w:tc>
      </w:tr>
    </w:tbl>
    <w:p>
      <w:pPr>
        <w:spacing w:after="160" w:line="320"/>
      </w:pPr>
      <w:r>
        <w:rPr>
          <w:rFonts w:ascii="Microsoft JhengHei" w:cs="Microsoft JhengHei" w:eastAsia="Microsoft JhengHei" w:hAnsi="Microsoft JhengHei"/>
          <w:b w:val="false"/>
          <w:bCs w:val="false"/>
          <w:i w:val="false"/>
          <w:iCs w:val="false"/>
          <w:color w:val="26221D"/>
          <w:sz w:val="19"/>
          <w:szCs w:val="19"/>
        </w:rPr>
        <w:t xml:space="preserve">兩檔期加碼本身的毛利回收率：九週年慶約 3%（NT$50,000 加碼僅換得約 NT$1,373 毛利），雙十一約 6%（約 NT$3,090 毛利）——遠低於打平所需水準。建議內部決策時將此列入考量：或重新確認實際毛利率是否高於 5% 之保守估計，或將部分加碼預算改以異業合作、會員導流等非現金方式執行，以降低現金成本。</w:t>
      </w:r>
    </w:p>
    <w:p>
      <w:pPr>
        <w:pBdr>
          <w:bottom w:val="single" w:color="DDD6C7" w:sz="6" w:space="1"/>
        </w:pBdr>
        <w:spacing w:after="240" w:before="40"/>
      </w:pPr>
      <w:r>
        <w:rPr>
          <w:sz w:val="2"/>
          <w:szCs w:val="2"/>
        </w:rPr>
        <w:t xml:space="preserve"/>
      </w:r>
    </w:p>
    <w:p>
      <w:pPr>
        <w:spacing w:after="0"/>
      </w:pPr>
      <w:r>
        <w:rPr>
          <w:rFonts w:ascii="Microsoft JhengHei" w:cs="Microsoft JhengHei" w:eastAsia="Microsoft JhengHei" w:hAnsi="Microsoft JhengHei"/>
          <w:color w:val="6B6355"/>
          <w:sz w:val="16"/>
          <w:szCs w:val="16"/>
        </w:rPr>
        <w:t xml:space="preserve">資料來源：《MOMO 渠道合作深化與行銷提案報告》（提案部門：專案發展部/業務部，2026年8月11日）。本報告數字由《MOMO 渠道談判測算器》延伸計算產生（毛利率5%、1:1回投、九週年慶與雙十一各加碼NT$50,000／+30%單月業績），實際成效請以每月「實際追蹤」數據滾動校正。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26221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2026-08-11T05:11:33.745Z</dcterms:created>
  <dcterms:modified xsi:type="dcterms:W3CDTF">2026-08-11T05:11:33.745Z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