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44"/>
          <w:szCs w:val="44"/>
        </w:rPr>
        <w:t xml:space="preserve">MOMO 渠道談判測算總結報告</w:t>
      </w:r>
    </w:p>
    <w:p>
      <w:pPr>
        <w:spacing w:after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4"/>
          <w:szCs w:val="24"/>
        </w:rPr>
        <w:t xml:space="preserve">整體測算邏輯與投入金額・營業額・回收率總覽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color w:val="6B6355"/>
          <w:sz w:val="18"/>
          <w:szCs w:val="18"/>
        </w:rPr>
        <w:t xml:space="preserve">提案部門：專案發展部 / 業務部　|　報告日期：2026年8月11日　|　情境：差額回投比例 1:1（100%，報告原始方案）</w:t>
      </w:r>
    </w:p>
    <w:p>
      <w:pPr>
        <w:pBdr>
          <w:bottom w:val="single" w:color="DDD6C7" w:sz="6" w:space="1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一、報告目的與範圍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本報告彙整《MOMO 渠道談判測算器》（互動計算工具）於「差額回投比例 1:1（100%）」情境下的完整運算邏輯，並將關鍵結果——預估行銷投入金額、預估營業額、以及兩種角度的回收率——整理為固定格式報告，供管理階層審閱與後續談判準備使用。1:1 為報告原始提案之承諾比例：抽成差額全數、且僅全數回投行銷，不額外加碼自籌預算。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由於原始計算工具的所有假設（基期業績、抽成、回投比例、成長率、毛利率）皆可調整，本報告呈現的是「回投比例 1:1」情境下的一次快照結果；假設調整後，請以工具即時運算結果為準。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22"/>
          <w:szCs w:val="22"/>
        </w:rPr>
        <w:t xml:space="preserve">本情境假設參數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7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設定值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基期月份／基期實際業績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2026-07　NT$40,687</w:t>
            </w:r>
          </w:p>
        </w:tc>
      </w:tr>
      <w:tr>
        <w:tc>
          <w:tcPr>
            <w:tcW w:type="dxa" w:w="3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現行平台抽成 → 爭取平台抽成</w:t>
            </w:r>
          </w:p>
        </w:tc>
        <w:tc>
          <w:tcPr>
            <w:tcW w:type="dxa" w:w="57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26.5% → 10.0%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差額回投行銷比例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100%（1:1，報告原始方案）</w:t>
            </w:r>
          </w:p>
        </w:tc>
      </w:tr>
      <w:tr>
        <w:tc>
          <w:tcPr>
            <w:tcW w:type="dxa" w:w="3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假設月成長倍數</w:t>
            </w:r>
          </w:p>
        </w:tc>
        <w:tc>
          <w:tcPr>
            <w:tcW w:type="dxa" w:w="57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1.50x（每月 +50%）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預估區間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2026-08 至 2026-12，共 5 個月</w:t>
            </w:r>
          </w:p>
        </w:tc>
      </w:tr>
      <w:tr>
        <w:tc>
          <w:tcPr>
            <w:tcW w:type="dxa" w:w="3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阿爾法餐飲預估毛利率</w:t>
            </w:r>
          </w:p>
        </w:tc>
        <w:tc>
          <w:tcPr>
            <w:tcW w:type="dxa" w:w="57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8.0%（可調範圍 0%–15%）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二、測算邏輯與方法論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整體模型分為三層，逐層回答「業績會長多少」「MOMO 願不願意」「阿爾法划不划算」三個問題：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2.1　業績成長模型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以基期實際業績為起點，假設每月較前月固定倍數成長：</w:t>
      </w:r>
    </w:p>
    <w:p>
      <w:pPr>
        <w:pBdr>
          <w:left w:val="single" w:color="0E8F62" w:sz="16" w:space="8"/>
        </w:pBdr>
        <w:shd w:fill="F7F4EE" w:val="clear"/>
        <w:spacing w:after="160" w:before="60"/>
        <w:ind w:left="360"/>
      </w:pPr>
      <w:r>
        <w:rPr>
          <w:rFonts w:ascii="Consolas" w:cs="Consolas" w:eastAsia="Consolas" w:hAnsi="Consolas"/>
          <w:color w:val="3D372B"/>
          <w:sz w:val="20"/>
          <w:szCs w:val="20"/>
        </w:rPr>
        <w:t xml:space="preserve">預估營業額(第 i 月) = 基期業績 × 成長倍數 ^ i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2.2　抽成與行銷預算拆解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每月營業額依新舊抽成方案拆解為三部分——MOMO 抽成、回投行銷預算、我方淨留存——三者加總等於當月總營業額：</w:t>
      </w:r>
    </w:p>
    <w:p>
      <w:pPr>
        <w:pBdr>
          <w:left w:val="single" w:color="0E8F62" w:sz="16" w:space="8"/>
        </w:pBdr>
        <w:shd w:fill="F7F4EE" w:val="clear"/>
        <w:spacing w:after="160" w:before="60"/>
        <w:ind w:left="360"/>
      </w:pPr>
      <w:r>
        <w:rPr>
          <w:rFonts w:ascii="Consolas" w:cs="Consolas" w:eastAsia="Consolas" w:hAnsi="Consolas"/>
          <w:color w:val="3D372B"/>
          <w:sz w:val="20"/>
          <w:szCs w:val="20"/>
        </w:rPr>
        <w:t xml:space="preserve">原抽成 = 營業額 × 26.5%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新抽成 = 營業額 × 10.0%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差額比例 = 26.5% − 10.0% = 16.5%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行銷投入金額 = 營業額 × 差額比例 × 回投比例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我方淨留存 = 營業額 − 新抽成 − 行銷投入金額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2.3　談判論點：MOMO 損益兩平成長率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降抽成不必然代表 MOMO 少賺——只要業績成長率超過某個門檻，MOMO 在新方案（10%）下收到的抽成「金額」，就會反超「抽成維持 26.5%、業績持平不變」的現狀情境。此門檻求解方式：</w:t>
      </w:r>
    </w:p>
    <w:p>
      <w:pPr>
        <w:pBdr>
          <w:left w:val="single" w:color="0E8F62" w:sz="16" w:space="8"/>
        </w:pBdr>
        <w:shd w:fill="F7F4EE" w:val="clear"/>
        <w:spacing w:after="160" w:before="60"/>
        <w:ind w:left="360"/>
      </w:pPr>
      <w:r>
        <w:rPr>
          <w:rFonts w:ascii="Consolas" w:cs="Consolas" w:eastAsia="Consolas" w:hAnsi="Consolas"/>
          <w:color w:val="3D372B"/>
          <w:sz w:val="20"/>
          <w:szCs w:val="20"/>
        </w:rPr>
        <w:t xml:space="preserve">求解 g，使　Σ(營業額_i × 10%)　=　月數 × 基期業績 × 26.5%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（即：新方案累計抽成總額 = 現狀不變累計抽成總額）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在目前假設下，此損益兩平成長率 g 約為 +34.5%／月；本提案採用假設為 +50%／月，高出門檻 15.5 個百分點，具備安全邊際——此為對 MOMO 的核心談判論點。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2.4　毛利平衡點：阿爾法自身的損益兩平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業績成長不等於獲利成長。行銷投入金額是營業額的固定比例，若阿爾法餐飲實際毛利率不夠高，業績翻倍也可能是虧本衝量。求解方式：</w:t>
      </w:r>
    </w:p>
    <w:p>
      <w:pPr>
        <w:pBdr>
          <w:left w:val="single" w:color="0E8F62" w:sz="16" w:space="8"/>
        </w:pBdr>
        <w:shd w:fill="F7F4EE" w:val="clear"/>
        <w:spacing w:after="160" w:before="60"/>
        <w:ind w:left="360"/>
      </w:pPr>
      <w:r>
        <w:rPr>
          <w:rFonts w:ascii="Consolas" w:cs="Consolas" w:eastAsia="Consolas" w:hAnsi="Consolas"/>
          <w:color w:val="3D372B"/>
          <w:sz w:val="20"/>
          <w:szCs w:val="20"/>
        </w:rPr>
        <w:t xml:space="preserve">打平所需毛利率 = 差額比例(16.5%) × 回投比例</w:t>
      </w:r>
      <w:r>
        <w:rPr>
          <w:rFonts w:ascii="Consolas" w:cs="Consolas" w:eastAsia="Consolas" w:hAnsi="Consolas"/>
          <w:color w:val="3D372B"/>
          <w:sz w:val="20"/>
          <w:szCs w:val="20"/>
        </w:rPr>
        <w:br/>
        <w:t xml:space="preserve">現行毛利率下可承受之回投比例上限 = 毛利率 ÷ 差額比例(16.5%)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在報告原始的 1:1（100%）回投比例之下，打平所需毛利率為 16.5%，僅略高於阿爾法餐飲合理毛利率上限 15%，屬於「接近打平但未達」的邊界——遠比加碼至 1:2（200%）回投時打平門檻高達 33.0% 來得健康。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2.5　兩種「回收率」的定義差異（務必區分）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本報告的回收率有兩種完全不同的意義，分析時不可混用：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業績回收率（ROAS，模型隱含假設）：衡量「行銷投入是否真的帶動了營收成長」。定義為當月營收增量 ÷ 前月行銷投入金額；在本模型固定比例的結構下，此比值在所有月份皆相同，等於 (成長倍數−1) ÷ (差額比例 × 回投比例)。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毛利回收率（實際獲利觀點）：衡量「業績成長換來的錢，夠不夠付行銷費」。定義為當月毛利額 ÷ 當月行銷投入金額，等於毛利率 ÷ (差額比例 × 回投比例)。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B6355"/>
          <w:sz w:val="21"/>
          <w:szCs w:val="21"/>
        </w:rPr>
        <w:t xml:space="preserve">業績回收率漂亮，不代表毛利回收率就健康——這正是本報告需要同時呈現兩者的原因。</w:t>
      </w:r>
    </w:p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三、預估投入金額與營業額（逐月）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以下為 2026-08 至 2026-12 的逐月預估，行銷投入金額依 100%（1:1）回投比例計算：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400"/>
        <w:gridCol w:w="2000"/>
        <w:gridCol w:w="2100"/>
        <w:gridCol w:w="1930"/>
        <w:gridCol w:w="1920"/>
      </w:tblGrid>
      <w:tr>
        <w:trPr>
          <w:tblHeader/>
        </w:trPr>
        <w:tc>
          <w:tcPr>
            <w:tcW w:type="dxa" w:w="14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預估營業額</w:t>
            </w:r>
          </w:p>
        </w:tc>
        <w:tc>
          <w:tcPr>
            <w:tcW w:type="dxa" w:w="21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行銷投入金額</w:t>
            </w:r>
          </w:p>
        </w:tc>
        <w:tc>
          <w:tcPr>
            <w:tcW w:type="dxa" w:w="193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累計行銷投入</w:t>
            </w:r>
          </w:p>
        </w:tc>
        <w:tc>
          <w:tcPr>
            <w:tcW w:type="dxa" w:w="192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累計營業額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2026-08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NT$61,031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NT$10,070</w:t>
            </w:r>
          </w:p>
        </w:tc>
        <w:tc>
          <w:tcPr>
            <w:tcW w:type="dxa" w:w="19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NT$10,070</w:t>
            </w:r>
          </w:p>
        </w:tc>
        <w:tc>
          <w:tcPr>
            <w:tcW w:type="dxa" w:w="19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NT$61,031</w:t>
            </w:r>
          </w:p>
        </w:tc>
      </w:tr>
      <w:tr>
        <w:tc>
          <w:tcPr>
            <w:tcW w:type="dxa" w:w="14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2026-09</w:t>
            </w:r>
          </w:p>
        </w:tc>
        <w:tc>
          <w:tcPr>
            <w:tcW w:type="dxa" w:w="20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NT$91,546</w:t>
            </w:r>
          </w:p>
        </w:tc>
        <w:tc>
          <w:tcPr>
            <w:tcW w:type="dxa" w:w="21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NT$15,105</w:t>
            </w:r>
          </w:p>
        </w:tc>
        <w:tc>
          <w:tcPr>
            <w:tcW w:type="dxa" w:w="193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NT$25,175</w:t>
            </w:r>
          </w:p>
        </w:tc>
        <w:tc>
          <w:tcPr>
            <w:tcW w:type="dxa" w:w="192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NT$152,577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2026-10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NT$137,319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NT$22,658</w:t>
            </w:r>
          </w:p>
        </w:tc>
        <w:tc>
          <w:tcPr>
            <w:tcW w:type="dxa" w:w="19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NT$47,833</w:t>
            </w:r>
          </w:p>
        </w:tc>
        <w:tc>
          <w:tcPr>
            <w:tcW w:type="dxa" w:w="19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NT$289,896</w:t>
            </w:r>
          </w:p>
        </w:tc>
      </w:tr>
      <w:tr>
        <w:tc>
          <w:tcPr>
            <w:tcW w:type="dxa" w:w="14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2026-11</w:t>
            </w:r>
          </w:p>
        </w:tc>
        <w:tc>
          <w:tcPr>
            <w:tcW w:type="dxa" w:w="20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NT$205,978</w:t>
            </w:r>
          </w:p>
        </w:tc>
        <w:tc>
          <w:tcPr>
            <w:tcW w:type="dxa" w:w="21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NT$33,986</w:t>
            </w:r>
          </w:p>
        </w:tc>
        <w:tc>
          <w:tcPr>
            <w:tcW w:type="dxa" w:w="193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NT$81,819</w:t>
            </w:r>
          </w:p>
        </w:tc>
        <w:tc>
          <w:tcPr>
            <w:tcW w:type="dxa" w:w="192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NT$495,874</w:t>
            </w:r>
          </w:p>
        </w:tc>
      </w:tr>
      <w:t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2026-12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NT$308,967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NT$50,980</w:t>
            </w:r>
          </w:p>
        </w:tc>
        <w:tc>
          <w:tcPr>
            <w:tcW w:type="dxa" w:w="193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NT$132,799</w:t>
            </w:r>
          </w:p>
        </w:tc>
        <w:tc>
          <w:tcPr>
            <w:tcW w:type="dxa" w:w="19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NT$804,840</w:t>
            </w:r>
          </w:p>
        </w:tc>
      </w:tr>
      <w:tr>
        <w:tc>
          <w:tcPr>
            <w:tcW w:type="dxa" w:w="14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總計</w:t>
            </w:r>
          </w:p>
        </w:tc>
        <w:tc>
          <w:tcPr>
            <w:tcW w:type="dxa" w:w="20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NT$804,840</w:t>
            </w:r>
          </w:p>
        </w:tc>
        <w:tc>
          <w:tcPr>
            <w:tcW w:type="dxa" w:w="21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NT$132,799</w:t>
            </w:r>
          </w:p>
        </w:tc>
        <w:tc>
          <w:tcPr>
            <w:tcW w:type="dxa" w:w="193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NT$132,799</w:t>
            </w:r>
          </w:p>
        </w:tc>
        <w:tc>
          <w:tcPr>
            <w:tcW w:type="dxa" w:w="192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20"/>
                <w:szCs w:val="20"/>
              </w:rPr>
              <w:t xml:space="preserve">NT$804,840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四、回收率分析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4.1　業績回收率（ROAS）——模型隱含假設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shd w:fill="DCF0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業績回收率（ROAS）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6221D"/>
                <w:sz w:val="30"/>
                <w:szCs w:val="30"/>
              </w:rPr>
              <w:t xml:space="preserve">303%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即 3.03 倍：每投入 NT$1 行銷預算，模型假設帶動 NT$3.03 當月營收增量</w:t>
            </w:r>
          </w:p>
        </w:tc>
        <w:tc>
          <w:tcPr>
            <w:tcW w:type="dxa" w:w="4675"/>
            <w:shd w:fill="DCF0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此比值是否隨月份變動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6221D"/>
                <w:sz w:val="30"/>
                <w:szCs w:val="30"/>
              </w:rPr>
              <w:t xml:space="preserve">恆定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因營收、行銷投入皆為前期業績的固定比例，數學上每月比值相同</w:t>
            </w:r>
          </w:p>
        </w:tc>
      </w:tr>
    </w:tbl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700"/>
        <w:gridCol w:w="2650"/>
        <w:gridCol w:w="2650"/>
        <w:gridCol w:w="2350"/>
      </w:tblGrid>
      <w:tr>
        <w:trPr>
          <w:tblHeader/>
        </w:trPr>
        <w:tc>
          <w:tcPr>
            <w:tcW w:type="dxa" w:w="17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6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前月行銷投入金額</w:t>
            </w:r>
          </w:p>
        </w:tc>
        <w:tc>
          <w:tcPr>
            <w:tcW w:type="dxa" w:w="26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當月營收增量</w:t>
            </w:r>
          </w:p>
        </w:tc>
        <w:tc>
          <w:tcPr>
            <w:tcW w:type="dxa" w:w="23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業績回收率 (ROAS)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2026-08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NT$6,713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NT$20,344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3.03x　※見下方註</w:t>
            </w:r>
          </w:p>
        </w:tc>
      </w:tr>
      <w:tr>
        <w:tc>
          <w:tcPr>
            <w:tcW w:type="dxa" w:w="17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2026-09</w:t>
            </w:r>
          </w:p>
        </w:tc>
        <w:tc>
          <w:tcPr>
            <w:tcW w:type="dxa" w:w="26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NT$10,070</w:t>
            </w:r>
          </w:p>
        </w:tc>
        <w:tc>
          <w:tcPr>
            <w:tcW w:type="dxa" w:w="26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NT$30,515</w:t>
            </w:r>
          </w:p>
        </w:tc>
        <w:tc>
          <w:tcPr>
            <w:tcW w:type="dxa" w:w="23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3.03x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2026-10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NT$15,105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NT$45,773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3.03x</w:t>
            </w:r>
          </w:p>
        </w:tc>
      </w:tr>
      <w:tr>
        <w:tc>
          <w:tcPr>
            <w:tcW w:type="dxa" w:w="17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2026-11</w:t>
            </w:r>
          </w:p>
        </w:tc>
        <w:tc>
          <w:tcPr>
            <w:tcW w:type="dxa" w:w="26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NT$22,658</w:t>
            </w:r>
          </w:p>
        </w:tc>
        <w:tc>
          <w:tcPr>
            <w:tcW w:type="dxa" w:w="26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NT$68,659</w:t>
            </w:r>
          </w:p>
        </w:tc>
        <w:tc>
          <w:tcPr>
            <w:tcW w:type="dxa" w:w="23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3.03x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2026-12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NT$33,986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NT$102,989</w:t>
            </w:r>
          </w:p>
        </w:tc>
        <w:tc>
          <w:tcPr>
            <w:tcW w:type="dxa" w:w="2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3.03x</w:t>
            </w:r>
          </w:p>
        </w:tc>
      </w:tr>
    </w:tbl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B6355"/>
          <w:sz w:val="17"/>
          <w:szCs w:val="17"/>
        </w:rPr>
        <w:t xml:space="preserve">※ 2026-08 為 MOMO 合作實際生效的第一個月，其成長為模型起始假設，並非由「前一期行銷投入」直接驗證產生；表中 8 月數字僅供比例參考，實質驗證應從 9 月起（有真實前期投入可對照）。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0E8F62"/>
          <w:sz w:val="25"/>
          <w:szCs w:val="25"/>
        </w:rPr>
        <w:t xml:space="preserve">4.2　毛利回收率——實際獲利觀點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FBE7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打平所需毛利率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4362F"/>
                <w:sz w:val="30"/>
                <w:szCs w:val="30"/>
              </w:rPr>
              <w:t xml:space="preserve">16.5%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現行回投比例 100%（1:1）下的打平門檻</w:t>
            </w:r>
          </w:p>
        </w:tc>
        <w:tc>
          <w:tcPr>
            <w:tcW w:type="dxa" w:w="2337"/>
            <w:shd w:fill="FBE7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現行毛利率(8%)之毛利回收率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4362F"/>
                <w:sz w:val="30"/>
                <w:szCs w:val="30"/>
              </w:rPr>
              <w:t xml:space="preserve">48.5%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毛利額 ÷ 行銷投入，未滿 100% 代表打平不足</w:t>
            </w:r>
          </w:p>
        </w:tc>
        <w:tc>
          <w:tcPr>
            <w:tcW w:type="dxa" w:w="2337"/>
            <w:shd w:fill="FBE7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可承受回投比例上限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4362F"/>
                <w:sz w:val="30"/>
                <w:szCs w:val="30"/>
              </w:rPr>
              <w:t xml:space="preserve">48.5%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毛利率 8% 下，回投比例最高只能到此才打平；現行設定 100% 仍超出上限</w:t>
            </w:r>
          </w:p>
        </w:tc>
        <w:tc>
          <w:tcPr>
            <w:tcW w:type="dxa" w:w="2337"/>
            <w:shd w:fill="FBE7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6B6355"/>
                <w:sz w:val="16"/>
                <w:szCs w:val="16"/>
              </w:rPr>
              <w:t xml:space="preserve">5 個月累積毛利－行銷差額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C4362F"/>
                <w:sz w:val="30"/>
                <w:szCs w:val="30"/>
              </w:rPr>
              <w:t xml:space="preserve">-NT$68,411</w:t>
            </w:r>
          </w:p>
          <w:p>
            <w:r>
              <w:rPr>
                <w:rFonts w:ascii="Microsoft JhengHei" w:cs="Microsoft JhengHei" w:eastAsia="Microsoft JhengHei" w:hAnsi="Microsoft JhengHei"/>
                <w:color w:val="6B6355"/>
                <w:sz w:val="15"/>
                <w:szCs w:val="15"/>
              </w:rPr>
              <w:t xml:space="preserve">累積虧損，行銷投入侵蝕獲利</w:t>
            </w:r>
          </w:p>
        </w:tc>
      </w:tr>
    </w:tbl>
    <w:tbl>
      <w:tblPr>
        <w:tblW w:type="dxa" w:w="9706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1050"/>
        <w:gridCol w:w="1550"/>
        <w:gridCol w:w="1450"/>
        <w:gridCol w:w="1600"/>
        <w:gridCol w:w="1850"/>
        <w:gridCol w:w="2206"/>
      </w:tblGrid>
      <w:tr>
        <w:trPr>
          <w:tblHeader/>
        </w:trPr>
        <w:tc>
          <w:tcPr>
            <w:tcW w:type="dxa" w:w="10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月份</w:t>
            </w:r>
          </w:p>
        </w:tc>
        <w:tc>
          <w:tcPr>
            <w:tcW w:type="dxa" w:w="15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預估營業額</w:t>
            </w:r>
          </w:p>
        </w:tc>
        <w:tc>
          <w:tcPr>
            <w:tcW w:type="dxa" w:w="14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毛利額(8%)</w:t>
            </w:r>
          </w:p>
        </w:tc>
        <w:tc>
          <w:tcPr>
            <w:tcW w:type="dxa" w:w="16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行銷投入金額</w:t>
            </w:r>
          </w:p>
        </w:tc>
        <w:tc>
          <w:tcPr>
            <w:tcW w:type="dxa" w:w="18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毛利－行銷差額</w:t>
            </w:r>
          </w:p>
        </w:tc>
        <w:tc>
          <w:tcPr>
            <w:tcW w:type="dxa" w:w="2206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累積差額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2026-08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NT$61,031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NT$4,882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NT$10,070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-NT$5,188</w:t>
            </w:r>
          </w:p>
        </w:tc>
        <w:tc>
          <w:tcPr>
            <w:tcW w:type="dxa" w:w="2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-NT$5,188</w:t>
            </w:r>
          </w:p>
        </w:tc>
      </w:tr>
      <w:tr>
        <w:tc>
          <w:tcPr>
            <w:tcW w:type="dxa" w:w="10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2026-09</w:t>
            </w:r>
          </w:p>
        </w:tc>
        <w:tc>
          <w:tcPr>
            <w:tcW w:type="dxa" w:w="15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NT$91,546</w:t>
            </w:r>
          </w:p>
        </w:tc>
        <w:tc>
          <w:tcPr>
            <w:tcW w:type="dxa" w:w="14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NT$7,324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NT$15,105</w:t>
            </w:r>
          </w:p>
        </w:tc>
        <w:tc>
          <w:tcPr>
            <w:tcW w:type="dxa" w:w="18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-NT$7,781</w:t>
            </w:r>
          </w:p>
        </w:tc>
        <w:tc>
          <w:tcPr>
            <w:tcW w:type="dxa" w:w="2206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-NT$12,969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2026-10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NT$137,319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NT$10,985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NT$22,658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-NT$11,672</w:t>
            </w:r>
          </w:p>
        </w:tc>
        <w:tc>
          <w:tcPr>
            <w:tcW w:type="dxa" w:w="2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-NT$24,641</w:t>
            </w:r>
          </w:p>
        </w:tc>
      </w:tr>
      <w:tr>
        <w:tc>
          <w:tcPr>
            <w:tcW w:type="dxa" w:w="10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2026-11</w:t>
            </w:r>
          </w:p>
        </w:tc>
        <w:tc>
          <w:tcPr>
            <w:tcW w:type="dxa" w:w="15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NT$205,978</w:t>
            </w:r>
          </w:p>
        </w:tc>
        <w:tc>
          <w:tcPr>
            <w:tcW w:type="dxa" w:w="14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NT$16,478</w:t>
            </w:r>
          </w:p>
        </w:tc>
        <w:tc>
          <w:tcPr>
            <w:tcW w:type="dxa" w:w="16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NT$33,986</w:t>
            </w:r>
          </w:p>
        </w:tc>
        <w:tc>
          <w:tcPr>
            <w:tcW w:type="dxa" w:w="18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-NT$17,508</w:t>
            </w:r>
          </w:p>
        </w:tc>
        <w:tc>
          <w:tcPr>
            <w:tcW w:type="dxa" w:w="2206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-NT$42,149</w:t>
            </w:r>
          </w:p>
        </w:tc>
      </w:tr>
      <w:tr>
        <w:tc>
          <w:tcPr>
            <w:tcW w:type="dxa" w:w="10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2026-12</w:t>
            </w:r>
          </w:p>
        </w:tc>
        <w:tc>
          <w:tcPr>
            <w:tcW w:type="dxa" w:w="1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NT$308,967</w:t>
            </w:r>
          </w:p>
        </w:tc>
        <w:tc>
          <w:tcPr>
            <w:tcW w:type="dxa" w:w="1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NT$24,717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NT$50,980</w:t>
            </w:r>
          </w:p>
        </w:tc>
        <w:tc>
          <w:tcPr>
            <w:tcW w:type="dxa" w:w="18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-NT$26,262</w:t>
            </w:r>
          </w:p>
        </w:tc>
        <w:tc>
          <w:tcPr>
            <w:tcW w:type="dxa" w:w="22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18"/>
                <w:szCs w:val="18"/>
              </w:rPr>
              <w:t xml:space="preserve">-NT$68,411</w:t>
            </w:r>
          </w:p>
        </w:tc>
      </w:tr>
      <w:tr>
        <w:tc>
          <w:tcPr>
            <w:tcW w:type="dxa" w:w="10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總計</w:t>
            </w:r>
          </w:p>
        </w:tc>
        <w:tc>
          <w:tcPr>
            <w:tcW w:type="dxa" w:w="15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NT$804,840</w:t>
            </w:r>
          </w:p>
        </w:tc>
        <w:tc>
          <w:tcPr>
            <w:tcW w:type="dxa" w:w="14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NT$64,387</w:t>
            </w:r>
          </w:p>
        </w:tc>
        <w:tc>
          <w:tcPr>
            <w:tcW w:type="dxa" w:w="160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NT$132,799</w:t>
            </w:r>
          </w:p>
        </w:tc>
        <w:tc>
          <w:tcPr>
            <w:tcW w:type="dxa" w:w="1850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-NT$68,411</w:t>
            </w:r>
          </w:p>
        </w:tc>
        <w:tc>
          <w:tcPr>
            <w:tcW w:type="dxa" w:w="2206"/>
            <w:shd w:fill="EFEAE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6221D"/>
                <w:sz w:val="18"/>
                <w:szCs w:val="18"/>
              </w:rPr>
              <w:t xml:space="preserve">-NT$68,411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五、對照：現狀不變 vs 新方案</w:t>
      </w:r>
    </w:p>
    <w:tbl>
      <w:tblPr>
        <w:tblW w:type="dxa" w:w="9350"/>
        <w:tblBorders>
          <w:top w:val="single" w:color="DDD6C7" w:sz="4"/>
          <w:left w:val="single" w:color="DDD6C7" w:sz="4"/>
          <w:bottom w:val="single" w:color="DDD6C7" w:sz="4"/>
          <w:right w:val="single" w:color="DDD6C7" w:sz="4"/>
          <w:insideH w:val="single" w:color="DDD6C7" w:sz="4"/>
          <w:insideV w:val="single" w:color="DDD6C7" w:sz="4"/>
        </w:tblBorders>
      </w:tblPr>
      <w:tblGrid>
        <w:gridCol w:w="2950"/>
        <w:gridCol w:w="2150"/>
        <w:gridCol w:w="2150"/>
        <w:gridCol w:w="2100"/>
      </w:tblGrid>
      <w:tr>
        <w:trPr>
          <w:tblHeader/>
        </w:trPr>
        <w:tc>
          <w:tcPr>
            <w:tcW w:type="dxa" w:w="29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21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累計業績</w:t>
            </w:r>
          </w:p>
        </w:tc>
        <w:tc>
          <w:tcPr>
            <w:tcW w:type="dxa" w:w="215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MOMO 抽成總額</w:t>
            </w:r>
          </w:p>
        </w:tc>
        <w:tc>
          <w:tcPr>
            <w:tcW w:type="dxa" w:w="2100"/>
            <w:shd w:fill="0E8F6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我方淨留存 / 毛留存</w:t>
            </w:r>
          </w:p>
        </w:tc>
      </w:tr>
      <w:tr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現狀不變（抽成 26.5%、業績持平）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NT$203,435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NT$53,910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NT$149,525</w:t>
            </w:r>
          </w:p>
        </w:tc>
      </w:tr>
      <w:tr>
        <w:tc>
          <w:tcPr>
            <w:tcW w:type="dxa" w:w="29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新方案（抽成 10.0%、假設成長 +50%/月）</w:t>
            </w:r>
          </w:p>
        </w:tc>
        <w:tc>
          <w:tcPr>
            <w:tcW w:type="dxa" w:w="21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NT$804,840</w:t>
            </w:r>
          </w:p>
        </w:tc>
        <w:tc>
          <w:tcPr>
            <w:tcW w:type="dxa" w:w="215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NT$80,484</w:t>
            </w:r>
          </w:p>
        </w:tc>
        <w:tc>
          <w:tcPr>
            <w:tcW w:type="dxa" w:w="2100"/>
            <w:shd w:fill="FBFA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NT$591,557（毛留存，含待投入行銷預算）</w:t>
            </w:r>
          </w:p>
        </w:tc>
      </w:tr>
      <w:tr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差額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+NT$601,405</w:t>
            </w:r>
          </w:p>
        </w:tc>
        <w:tc>
          <w:tcPr>
            <w:tcW w:type="dxa" w:w="2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+NT$26,574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26221D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0E8F62" w:sz="10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30"/>
          <w:szCs w:val="30"/>
        </w:rPr>
        <w:t xml:space="preserve">六、結論與建議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22"/>
          <w:szCs w:val="22"/>
        </w:rPr>
        <w:t xml:space="preserve">對 MOMO 談判：論點成立</w:t>
      </w:r>
    </w:p>
    <w:p>
      <w:pPr>
        <w:spacing w:after="16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只要業績月成長率超過 34.5% 的損益兩平門檻，MOMO 在新方案下收到的抽成「金額」不減反增。本案假設成長率 +50%，高出門檻 15.5 個百分點，安全邊際充足，可作為說服 MOMO 接受降抽成的量化依據；5 個月估計可為 MOMO 多創造 +NT$26,574 的抽成收入。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22"/>
          <w:szCs w:val="22"/>
        </w:rPr>
        <w:t xml:space="preserve">對阿爾法內部：目前設定尚未打平，需要決策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依報告原始的 100%（1:1）回投比例與 8% 毛利率估算，此渠道行銷投入的毛利回收率為 48.5%，5 個月預估累積毛利虧損約 NT$68,411，業績成長仍未完全轉化為實際獲利，但缺口遠小於加碼至 1:2（200%）回投的情境（累積虧損約 NT$201,210）。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打平所需毛利率為 16.5%，僅略高於阿爾法餐飲毛利率上限 15%，屬於「接近打平但未達」的邊界；若毛利率可再提升約 1.5 個百分點，或回投比例下修至 48.5% 以內，即可轉為打平有餘。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換言之：本方案對 MOMO 談判極具說服力，1:1 回投對阿爾法自身損益表而言也已接近平衡，是三個情境（1:1 / 1:2 / 損益兩平）中風險最低的選擇。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b/>
          <w:bCs/>
          <w:color w:val="26221D"/>
          <w:sz w:val="22"/>
          <w:szCs w:val="22"/>
        </w:rPr>
        <w:t xml:space="preserve">後續行動建議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確認阿爾法餐飲此渠道商品的實際毛利率數字，取代本報告的估計值，重新代入測算。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依實際毛利率動態調整回投比例，在「MOMO 談判籌碼」與「內部獲利底線」之間取得平衡（建議上限＝毛利率 ÷ 16.5%）。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26221D"/>
          <w:sz w:val="21"/>
          <w:szCs w:val="21"/>
        </w:rPr>
        <w:t xml:space="preserve">談判與檔期開始後，於測算工具「實際追蹤」模組回填真實業績與行銷投入，驗證真實 ROAS 是否貼近模型假設之 303%，並每月校正後續預估。</w:t>
      </w:r>
    </w:p>
    <w:p>
      <w:pPr>
        <w:pBdr>
          <w:bottom w:val="single" w:color="DDD6C7" w:sz="6" w:space="1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rFonts w:ascii="Microsoft JhengHei" w:cs="Microsoft JhengHei" w:eastAsia="Microsoft JhengHei" w:hAnsi="Microsoft JhengHei"/>
          <w:color w:val="6B6355"/>
          <w:sz w:val="16"/>
          <w:szCs w:val="16"/>
        </w:rPr>
        <w:t xml:space="preserve">資料來源：《MOMO 渠道合作深化與行銷提案報告》（提案部門：專案發展部/業務部，2026年8月11日）。本報告數字由《MOMO 渠道談判測算器》於「差額回投比例 1:1（100%）」情境下運算產生，實際成效將視行銷素材轉換率與市場環境波動而異，請以每月「實際追蹤」數據滾動校正。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622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2026-08-11T03:32:20.221Z</dcterms:created>
  <dcterms:modified xsi:type="dcterms:W3CDTF">2026-08-11T03:32:20.229Z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