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44"/>
          <w:szCs w:val="44"/>
        </w:rPr>
        <w:t xml:space="preserve">MOMO 渠道合作初步方案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4"/>
          <w:szCs w:val="24"/>
        </w:rPr>
        <w:t xml:space="preserve">九週年慶 × 雙十一　檔期加碼行銷計畫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color w:val="6B6355"/>
          <w:sz w:val="18"/>
          <w:szCs w:val="18"/>
        </w:rPr>
        <w:t xml:space="preserve">提出方：阿爾法餐飲（希塔食品）專案發展部 / 業務部　|　提案對象：MOMO 電商平台　|　日期：2026年8月11日</w:t>
      </w:r>
    </w:p>
    <w:p>
      <w:pPr>
        <w:pBdr>
          <w:bottom w:val="single" w:color="DDD6C7" w:sz="6" w:space="1"/>
        </w:pBdr>
        <w:spacing w:after="240" w:before="4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一、方案概述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延續雙方初步洽談之核心合作架構——MOMO 平台抽成由 26.5% 調降至 10.0%，差額 16.5% 由阿爾法以 1:1 比例全數回投站內外行銷——本方案進一步鎖定下半年度兩大關鍵檔期，由阿爾法額外加碼投入行銷預算，主動衝高檔期業績，並期待 MOMO 同步提供對應曝光資源，讓雙方在檔期期間創造更大綜效。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兩大檔期為：阿爾法餐飲九週年慶（2026 年 9 月下旬）與 MOMO 雙十一（2026 年 11 月初）。阿爾法規劃於此二檔期各額外加碼投入 NT$50,000 行銷預算（不動用抽成差額本身，屬阿爾法自籌加碼），目標帶動該月業績在基礎預估之上再增加 30%。</w:t>
      </w:r>
    </w:p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二、檔期加碼行銷計畫</w:t>
      </w:r>
    </w:p>
    <w:tbl>
      <w:tblPr>
        <w:tblW w:type="dxa" w:w="9350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single" w:color="DDD6C7" w:sz="4"/>
          <w:insideV w:val="single" w:color="DDD6C7" w:sz="4"/>
        </w:tblBorders>
      </w:tblPr>
      <w:tblGrid>
        <w:gridCol w:w="2400"/>
        <w:gridCol w:w="2200"/>
        <w:gridCol w:w="2450"/>
        <w:gridCol w:w="2300"/>
      </w:tblGrid>
      <w:tr>
        <w:trPr>
          <w:tblHeader/>
        </w:trPr>
        <w:tc>
          <w:tcPr>
            <w:tcW w:type="dxa" w:w="24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檔期活動</w:t>
            </w:r>
          </w:p>
        </w:tc>
        <w:tc>
          <w:tcPr>
            <w:tcW w:type="dxa" w:w="22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預計時間</w:t>
            </w:r>
          </w:p>
        </w:tc>
        <w:tc>
          <w:tcPr>
            <w:tcW w:type="dxa" w:w="24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阿爾法加碼行銷投入</w:t>
            </w:r>
          </w:p>
        </w:tc>
        <w:tc>
          <w:tcPr>
            <w:tcW w:type="dxa" w:w="23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目標業績提升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20"/>
                <w:szCs w:val="20"/>
              </w:rPr>
              <w:t xml:space="preserve">阿爾法餐飲九週年慶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20"/>
                <w:szCs w:val="20"/>
              </w:rPr>
              <w:t xml:space="preserve">2026 年 9 月下旬</w:t>
            </w:r>
          </w:p>
        </w:tc>
        <w:tc>
          <w:tcPr>
            <w:tcW w:type="dxa" w:w="2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20"/>
                <w:szCs w:val="20"/>
              </w:rPr>
              <w:t xml:space="preserve">NT$50,000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20"/>
                <w:szCs w:val="20"/>
              </w:rPr>
              <w:t xml:space="preserve">較基礎預估　+30%</w:t>
            </w:r>
          </w:p>
        </w:tc>
      </w:tr>
      <w:tr>
        <w:tc>
          <w:tcPr>
            <w:tcW w:type="dxa" w:w="24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20"/>
                <w:szCs w:val="20"/>
              </w:rPr>
              <w:t xml:space="preserve">MOMO 雙十一</w:t>
            </w:r>
          </w:p>
        </w:tc>
        <w:tc>
          <w:tcPr>
            <w:tcW w:type="dxa" w:w="22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20"/>
                <w:szCs w:val="20"/>
              </w:rPr>
              <w:t xml:space="preserve">2026 年 11 月初</w:t>
            </w:r>
          </w:p>
        </w:tc>
        <w:tc>
          <w:tcPr>
            <w:tcW w:type="dxa" w:w="24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20"/>
                <w:szCs w:val="20"/>
              </w:rPr>
              <w:t xml:space="preserve">NT$50,000</w:t>
            </w:r>
          </w:p>
        </w:tc>
        <w:tc>
          <w:tcPr>
            <w:tcW w:type="dxa" w:w="23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20"/>
                <w:szCs w:val="20"/>
              </w:rPr>
              <w:t xml:space="preserve">較基礎預估　+30%</w:t>
            </w:r>
          </w:p>
        </w:tc>
      </w:tr>
      <w:tr>
        <w:tc>
          <w:tcPr>
            <w:tcW w:type="dxa" w:w="24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20"/>
                <w:szCs w:val="20"/>
              </w:rPr>
              <w:t xml:space="preserve">合計</w:t>
            </w:r>
          </w:p>
        </w:tc>
        <w:tc>
          <w:tcPr>
            <w:tcW w:type="dxa" w:w="22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20"/>
                <w:szCs w:val="20"/>
              </w:rPr>
              <w:t xml:space="preserve">—</w:t>
            </w:r>
          </w:p>
        </w:tc>
        <w:tc>
          <w:tcPr>
            <w:tcW w:type="dxa" w:w="245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20"/>
                <w:szCs w:val="20"/>
              </w:rPr>
              <w:t xml:space="preserve">NT$100,000</w:t>
            </w:r>
          </w:p>
        </w:tc>
        <w:tc>
          <w:tcPr>
            <w:tcW w:type="dxa" w:w="23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6355"/>
          <w:sz w:val="17"/>
          <w:szCs w:val="17"/>
        </w:rPr>
        <w:t xml:space="preserve">說明：基礎預估業績依基期（2026-07）實際業績 NT$40,687、假設每月成長 1.5 倍（+50%）推算；檔期加碼視為當月一次性業績拉抬，不併入後續月份之成長基期——即 12 月的預估仍沿基礎成長軌跡推算，不因 11 月雙十一的高基期而墊高。</w:t>
      </w:r>
    </w:p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三、逐月測算總表（含檔期加碼）</w:t>
      </w:r>
    </w:p>
    <w:tbl>
      <w:tblPr>
        <w:tblW w:type="dxa" w:w="9350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single" w:color="DDD6C7" w:sz="4"/>
          <w:insideV w:val="single" w:color="DDD6C7" w:sz="4"/>
        </w:tblBorders>
      </w:tblPr>
      <w:tblGrid>
        <w:gridCol w:w="1050"/>
        <w:gridCol w:w="1580"/>
        <w:gridCol w:w="1700"/>
        <w:gridCol w:w="1630"/>
        <w:gridCol w:w="1590"/>
        <w:gridCol w:w="1800"/>
      </w:tblGrid>
      <w:tr>
        <w:trPr>
          <w:tblHeader/>
        </w:trPr>
        <w:tc>
          <w:tcPr>
            <w:tcW w:type="dxa" w:w="10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月份／檔期</w:t>
            </w:r>
          </w:p>
        </w:tc>
        <w:tc>
          <w:tcPr>
            <w:tcW w:type="dxa" w:w="158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基礎預估業績</w:t>
            </w:r>
          </w:p>
        </w:tc>
        <w:tc>
          <w:tcPr>
            <w:tcW w:type="dxa" w:w="17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實際預估業績</w:t>
            </w:r>
          </w:p>
        </w:tc>
        <w:tc>
          <w:tcPr>
            <w:tcW w:type="dxa" w:w="163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標準回投行銷</w:t>
            </w:r>
          </w:p>
        </w:tc>
        <w:tc>
          <w:tcPr>
            <w:tcW w:type="dxa" w:w="159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檔期加碼投入</w:t>
            </w:r>
          </w:p>
        </w:tc>
        <w:tc>
          <w:tcPr>
            <w:tcW w:type="dxa" w:w="18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MOMO 新抽成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2026-08</w:t>
            </w:r>
          </w:p>
        </w:tc>
        <w:tc>
          <w:tcPr>
            <w:tcW w:type="dxa" w:w="1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NT$61,031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NT$61,031</w:t>
            </w:r>
          </w:p>
        </w:tc>
        <w:tc>
          <w:tcPr>
            <w:tcW w:type="dxa" w:w="16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NT$10,070</w:t>
            </w:r>
          </w:p>
        </w:tc>
        <w:tc>
          <w:tcPr>
            <w:tcW w:type="dxa" w:w="15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NT$6,103</w:t>
            </w:r>
          </w:p>
        </w:tc>
      </w:tr>
      <w:tr>
        <w:tc>
          <w:tcPr>
            <w:tcW w:type="dxa" w:w="10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2026-09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br/>
              <w:t xml:space="preserve">阿爾法九週年慶</w:t>
            </w:r>
          </w:p>
        </w:tc>
        <w:tc>
          <w:tcPr>
            <w:tcW w:type="dxa" w:w="158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NT$91,546</w:t>
            </w:r>
          </w:p>
        </w:tc>
        <w:tc>
          <w:tcPr>
            <w:tcW w:type="dxa" w:w="17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NT$119,009</w:t>
            </w:r>
          </w:p>
        </w:tc>
        <w:tc>
          <w:tcPr>
            <w:tcW w:type="dxa" w:w="163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NT$19,637</w:t>
            </w:r>
          </w:p>
        </w:tc>
        <w:tc>
          <w:tcPr>
            <w:tcW w:type="dxa" w:w="159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NT$50,000</w:t>
            </w:r>
          </w:p>
        </w:tc>
        <w:tc>
          <w:tcPr>
            <w:tcW w:type="dxa" w:w="18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NT$11,901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2026-10</w:t>
            </w:r>
          </w:p>
        </w:tc>
        <w:tc>
          <w:tcPr>
            <w:tcW w:type="dxa" w:w="1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NT$137,319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NT$137,319</w:t>
            </w:r>
          </w:p>
        </w:tc>
        <w:tc>
          <w:tcPr>
            <w:tcW w:type="dxa" w:w="16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NT$22,658</w:t>
            </w:r>
          </w:p>
        </w:tc>
        <w:tc>
          <w:tcPr>
            <w:tcW w:type="dxa" w:w="15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NT$13,732</w:t>
            </w:r>
          </w:p>
        </w:tc>
      </w:tr>
      <w:tr>
        <w:tc>
          <w:tcPr>
            <w:tcW w:type="dxa" w:w="10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2026-11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br/>
              <w:t xml:space="preserve">MOMO 雙十一</w:t>
            </w:r>
          </w:p>
        </w:tc>
        <w:tc>
          <w:tcPr>
            <w:tcW w:type="dxa" w:w="158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NT$205,978</w:t>
            </w:r>
          </w:p>
        </w:tc>
        <w:tc>
          <w:tcPr>
            <w:tcW w:type="dxa" w:w="17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NT$267,771</w:t>
            </w:r>
          </w:p>
        </w:tc>
        <w:tc>
          <w:tcPr>
            <w:tcW w:type="dxa" w:w="163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NT$44,182</w:t>
            </w:r>
          </w:p>
        </w:tc>
        <w:tc>
          <w:tcPr>
            <w:tcW w:type="dxa" w:w="159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NT$50,000</w:t>
            </w:r>
          </w:p>
        </w:tc>
        <w:tc>
          <w:tcPr>
            <w:tcW w:type="dxa" w:w="18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NT$26,777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2026-12</w:t>
            </w:r>
          </w:p>
        </w:tc>
        <w:tc>
          <w:tcPr>
            <w:tcW w:type="dxa" w:w="1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NT$308,967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NT$308,967</w:t>
            </w:r>
          </w:p>
        </w:tc>
        <w:tc>
          <w:tcPr>
            <w:tcW w:type="dxa" w:w="16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NT$50,980</w:t>
            </w:r>
          </w:p>
        </w:tc>
        <w:tc>
          <w:tcPr>
            <w:tcW w:type="dxa" w:w="15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NT$30,897</w:t>
            </w:r>
          </w:p>
        </w:tc>
      </w:tr>
      <w:tr>
        <w:tc>
          <w:tcPr>
            <w:tcW w:type="dxa" w:w="105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8"/>
                <w:szCs w:val="18"/>
              </w:rPr>
              <w:t xml:space="preserve">總計</w:t>
            </w:r>
          </w:p>
        </w:tc>
        <w:tc>
          <w:tcPr>
            <w:tcW w:type="dxa" w:w="158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8"/>
                <w:szCs w:val="18"/>
              </w:rPr>
              <w:t xml:space="preserve">NT$804,840</w:t>
            </w:r>
          </w:p>
        </w:tc>
        <w:tc>
          <w:tcPr>
            <w:tcW w:type="dxa" w:w="17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8"/>
                <w:szCs w:val="18"/>
              </w:rPr>
              <w:t xml:space="preserve">NT$894,097</w:t>
            </w:r>
          </w:p>
        </w:tc>
        <w:tc>
          <w:tcPr>
            <w:tcW w:type="dxa" w:w="163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8"/>
                <w:szCs w:val="18"/>
              </w:rPr>
              <w:t xml:space="preserve">NT$147,526</w:t>
            </w:r>
          </w:p>
        </w:tc>
        <w:tc>
          <w:tcPr>
            <w:tcW w:type="dxa" w:w="159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8"/>
                <w:szCs w:val="18"/>
              </w:rPr>
              <w:t xml:space="preserve">NT$100,000</w:t>
            </w:r>
          </w:p>
        </w:tc>
        <w:tc>
          <w:tcPr>
            <w:tcW w:type="dxa" w:w="18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8"/>
                <w:szCs w:val="18"/>
              </w:rPr>
              <w:t xml:space="preserve">NT$89,410</w:t>
            </w:r>
          </w:p>
        </w:tc>
      </w:tr>
    </w:tbl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四、檔期加碼效益測算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以下獨立拆解兩檔期各自的「加碼投入 → 業績增量 → 回收率 → MOMO 增量抽成」，作為向 MOMO 說明加碼綜效的核心數據：</w:t>
      </w:r>
    </w:p>
    <w:tbl>
      <w:tblPr>
        <w:tblW w:type="dxa" w:w="9700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single" w:color="DDD6C7" w:sz="4"/>
          <w:insideV w:val="single" w:color="DDD6C7" w:sz="4"/>
        </w:tblBorders>
      </w:tblPr>
      <w:tblGrid>
        <w:gridCol w:w="1200"/>
        <w:gridCol w:w="1400"/>
        <w:gridCol w:w="1430"/>
        <w:gridCol w:w="1450"/>
        <w:gridCol w:w="1450"/>
        <w:gridCol w:w="1420"/>
        <w:gridCol w:w="1350"/>
      </w:tblGrid>
      <w:tr>
        <w:trPr>
          <w:tblHeader/>
        </w:trPr>
        <w:tc>
          <w:tcPr>
            <w:tcW w:type="dxa" w:w="12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檔期</w:t>
            </w:r>
          </w:p>
        </w:tc>
        <w:tc>
          <w:tcPr>
            <w:tcW w:type="dxa" w:w="14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基礎預估業績</w:t>
            </w:r>
          </w:p>
        </w:tc>
        <w:tc>
          <w:tcPr>
            <w:tcW w:type="dxa" w:w="143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加碼後業績</w:t>
            </w:r>
          </w:p>
        </w:tc>
        <w:tc>
          <w:tcPr>
            <w:tcW w:type="dxa" w:w="14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業績增量</w:t>
            </w:r>
          </w:p>
        </w:tc>
        <w:tc>
          <w:tcPr>
            <w:tcW w:type="dxa" w:w="14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加碼投入</w:t>
            </w:r>
          </w:p>
        </w:tc>
        <w:tc>
          <w:tcPr>
            <w:tcW w:type="dxa" w:w="142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業績回收率</w:t>
            </w:r>
          </w:p>
        </w:tc>
        <w:tc>
          <w:tcPr>
            <w:tcW w:type="dxa" w:w="13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MOMO 增量抽成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7"/>
                <w:szCs w:val="17"/>
              </w:rPr>
              <w:t xml:space="preserve">阿爾法九週年慶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7"/>
                <w:szCs w:val="17"/>
              </w:rPr>
              <w:br/>
              <w:t xml:space="preserve">（2026-09）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7"/>
                <w:szCs w:val="17"/>
              </w:rPr>
              <w:t xml:space="preserve">NT$91,546</w:t>
            </w:r>
          </w:p>
        </w:tc>
        <w:tc>
          <w:tcPr>
            <w:tcW w:type="dxa" w:w="14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7"/>
                <w:szCs w:val="17"/>
              </w:rPr>
              <w:t xml:space="preserve">NT$119,009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7"/>
                <w:szCs w:val="17"/>
              </w:rPr>
              <w:t xml:space="preserve">+NT$27,463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7"/>
                <w:szCs w:val="17"/>
              </w:rPr>
              <w:t xml:space="preserve">NT$50,000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7"/>
                <w:szCs w:val="17"/>
              </w:rPr>
              <w:t xml:space="preserve">0.55x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7"/>
                <w:szCs w:val="17"/>
              </w:rPr>
              <w:t xml:space="preserve">+NT$2,746</w:t>
            </w:r>
          </w:p>
        </w:tc>
      </w:tr>
      <w:tr>
        <w:tc>
          <w:tcPr>
            <w:tcW w:type="dxa" w:w="12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7"/>
                <w:szCs w:val="17"/>
              </w:rPr>
              <w:t xml:space="preserve">MOMO 雙十一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7"/>
                <w:szCs w:val="17"/>
              </w:rPr>
              <w:br/>
              <w:t xml:space="preserve">（2026-11）</w:t>
            </w:r>
          </w:p>
        </w:tc>
        <w:tc>
          <w:tcPr>
            <w:tcW w:type="dxa" w:w="14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7"/>
                <w:szCs w:val="17"/>
              </w:rPr>
              <w:t xml:space="preserve">NT$205,978</w:t>
            </w:r>
          </w:p>
        </w:tc>
        <w:tc>
          <w:tcPr>
            <w:tcW w:type="dxa" w:w="143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7"/>
                <w:szCs w:val="17"/>
              </w:rPr>
              <w:t xml:space="preserve">NT$267,771</w:t>
            </w:r>
          </w:p>
        </w:tc>
        <w:tc>
          <w:tcPr>
            <w:tcW w:type="dxa" w:w="14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7"/>
                <w:szCs w:val="17"/>
              </w:rPr>
              <w:t xml:space="preserve">+NT$61,793</w:t>
            </w:r>
          </w:p>
        </w:tc>
        <w:tc>
          <w:tcPr>
            <w:tcW w:type="dxa" w:w="14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7"/>
                <w:szCs w:val="17"/>
              </w:rPr>
              <w:t xml:space="preserve">NT$50,000</w:t>
            </w:r>
          </w:p>
        </w:tc>
        <w:tc>
          <w:tcPr>
            <w:tcW w:type="dxa" w:w="142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7"/>
                <w:szCs w:val="17"/>
              </w:rPr>
              <w:t xml:space="preserve">1.24x</w:t>
            </w:r>
          </w:p>
        </w:tc>
        <w:tc>
          <w:tcPr>
            <w:tcW w:type="dxa" w:w="13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7"/>
                <w:szCs w:val="17"/>
              </w:rPr>
              <w:t xml:space="preserve">+NT$6,179</w:t>
            </w:r>
          </w:p>
        </w:tc>
      </w:tr>
      <w:tr>
        <w:tc>
          <w:tcPr>
            <w:tcW w:type="dxa" w:w="12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7"/>
                <w:szCs w:val="17"/>
              </w:rPr>
              <w:t xml:space="preserve">合計</w:t>
            </w:r>
          </w:p>
        </w:tc>
        <w:tc>
          <w:tcPr>
            <w:tcW w:type="dxa" w:w="14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7"/>
                <w:szCs w:val="17"/>
              </w:rPr>
              <w:t xml:space="preserve">NT$297,524</w:t>
            </w:r>
          </w:p>
        </w:tc>
        <w:tc>
          <w:tcPr>
            <w:tcW w:type="dxa" w:w="143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7"/>
                <w:szCs w:val="17"/>
              </w:rPr>
              <w:t xml:space="preserve">NT$386,780</w:t>
            </w:r>
          </w:p>
        </w:tc>
        <w:tc>
          <w:tcPr>
            <w:tcW w:type="dxa" w:w="145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7"/>
                <w:szCs w:val="17"/>
              </w:rPr>
              <w:t xml:space="preserve">+NT$89,256</w:t>
            </w:r>
          </w:p>
        </w:tc>
        <w:tc>
          <w:tcPr>
            <w:tcW w:type="dxa" w:w="145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7"/>
                <w:szCs w:val="17"/>
              </w:rPr>
              <w:t xml:space="preserve">NT$100,000</w:t>
            </w:r>
          </w:p>
        </w:tc>
        <w:tc>
          <w:tcPr>
            <w:tcW w:type="dxa" w:w="142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7"/>
                <w:szCs w:val="17"/>
              </w:rPr>
              <w:t xml:space="preserve">0.89x（平均）</w:t>
            </w:r>
          </w:p>
        </w:tc>
        <w:tc>
          <w:tcPr>
            <w:tcW w:type="dxa" w:w="135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7"/>
                <w:szCs w:val="17"/>
              </w:rPr>
              <w:t xml:space="preserve">+NT$8,926</w:t>
            </w:r>
          </w:p>
        </w:tc>
      </w:tr>
    </w:tbl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6355"/>
          <w:sz w:val="17"/>
          <w:szCs w:val="17"/>
        </w:rPr>
        <w:t xml:space="preserve">業績回收率＝業績增量 ÷ 加碼投入。雙十一檔期回收率較高（1.24x），主因該月基礎業績基期本身較高，同樣 30% 的提升幅度可換得更大的絕對增量；九週年慶檔期基期較低，回收率相對保守（0.55x）。</w:t>
      </w:r>
    </w:p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五、整體效益總覽（5 個月，含檔期加碼）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fill="DCF0E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355"/>
                <w:sz w:val="16"/>
                <w:szCs w:val="16"/>
              </w:rPr>
              <w:t xml:space="preserve">累計預估業績（含加碼）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26221D"/>
                <w:sz w:val="30"/>
                <w:szCs w:val="30"/>
              </w:rPr>
              <w:t xml:space="preserve">NT$894,097</w:t>
            </w:r>
          </w:p>
          <w:p>
            <w:r>
              <w:rPr>
                <w:rFonts w:ascii="Microsoft JhengHei" w:cs="Microsoft JhengHei" w:eastAsia="Microsoft JhengHei" w:hAnsi="Microsoft JhengHei"/>
                <w:color w:val="6B6355"/>
                <w:sz w:val="15"/>
                <w:szCs w:val="15"/>
              </w:rPr>
              <w:t xml:space="preserve">較未加碼版本 +NT$89,257（+11.1%）</w:t>
            </w:r>
          </w:p>
        </w:tc>
        <w:tc>
          <w:tcPr>
            <w:tcW w:type="dxa" w:w="2337"/>
            <w:shd w:fill="DCF0E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355"/>
                <w:sz w:val="16"/>
                <w:szCs w:val="16"/>
              </w:rPr>
              <w:t xml:space="preserve">累計行銷投入（標準＋加碼）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26221D"/>
                <w:sz w:val="30"/>
                <w:szCs w:val="30"/>
              </w:rPr>
              <w:t xml:space="preserve">NT$247,526</w:t>
            </w:r>
          </w:p>
          <w:p>
            <w:r>
              <w:rPr>
                <w:rFonts w:ascii="Microsoft JhengHei" w:cs="Microsoft JhengHei" w:eastAsia="Microsoft JhengHei" w:hAnsi="Microsoft JhengHei"/>
                <w:color w:val="6B6355"/>
                <w:sz w:val="15"/>
                <w:szCs w:val="15"/>
              </w:rPr>
              <w:t xml:space="preserve">標準回投 NT$147,526 ＋ 檔期加碼 NT$100,000</w:t>
            </w:r>
          </w:p>
        </w:tc>
        <w:tc>
          <w:tcPr>
            <w:tcW w:type="dxa" w:w="2337"/>
            <w:shd w:fill="DCF0E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355"/>
                <w:sz w:val="16"/>
                <w:szCs w:val="16"/>
              </w:rPr>
              <w:t xml:space="preserve">MOMO 累計新抽成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26221D"/>
                <w:sz w:val="30"/>
                <w:szCs w:val="30"/>
              </w:rPr>
              <w:t xml:space="preserve">NT$89,410</w:t>
            </w:r>
          </w:p>
          <w:p>
            <w:r>
              <w:rPr>
                <w:rFonts w:ascii="Microsoft JhengHei" w:cs="Microsoft JhengHei" w:eastAsia="Microsoft JhengHei" w:hAnsi="Microsoft JhengHei"/>
                <w:color w:val="6B6355"/>
                <w:sz w:val="15"/>
                <w:szCs w:val="15"/>
              </w:rPr>
              <w:t xml:space="preserve">較「現狀不變」情境多創造 +NT$35,500</w:t>
            </w:r>
          </w:p>
        </w:tc>
        <w:tc>
          <w:tcPr>
            <w:tcW w:type="dxa" w:w="2337"/>
            <w:shd w:fill="DCF0E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355"/>
                <w:sz w:val="16"/>
                <w:szCs w:val="16"/>
              </w:rPr>
              <w:t xml:space="preserve">我方淨留存（毛留存）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26221D"/>
                <w:sz w:val="30"/>
                <w:szCs w:val="30"/>
              </w:rPr>
              <w:t xml:space="preserve">NT$557,161</w:t>
            </w:r>
          </w:p>
          <w:p>
            <w:r>
              <w:rPr>
                <w:rFonts w:ascii="Microsoft JhengHei" w:cs="Microsoft JhengHei" w:eastAsia="Microsoft JhengHei" w:hAnsi="Microsoft JhengHei"/>
                <w:color w:val="6B6355"/>
                <w:sz w:val="15"/>
                <w:szCs w:val="15"/>
              </w:rPr>
              <w:t xml:space="preserve">含待投入行銷預算，未扣加碼投入之機會成本</w:t>
            </w:r>
          </w:p>
        </w:tc>
      </w:tr>
    </w:tbl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六、給 MOMO 的資源需求與結論訴求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阿爾法在此方案中承諾於兩大檔期主動加碼、自負行銷投入風險，目的是把 MOMO 平台的檔期流量轉化為實際業績，也讓 MOMO 在檔期期間收到的抽成金額同步放大。基於此，我方期待 MOMO 提供以下對應資源，讓雙方投入形成加乘效果：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九週年慶及雙十一檔期期間，提供站內曝光資源（首頁 banner、分類頁、EDM）與檔期活動報名資格，比照母親節檔期松露雞湯禮盒之曝光規格。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針對兩檔期之關鍵字廣告／站內廣告，提供競價成本優惠或廣告金折抵，提升阿爾法加碼預算的實際觸及效率。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維持既有降抽成與差額回投行銷之核心方案（26.5% → 10.0%，差額 1:1 全數回投），作為長期合作基礎，本檔期加碼為此基礎之上的額外投入。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整體而言：即使不計入兩檔期加碼效果，本方案在 +50% 月成長假設下，MOMO 於 5 個月內已可比「抽成維持 26.5%、業績持平」之現狀多收 +NT$26,574 的抽成收入；疊加兩檔期加碼後，5 個月合計可為 MOMO 額外貢獻 +NT$35,500 的抽成收入，其中兩檔期加碼本身即貢獻 +NT$8,925。</w:t>
      </w:r>
    </w:p>
    <w:p>
      <w:pPr>
        <w:pBdr>
          <w:bottom w:val="single" w:color="C4362F" w:sz="6" w:space="1"/>
        </w:pBdr>
        <w:spacing w:after="240" w:before="4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C4362F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附錄：阿爾法內部財務評估（僅供內部參考，非提案予 MOMO 之內容）</w:t>
      </w:r>
    </w:p>
    <w:p>
      <w:pPr>
        <w:pBdr>
          <w:top w:val="single" w:color="C4362F" w:sz="4" w:space="8"/>
          <w:bottom w:val="single" w:color="C4362F" w:sz="4" w:space="8"/>
          <w:left w:val="single" w:color="C4362F" w:sz="16" w:space="8"/>
          <w:right w:val="single" w:color="C4362F" w:sz="4" w:space="8"/>
        </w:pBdr>
        <w:shd w:fill="FBE7E5" w:val="clear"/>
        <w:spacing w:after="200" w:before="60"/>
        <w:ind w:left="215"/>
      </w:pPr>
      <w:r>
        <w:rPr>
          <w:rFonts w:ascii="Microsoft JhengHei" w:cs="Microsoft JhengHei" w:eastAsia="Microsoft JhengHei" w:hAnsi="Microsoft JhengHei"/>
          <w:color w:val="6B211D"/>
          <w:sz w:val="19"/>
          <w:szCs w:val="19"/>
        </w:rPr>
        <w:t xml:space="preserve">以下內容評估阿爾法自身損益，屬內部決策參考，不建議納入提供予 MOMO 之提案版本。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本方案採用阿爾法餐飲預估毛利率 5%（較先前內部測算之 8% 更保守）。在 1:1（100%）回投比例下，打平所需毛利率為 16.5%，現行 5% 毛利率下之毛利回收率僅 30.3%，5 個月（不含檔期加碼）預估已有毛利缺口。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計入兩檔期各 NT$50,000 加碼後，缺口進一步擴大：5 個月累積毛利－行銷差額約為 -NT$202,821。</w:t>
      </w:r>
    </w:p>
    <w:tbl>
      <w:tblPr>
        <w:tblW w:type="dxa" w:w="9350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single" w:color="DDD6C7" w:sz="4"/>
          <w:insideV w:val="single" w:color="DDD6C7" w:sz="4"/>
        </w:tblBorders>
      </w:tblPr>
      <w:tblGrid>
        <w:gridCol w:w="1300"/>
        <w:gridCol w:w="1600"/>
        <w:gridCol w:w="1550"/>
        <w:gridCol w:w="1600"/>
        <w:gridCol w:w="1600"/>
        <w:gridCol w:w="1700"/>
      </w:tblGrid>
      <w:tr>
        <w:trPr>
          <w:tblHeader/>
        </w:trPr>
        <w:tc>
          <w:tcPr>
            <w:tcW w:type="dxa" w:w="13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月份</w:t>
            </w:r>
          </w:p>
        </w:tc>
        <w:tc>
          <w:tcPr>
            <w:tcW w:type="dxa" w:w="16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實際預估業績</w:t>
            </w:r>
          </w:p>
        </w:tc>
        <w:tc>
          <w:tcPr>
            <w:tcW w:type="dxa" w:w="15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毛利額(5%)</w:t>
            </w:r>
          </w:p>
        </w:tc>
        <w:tc>
          <w:tcPr>
            <w:tcW w:type="dxa" w:w="16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合計行銷投入</w:t>
            </w:r>
          </w:p>
        </w:tc>
        <w:tc>
          <w:tcPr>
            <w:tcW w:type="dxa" w:w="16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毛利－行銷差額</w:t>
            </w:r>
          </w:p>
        </w:tc>
        <w:tc>
          <w:tcPr>
            <w:tcW w:type="dxa" w:w="17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累積差額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2026-08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NT$61,031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NT$3,052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NT$10,070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-NT$7,019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-NT$7,019</w:t>
            </w:r>
          </w:p>
        </w:tc>
      </w:tr>
      <w:tr>
        <w:tc>
          <w:tcPr>
            <w:tcW w:type="dxa" w:w="13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2026-09</w:t>
            </w:r>
          </w:p>
        </w:tc>
        <w:tc>
          <w:tcPr>
            <w:tcW w:type="dxa" w:w="16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NT$119,009</w:t>
            </w:r>
          </w:p>
        </w:tc>
        <w:tc>
          <w:tcPr>
            <w:tcW w:type="dxa" w:w="15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NT$5,950</w:t>
            </w:r>
          </w:p>
        </w:tc>
        <w:tc>
          <w:tcPr>
            <w:tcW w:type="dxa" w:w="16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NT$69,637</w:t>
            </w:r>
          </w:p>
        </w:tc>
        <w:tc>
          <w:tcPr>
            <w:tcW w:type="dxa" w:w="16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-NT$63,686</w:t>
            </w:r>
          </w:p>
        </w:tc>
        <w:tc>
          <w:tcPr>
            <w:tcW w:type="dxa" w:w="17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-NT$70,705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2026-10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NT$137,319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NT$6,866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NT$22,658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-NT$15,792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-NT$86,496</w:t>
            </w:r>
          </w:p>
        </w:tc>
      </w:tr>
      <w:tr>
        <w:tc>
          <w:tcPr>
            <w:tcW w:type="dxa" w:w="13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2026-11</w:t>
            </w:r>
          </w:p>
        </w:tc>
        <w:tc>
          <w:tcPr>
            <w:tcW w:type="dxa" w:w="16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NT$267,771</w:t>
            </w:r>
          </w:p>
        </w:tc>
        <w:tc>
          <w:tcPr>
            <w:tcW w:type="dxa" w:w="15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NT$13,389</w:t>
            </w:r>
          </w:p>
        </w:tc>
        <w:tc>
          <w:tcPr>
            <w:tcW w:type="dxa" w:w="16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NT$94,182</w:t>
            </w:r>
          </w:p>
        </w:tc>
        <w:tc>
          <w:tcPr>
            <w:tcW w:type="dxa" w:w="16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-NT$80,794</w:t>
            </w:r>
          </w:p>
        </w:tc>
        <w:tc>
          <w:tcPr>
            <w:tcW w:type="dxa" w:w="17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-NT$167,290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2026-12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NT$308,967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NT$15,448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NT$50,980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-NT$35,531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6221D"/>
                <w:sz w:val="18"/>
                <w:szCs w:val="18"/>
              </w:rPr>
              <w:t xml:space="preserve">-NT$202,821</w:t>
            </w:r>
          </w:p>
        </w:tc>
      </w:tr>
      <w:tr>
        <w:tc>
          <w:tcPr>
            <w:tcW w:type="dxa" w:w="13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8"/>
                <w:szCs w:val="18"/>
              </w:rPr>
              <w:t xml:space="preserve">總計</w:t>
            </w:r>
          </w:p>
        </w:tc>
        <w:tc>
          <w:tcPr>
            <w:tcW w:type="dxa" w:w="16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8"/>
                <w:szCs w:val="18"/>
              </w:rPr>
              <w:t xml:space="preserve">NT$894,097</w:t>
            </w:r>
          </w:p>
        </w:tc>
        <w:tc>
          <w:tcPr>
            <w:tcW w:type="dxa" w:w="155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8"/>
                <w:szCs w:val="18"/>
              </w:rPr>
              <w:t xml:space="preserve">NT$44,705</w:t>
            </w:r>
          </w:p>
        </w:tc>
        <w:tc>
          <w:tcPr>
            <w:tcW w:type="dxa" w:w="16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8"/>
                <w:szCs w:val="18"/>
              </w:rPr>
              <w:t xml:space="preserve">NT$247,526</w:t>
            </w:r>
          </w:p>
        </w:tc>
        <w:tc>
          <w:tcPr>
            <w:tcW w:type="dxa" w:w="16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8"/>
                <w:szCs w:val="18"/>
              </w:rPr>
              <w:t xml:space="preserve">-NT$202,821</w:t>
            </w:r>
          </w:p>
        </w:tc>
        <w:tc>
          <w:tcPr>
            <w:tcW w:type="dxa" w:w="17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6221D"/>
                <w:sz w:val="18"/>
                <w:szCs w:val="18"/>
              </w:rPr>
              <w:t xml:space="preserve">-NT$202,821</w:t>
            </w:r>
          </w:p>
        </w:tc>
      </w:tr>
    </w:tbl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19"/>
          <w:szCs w:val="19"/>
        </w:rPr>
        <w:t xml:space="preserve">兩檔期加碼本身的毛利回收率：九週年慶約 3%（NT$50,000 加碼僅換得約 NT$1,373 毛利），雙十一約 6%（約 NT$3,090 毛利）——遠低於打平所需水準。建議內部決策時將此列入考量：或重新確認實際毛利率是否高於 5% 之保守估計，或將部分加碼預算改以異業合作、會員導流等非現金方式執行，以降低現金成本。</w:t>
      </w:r>
    </w:p>
    <w:p>
      <w:pPr>
        <w:pBdr>
          <w:bottom w:val="single" w:color="DDD6C7" w:sz="6" w:space="1"/>
        </w:pBdr>
        <w:spacing w:after="240" w:before="4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rFonts w:ascii="Microsoft JhengHei" w:cs="Microsoft JhengHei" w:eastAsia="Microsoft JhengHei" w:hAnsi="Microsoft JhengHei"/>
          <w:color w:val="6B6355"/>
          <w:sz w:val="16"/>
          <w:szCs w:val="16"/>
        </w:rPr>
        <w:t xml:space="preserve">資料來源：《MOMO 渠道合作深化與行銷提案報告》（提案部門：專案發展部/業務部，2026年8月11日）。本報告數字由《MOMO 渠道談判測算器》延伸計算產生（毛利率5%、1:1回投、九週年慶與雙十一各加碼NT$50,000／+30%單月業績），實際成效請以每月「實際追蹤」數據滾動校正。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622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2026-08-11T04:55:02.960Z</dcterms:created>
  <dcterms:modified xsi:type="dcterms:W3CDTF">2026-08-11T04:55:02.961Z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