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AF75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Coca-Cola Product Analysis Report | 2022</w:t>
      </w:r>
    </w:p>
    <w:p w14:paraId="4DDDEFA6" w14:textId="77777777" w:rsidR="001A59AE" w:rsidRPr="001A59AE" w:rsidRDefault="001A59AE" w:rsidP="001A59AE">
      <w:pPr>
        <w:rPr>
          <w:lang w:val="en-IN"/>
        </w:rPr>
      </w:pPr>
      <w:r w:rsidRPr="001A59AE">
        <w:rPr>
          <w:b/>
          <w:bCs/>
          <w:lang w:val="en-IN"/>
        </w:rPr>
        <w:t>Tool Used:</w:t>
      </w:r>
      <w:r w:rsidRPr="001A59AE">
        <w:rPr>
          <w:lang w:val="en-IN"/>
        </w:rPr>
        <w:t xml:space="preserve"> Power BI</w:t>
      </w:r>
      <w:r w:rsidRPr="001A59AE">
        <w:rPr>
          <w:lang w:val="en-IN"/>
        </w:rPr>
        <w:br/>
      </w:r>
      <w:r w:rsidRPr="001A59AE">
        <w:rPr>
          <w:b/>
          <w:bCs/>
          <w:lang w:val="en-IN"/>
        </w:rPr>
        <w:t>Domain:</w:t>
      </w:r>
      <w:r w:rsidRPr="001A59AE">
        <w:rPr>
          <w:lang w:val="en-IN"/>
        </w:rPr>
        <w:t xml:space="preserve"> Sales &amp; Business Analytics</w:t>
      </w:r>
    </w:p>
    <w:p w14:paraId="563F8C78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4D3D032B">
          <v:rect id="_x0000_i1085" style="width:0;height:1.5pt" o:hralign="center" o:hrstd="t" o:hr="t" fillcolor="#a0a0a0" stroked="f"/>
        </w:pict>
      </w:r>
    </w:p>
    <w:p w14:paraId="5EFCB747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1. Introduction</w:t>
      </w:r>
    </w:p>
    <w:p w14:paraId="200FF6E9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In today’s competitive beverage industry, data-driven decision-making plays a crucial role in understanding customer demand, optimizing supply chains, and improving profitability. This project, </w:t>
      </w:r>
      <w:r w:rsidRPr="001A59AE">
        <w:rPr>
          <w:b/>
          <w:bCs/>
          <w:lang w:val="en-IN"/>
        </w:rPr>
        <w:t>“Coca-Cola Product Analysis | 2022”</w:t>
      </w:r>
      <w:r w:rsidRPr="001A59AE">
        <w:rPr>
          <w:lang w:val="en-IN"/>
        </w:rPr>
        <w:t xml:space="preserve">, focuses on </w:t>
      </w:r>
      <w:proofErr w:type="spellStart"/>
      <w:r w:rsidRPr="001A59AE">
        <w:rPr>
          <w:lang w:val="en-IN"/>
        </w:rPr>
        <w:t>analyzing</w:t>
      </w:r>
      <w:proofErr w:type="spellEnd"/>
      <w:r w:rsidRPr="001A59AE">
        <w:rPr>
          <w:lang w:val="en-IN"/>
        </w:rPr>
        <w:t xml:space="preserve"> the sales performance of Coca-Cola products across different regions, states, cities, and retailers using </w:t>
      </w:r>
      <w:r w:rsidRPr="001A59AE">
        <w:rPr>
          <w:b/>
          <w:bCs/>
          <w:lang w:val="en-IN"/>
        </w:rPr>
        <w:t>Power BI</w:t>
      </w:r>
      <w:r w:rsidRPr="001A59AE">
        <w:rPr>
          <w:lang w:val="en-IN"/>
        </w:rPr>
        <w:t>.</w:t>
      </w:r>
    </w:p>
    <w:p w14:paraId="1F801380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objective of this project is to transform raw sales data into meaningful insights through interactive dashboards. The analysis helps stakeholders identify top-performing products, profitable regions, sales trends, and customer buying patterns. This project demonstrates practical business intelligence skills, including data </w:t>
      </w:r>
      <w:proofErr w:type="spellStart"/>
      <w:r w:rsidRPr="001A59AE">
        <w:rPr>
          <w:lang w:val="en-IN"/>
        </w:rPr>
        <w:t>modeling</w:t>
      </w:r>
      <w:proofErr w:type="spellEnd"/>
      <w:r w:rsidRPr="001A59AE">
        <w:rPr>
          <w:lang w:val="en-IN"/>
        </w:rPr>
        <w:t>, KPI creation, and visual storytelling.</w:t>
      </w:r>
    </w:p>
    <w:p w14:paraId="0F78DA96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38AF77BE">
          <v:rect id="_x0000_i1086" style="width:0;height:1.5pt" o:hralign="center" o:hrstd="t" o:hr="t" fillcolor="#a0a0a0" stroked="f"/>
        </w:pict>
      </w:r>
    </w:p>
    <w:p w14:paraId="2A66721A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2. Dataset Overview</w:t>
      </w:r>
    </w:p>
    <w:p w14:paraId="37341F78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>The dataset used in this project contains sales data for the year 2022 and includes multiple attributes related to products, geography, and transactions. Key columns in the dataset include:</w:t>
      </w:r>
    </w:p>
    <w:p w14:paraId="65A81822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Beverage Brand (Coca-Cola, Diet Coke, Sprite, Fanta, Dasani Water, Powerade)</w:t>
      </w:r>
    </w:p>
    <w:p w14:paraId="7CB2AC83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Region, State, and City</w:t>
      </w:r>
    </w:p>
    <w:p w14:paraId="6D910776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Retailer and Delivery Company</w:t>
      </w:r>
    </w:p>
    <w:p w14:paraId="6FD82D08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Price per Unit</w:t>
      </w:r>
    </w:p>
    <w:p w14:paraId="53446CCA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Units Sold</w:t>
      </w:r>
    </w:p>
    <w:p w14:paraId="030E55FB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Total Sales</w:t>
      </w:r>
    </w:p>
    <w:p w14:paraId="5805346E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Operating Profit</w:t>
      </w:r>
    </w:p>
    <w:p w14:paraId="5AB94D48" w14:textId="77777777" w:rsidR="001A59AE" w:rsidRPr="001A59AE" w:rsidRDefault="001A59AE" w:rsidP="001A59AE">
      <w:pPr>
        <w:numPr>
          <w:ilvl w:val="0"/>
          <w:numId w:val="4"/>
        </w:numPr>
        <w:rPr>
          <w:lang w:val="en-IN"/>
        </w:rPr>
      </w:pPr>
      <w:r w:rsidRPr="001A59AE">
        <w:rPr>
          <w:lang w:val="en-IN"/>
        </w:rPr>
        <w:t>Transaction Count</w:t>
      </w:r>
    </w:p>
    <w:p w14:paraId="11D6B487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dataset covers </w:t>
      </w:r>
      <w:r w:rsidRPr="001A59AE">
        <w:rPr>
          <w:b/>
          <w:bCs/>
          <w:lang w:val="en-IN"/>
        </w:rPr>
        <w:t>48 states and 50 cities</w:t>
      </w:r>
      <w:r w:rsidRPr="001A59AE">
        <w:rPr>
          <w:lang w:val="en-IN"/>
        </w:rPr>
        <w:t>, providing a comprehensive view of Coca-Cola’s market presence.</w:t>
      </w:r>
    </w:p>
    <w:p w14:paraId="74D84BB3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3E9175D0">
          <v:rect id="_x0000_i1087" style="width:0;height:1.5pt" o:hralign="center" o:hrstd="t" o:hr="t" fillcolor="#a0a0a0" stroked="f"/>
        </w:pict>
      </w:r>
    </w:p>
    <w:p w14:paraId="28DCF5C2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3. Key Performance Indicators (KPIs)</w:t>
      </w:r>
    </w:p>
    <w:p w14:paraId="3FCCE453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>Several KPIs were created in Power BI to provide a quick summary of overall business performance:</w:t>
      </w:r>
    </w:p>
    <w:p w14:paraId="32601D9E" w14:textId="77777777" w:rsidR="001A59AE" w:rsidRPr="001A59AE" w:rsidRDefault="001A59AE" w:rsidP="001A59AE">
      <w:pPr>
        <w:numPr>
          <w:ilvl w:val="0"/>
          <w:numId w:val="5"/>
        </w:numPr>
        <w:rPr>
          <w:lang w:val="en-IN"/>
        </w:rPr>
      </w:pPr>
      <w:r w:rsidRPr="001A59AE">
        <w:rPr>
          <w:b/>
          <w:bCs/>
          <w:lang w:val="en-IN"/>
        </w:rPr>
        <w:t>Total Sales:</w:t>
      </w:r>
      <w:r w:rsidRPr="001A59AE">
        <w:rPr>
          <w:lang w:val="en-IN"/>
        </w:rPr>
        <w:t xml:space="preserve"> 8 </w:t>
      </w:r>
      <w:proofErr w:type="gramStart"/>
      <w:r w:rsidRPr="001A59AE">
        <w:rPr>
          <w:lang w:val="en-IN"/>
        </w:rPr>
        <w:t>Million</w:t>
      </w:r>
      <w:proofErr w:type="gramEnd"/>
    </w:p>
    <w:p w14:paraId="2C5D0B98" w14:textId="77777777" w:rsidR="001A59AE" w:rsidRPr="001A59AE" w:rsidRDefault="001A59AE" w:rsidP="001A59AE">
      <w:pPr>
        <w:numPr>
          <w:ilvl w:val="0"/>
          <w:numId w:val="5"/>
        </w:numPr>
        <w:rPr>
          <w:lang w:val="en-IN"/>
        </w:rPr>
      </w:pPr>
      <w:r w:rsidRPr="001A59AE">
        <w:rPr>
          <w:b/>
          <w:bCs/>
          <w:lang w:val="en-IN"/>
        </w:rPr>
        <w:t>Total Units Sold:</w:t>
      </w:r>
      <w:r w:rsidRPr="001A59AE">
        <w:rPr>
          <w:lang w:val="en-IN"/>
        </w:rPr>
        <w:t xml:space="preserve"> 16 </w:t>
      </w:r>
      <w:proofErr w:type="gramStart"/>
      <w:r w:rsidRPr="001A59AE">
        <w:rPr>
          <w:lang w:val="en-IN"/>
        </w:rPr>
        <w:t>Million</w:t>
      </w:r>
      <w:proofErr w:type="gramEnd"/>
    </w:p>
    <w:p w14:paraId="08928DDB" w14:textId="77777777" w:rsidR="001A59AE" w:rsidRPr="001A59AE" w:rsidRDefault="001A59AE" w:rsidP="001A59AE">
      <w:pPr>
        <w:numPr>
          <w:ilvl w:val="0"/>
          <w:numId w:val="5"/>
        </w:numPr>
        <w:rPr>
          <w:lang w:val="en-IN"/>
        </w:rPr>
      </w:pPr>
      <w:r w:rsidRPr="001A59AE">
        <w:rPr>
          <w:b/>
          <w:bCs/>
          <w:lang w:val="en-IN"/>
        </w:rPr>
        <w:t>Count of States:</w:t>
      </w:r>
      <w:r w:rsidRPr="001A59AE">
        <w:rPr>
          <w:lang w:val="en-IN"/>
        </w:rPr>
        <w:t xml:space="preserve"> 48</w:t>
      </w:r>
    </w:p>
    <w:p w14:paraId="7958B08B" w14:textId="77777777" w:rsidR="001A59AE" w:rsidRPr="001A59AE" w:rsidRDefault="001A59AE" w:rsidP="001A59AE">
      <w:pPr>
        <w:numPr>
          <w:ilvl w:val="0"/>
          <w:numId w:val="5"/>
        </w:numPr>
        <w:rPr>
          <w:lang w:val="en-IN"/>
        </w:rPr>
      </w:pPr>
      <w:r w:rsidRPr="001A59AE">
        <w:rPr>
          <w:b/>
          <w:bCs/>
          <w:lang w:val="en-IN"/>
        </w:rPr>
        <w:t>Count of Cities:</w:t>
      </w:r>
      <w:r w:rsidRPr="001A59AE">
        <w:rPr>
          <w:lang w:val="en-IN"/>
        </w:rPr>
        <w:t xml:space="preserve"> 50</w:t>
      </w:r>
    </w:p>
    <w:p w14:paraId="5A79C838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>These KPIs offer a high-level snapshot of the company’s scale, reach, and sales volume during 2022.</w:t>
      </w:r>
    </w:p>
    <w:p w14:paraId="0D02F2C6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6D617278">
          <v:rect id="_x0000_i1088" style="width:0;height:1.5pt" o:hralign="center" o:hrstd="t" o:hr="t" fillcolor="#a0a0a0" stroked="f"/>
        </w:pict>
      </w:r>
    </w:p>
    <w:p w14:paraId="45285505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4. Dashboard Design and Features</w:t>
      </w:r>
    </w:p>
    <w:p w14:paraId="37527869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>The dashboard is designed with a user-friendly and visually appealing layout. It includes interactive slicers and filters that allow users to explore data dynamically. Filters available in the dashboard include:</w:t>
      </w:r>
    </w:p>
    <w:p w14:paraId="71E21495" w14:textId="77777777" w:rsidR="001A59AE" w:rsidRPr="001A59AE" w:rsidRDefault="001A59AE" w:rsidP="001A59AE">
      <w:pPr>
        <w:numPr>
          <w:ilvl w:val="0"/>
          <w:numId w:val="6"/>
        </w:numPr>
        <w:rPr>
          <w:lang w:val="en-IN"/>
        </w:rPr>
      </w:pPr>
      <w:r w:rsidRPr="001A59AE">
        <w:rPr>
          <w:lang w:val="en-IN"/>
        </w:rPr>
        <w:t>Beverage Brand</w:t>
      </w:r>
    </w:p>
    <w:p w14:paraId="093C7A10" w14:textId="77777777" w:rsidR="001A59AE" w:rsidRPr="001A59AE" w:rsidRDefault="001A59AE" w:rsidP="001A59AE">
      <w:pPr>
        <w:numPr>
          <w:ilvl w:val="0"/>
          <w:numId w:val="6"/>
        </w:numPr>
        <w:rPr>
          <w:lang w:val="en-IN"/>
        </w:rPr>
      </w:pPr>
      <w:r w:rsidRPr="001A59AE">
        <w:rPr>
          <w:lang w:val="en-IN"/>
        </w:rPr>
        <w:lastRenderedPageBreak/>
        <w:t>Region, State, and City</w:t>
      </w:r>
    </w:p>
    <w:p w14:paraId="70237ADF" w14:textId="77777777" w:rsidR="001A59AE" w:rsidRPr="001A59AE" w:rsidRDefault="001A59AE" w:rsidP="001A59AE">
      <w:pPr>
        <w:numPr>
          <w:ilvl w:val="0"/>
          <w:numId w:val="6"/>
        </w:numPr>
        <w:rPr>
          <w:lang w:val="en-IN"/>
        </w:rPr>
      </w:pPr>
      <w:r w:rsidRPr="001A59AE">
        <w:rPr>
          <w:lang w:val="en-IN"/>
        </w:rPr>
        <w:t>Retailer</w:t>
      </w:r>
    </w:p>
    <w:p w14:paraId="1C2DACA8" w14:textId="77777777" w:rsidR="001A59AE" w:rsidRPr="001A59AE" w:rsidRDefault="001A59AE" w:rsidP="001A59AE">
      <w:pPr>
        <w:numPr>
          <w:ilvl w:val="0"/>
          <w:numId w:val="6"/>
        </w:numPr>
        <w:rPr>
          <w:lang w:val="en-IN"/>
        </w:rPr>
      </w:pPr>
      <w:r w:rsidRPr="001A59AE">
        <w:rPr>
          <w:lang w:val="en-IN"/>
        </w:rPr>
        <w:t>Delivery Company</w:t>
      </w:r>
    </w:p>
    <w:p w14:paraId="1F457563" w14:textId="77777777" w:rsidR="001A59AE" w:rsidRPr="001A59AE" w:rsidRDefault="001A59AE" w:rsidP="001A59AE">
      <w:pPr>
        <w:numPr>
          <w:ilvl w:val="0"/>
          <w:numId w:val="6"/>
        </w:numPr>
        <w:rPr>
          <w:lang w:val="en-IN"/>
        </w:rPr>
      </w:pPr>
      <w:r w:rsidRPr="001A59AE">
        <w:rPr>
          <w:lang w:val="en-IN"/>
        </w:rPr>
        <w:t>Price per Unit</w:t>
      </w:r>
    </w:p>
    <w:p w14:paraId="46B50DF6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>Navigation buttons are used to switch between report pages, improving usability and user experience.</w:t>
      </w:r>
    </w:p>
    <w:p w14:paraId="2AE57CA5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4E71517D">
          <v:rect id="_x0000_i1089" style="width:0;height:1.5pt" o:hralign="center" o:hrstd="t" o:hr="t" fillcolor="#a0a0a0" stroked="f"/>
        </w:pict>
      </w:r>
    </w:p>
    <w:p w14:paraId="40EB9D75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5. Sales and Product Analysis</w:t>
      </w:r>
    </w:p>
    <w:p w14:paraId="2A047157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5.1 Sales by Beverage Brand</w:t>
      </w:r>
    </w:p>
    <w:p w14:paraId="077CD64C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analysis shows that </w:t>
      </w:r>
      <w:r w:rsidRPr="001A59AE">
        <w:rPr>
          <w:b/>
          <w:bCs/>
          <w:lang w:val="en-IN"/>
        </w:rPr>
        <w:t>Coca-Cola</w:t>
      </w:r>
      <w:r w:rsidRPr="001A59AE">
        <w:rPr>
          <w:lang w:val="en-IN"/>
        </w:rPr>
        <w:t xml:space="preserve"> is the highest-selling brand, contributing approximately </w:t>
      </w:r>
      <w:r w:rsidRPr="001A59AE">
        <w:rPr>
          <w:b/>
          <w:bCs/>
          <w:lang w:val="en-IN"/>
        </w:rPr>
        <w:t>$1.9M</w:t>
      </w:r>
      <w:r w:rsidRPr="001A59AE">
        <w:rPr>
          <w:lang w:val="en-IN"/>
        </w:rPr>
        <w:t xml:space="preserve"> in total sales. It is followed by </w:t>
      </w:r>
      <w:r w:rsidRPr="001A59AE">
        <w:rPr>
          <w:b/>
          <w:bCs/>
          <w:lang w:val="en-IN"/>
        </w:rPr>
        <w:t>Dasani Water</w:t>
      </w:r>
      <w:r w:rsidRPr="001A59AE">
        <w:rPr>
          <w:lang w:val="en-IN"/>
        </w:rPr>
        <w:t xml:space="preserve"> and </w:t>
      </w:r>
      <w:r w:rsidRPr="001A59AE">
        <w:rPr>
          <w:b/>
          <w:bCs/>
          <w:lang w:val="en-IN"/>
        </w:rPr>
        <w:t>Diet Coke</w:t>
      </w:r>
      <w:r w:rsidRPr="001A59AE">
        <w:rPr>
          <w:lang w:val="en-IN"/>
        </w:rPr>
        <w:t>, indicating strong consumer preference for both carbonated and non-carbonated beverages.</w:t>
      </w:r>
    </w:p>
    <w:p w14:paraId="5B35E438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5.2 Units Sold by Brand</w:t>
      </w:r>
    </w:p>
    <w:p w14:paraId="3D81248A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Coca-Cola leads with </w:t>
      </w:r>
      <w:r w:rsidRPr="001A59AE">
        <w:rPr>
          <w:b/>
          <w:bCs/>
          <w:lang w:val="en-IN"/>
        </w:rPr>
        <w:t>4.0M units sold</w:t>
      </w:r>
      <w:r w:rsidRPr="001A59AE">
        <w:rPr>
          <w:lang w:val="en-IN"/>
        </w:rPr>
        <w:t>, making it the most popular product by volume. Brands like Sprite and Fanta also show strong sales, highlighting consistent demand across multiple product categories.</w:t>
      </w:r>
    </w:p>
    <w:p w14:paraId="1E63A710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6C5017D3">
          <v:rect id="_x0000_i1090" style="width:0;height:1.5pt" o:hralign="center" o:hrstd="t" o:hr="t" fillcolor="#a0a0a0" stroked="f"/>
        </w:pict>
      </w:r>
    </w:p>
    <w:p w14:paraId="700CDDFC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6. Regional Performance Analysis</w:t>
      </w:r>
    </w:p>
    <w:p w14:paraId="38AD1032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6.1 Sales by Region</w:t>
      </w:r>
    </w:p>
    <w:p w14:paraId="62532D8C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</w:t>
      </w:r>
      <w:r w:rsidRPr="001A59AE">
        <w:rPr>
          <w:b/>
          <w:bCs/>
          <w:lang w:val="en-IN"/>
        </w:rPr>
        <w:t>West region</w:t>
      </w:r>
      <w:r w:rsidRPr="001A59AE">
        <w:rPr>
          <w:lang w:val="en-IN"/>
        </w:rPr>
        <w:t xml:space="preserve"> emerges as the top-performing region in terms of both total sales and units sold. Other regions such as the Northeast and Southeast also show significant contributions, while the Midwest records comparatively lower sales.</w:t>
      </w:r>
    </w:p>
    <w:p w14:paraId="2C073677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6.2 Operating Profit by Region</w:t>
      </w:r>
    </w:p>
    <w:p w14:paraId="2BC14E92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>Operating profit analysis indicates that the West region generates the highest profit, followed by the Southeast and Northeast. This insight helps identify regions with better profit margins and cost efficiency.</w:t>
      </w:r>
    </w:p>
    <w:p w14:paraId="31EFFAA0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6.3 Units Sold by Region</w:t>
      </w:r>
    </w:p>
    <w:p w14:paraId="5E6E9FD2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West region leads with approximately </w:t>
      </w:r>
      <w:r w:rsidRPr="001A59AE">
        <w:rPr>
          <w:b/>
          <w:bCs/>
          <w:lang w:val="en-IN"/>
        </w:rPr>
        <w:t>3.9M units sold</w:t>
      </w:r>
      <w:r w:rsidRPr="001A59AE">
        <w:rPr>
          <w:lang w:val="en-IN"/>
        </w:rPr>
        <w:t>, followed by the Northeast and Southeast. This reflects strong market demand and effective distribution in western states.</w:t>
      </w:r>
    </w:p>
    <w:p w14:paraId="54F61102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57AEFDAD">
          <v:rect id="_x0000_i1091" style="width:0;height:1.5pt" o:hralign="center" o:hrstd="t" o:hr="t" fillcolor="#a0a0a0" stroked="f"/>
        </w:pict>
      </w:r>
    </w:p>
    <w:p w14:paraId="7EF74BC5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7. Retailer and Transaction Analysis</w:t>
      </w:r>
    </w:p>
    <w:p w14:paraId="7022C0CB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dashboard includes a </w:t>
      </w:r>
      <w:proofErr w:type="spellStart"/>
      <w:r w:rsidRPr="001A59AE">
        <w:rPr>
          <w:lang w:val="en-IN"/>
        </w:rPr>
        <w:t>treemap</w:t>
      </w:r>
      <w:proofErr w:type="spellEnd"/>
      <w:r w:rsidRPr="001A59AE">
        <w:rPr>
          <w:lang w:val="en-IN"/>
        </w:rPr>
        <w:t xml:space="preserve"> visualization showing </w:t>
      </w:r>
      <w:r w:rsidRPr="001A59AE">
        <w:rPr>
          <w:b/>
          <w:bCs/>
          <w:lang w:val="en-IN"/>
        </w:rPr>
        <w:t>sales and units sold by brand and retailer</w:t>
      </w:r>
      <w:r w:rsidRPr="001A59AE">
        <w:rPr>
          <w:lang w:val="en-IN"/>
        </w:rPr>
        <w:t xml:space="preserve">. Retailers such as </w:t>
      </w:r>
      <w:r w:rsidRPr="001A59AE">
        <w:rPr>
          <w:b/>
          <w:bCs/>
          <w:lang w:val="en-IN"/>
        </w:rPr>
        <w:t>Walmart, CVS, and Costco</w:t>
      </w:r>
      <w:r w:rsidRPr="001A59AE">
        <w:rPr>
          <w:lang w:val="en-IN"/>
        </w:rPr>
        <w:t xml:space="preserve"> play a major role in total sales contribution, with Walmart being the top retailer across most beverage brands.</w:t>
      </w:r>
    </w:p>
    <w:p w14:paraId="004B323F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A donut chart representing </w:t>
      </w:r>
      <w:r w:rsidRPr="001A59AE">
        <w:rPr>
          <w:b/>
          <w:bCs/>
          <w:lang w:val="en-IN"/>
        </w:rPr>
        <w:t>transaction count by region</w:t>
      </w:r>
      <w:r w:rsidRPr="001A59AE">
        <w:rPr>
          <w:lang w:val="en-IN"/>
        </w:rPr>
        <w:t xml:space="preserve"> highlights customer purchasing frequency. The analysis reveals that certain regions generate a higher number of transactions, indicating stronger customer engagement.</w:t>
      </w:r>
    </w:p>
    <w:p w14:paraId="5FD35029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6F46B1C8">
          <v:rect id="_x0000_i1092" style="width:0;height:1.5pt" o:hralign="center" o:hrstd="t" o:hr="t" fillcolor="#a0a0a0" stroked="f"/>
        </w:pict>
      </w:r>
    </w:p>
    <w:p w14:paraId="48B7145B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8. Geographical Insights</w:t>
      </w:r>
    </w:p>
    <w:p w14:paraId="3294B8A8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A map visualization is used to display </w:t>
      </w:r>
      <w:r w:rsidRPr="001A59AE">
        <w:rPr>
          <w:b/>
          <w:bCs/>
          <w:lang w:val="en-IN"/>
        </w:rPr>
        <w:t>total sales by state</w:t>
      </w:r>
      <w:r w:rsidRPr="001A59AE">
        <w:rPr>
          <w:lang w:val="en-IN"/>
        </w:rPr>
        <w:t>, making it easy to identify high-performing and low-performing states. This geographical view helps stakeholders plan regional marketing strategies and optimize distribution networks.</w:t>
      </w:r>
    </w:p>
    <w:p w14:paraId="0E7CD775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061F40FE">
          <v:rect id="_x0000_i1093" style="width:0;height:1.5pt" o:hralign="center" o:hrstd="t" o:hr="t" fillcolor="#a0a0a0" stroked="f"/>
        </w:pict>
      </w:r>
    </w:p>
    <w:p w14:paraId="66624F7C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lastRenderedPageBreak/>
        <w:t>9. Key Insights and Findings</w:t>
      </w:r>
    </w:p>
    <w:p w14:paraId="649039C9" w14:textId="77777777" w:rsidR="001A59AE" w:rsidRPr="001A59AE" w:rsidRDefault="001A59AE" w:rsidP="001A59AE">
      <w:pPr>
        <w:numPr>
          <w:ilvl w:val="0"/>
          <w:numId w:val="7"/>
        </w:numPr>
        <w:rPr>
          <w:lang w:val="en-IN"/>
        </w:rPr>
      </w:pPr>
      <w:r w:rsidRPr="001A59AE">
        <w:rPr>
          <w:lang w:val="en-IN"/>
        </w:rPr>
        <w:t>Coca-Cola is the top-performing brand in both sales and units sold.</w:t>
      </w:r>
    </w:p>
    <w:p w14:paraId="0C05C9E3" w14:textId="77777777" w:rsidR="001A59AE" w:rsidRPr="001A59AE" w:rsidRDefault="001A59AE" w:rsidP="001A59AE">
      <w:pPr>
        <w:numPr>
          <w:ilvl w:val="0"/>
          <w:numId w:val="7"/>
        </w:numPr>
        <w:rPr>
          <w:lang w:val="en-IN"/>
        </w:rPr>
      </w:pPr>
      <w:r w:rsidRPr="001A59AE">
        <w:rPr>
          <w:lang w:val="en-IN"/>
        </w:rPr>
        <w:t>The West region leads in sales, units sold, and operating profit.</w:t>
      </w:r>
    </w:p>
    <w:p w14:paraId="551EB23A" w14:textId="77777777" w:rsidR="001A59AE" w:rsidRPr="001A59AE" w:rsidRDefault="001A59AE" w:rsidP="001A59AE">
      <w:pPr>
        <w:numPr>
          <w:ilvl w:val="0"/>
          <w:numId w:val="7"/>
        </w:numPr>
        <w:rPr>
          <w:lang w:val="en-IN"/>
        </w:rPr>
      </w:pPr>
      <w:r w:rsidRPr="001A59AE">
        <w:rPr>
          <w:lang w:val="en-IN"/>
        </w:rPr>
        <w:t>Walmart is the most significant retail partner across brands.</w:t>
      </w:r>
    </w:p>
    <w:p w14:paraId="15A82DB8" w14:textId="77777777" w:rsidR="001A59AE" w:rsidRPr="001A59AE" w:rsidRDefault="001A59AE" w:rsidP="001A59AE">
      <w:pPr>
        <w:numPr>
          <w:ilvl w:val="0"/>
          <w:numId w:val="7"/>
        </w:numPr>
        <w:rPr>
          <w:lang w:val="en-IN"/>
        </w:rPr>
      </w:pPr>
      <w:r w:rsidRPr="001A59AE">
        <w:rPr>
          <w:lang w:val="en-IN"/>
        </w:rPr>
        <w:t>Strong correlation exists between high transaction count and higher sales regions.</w:t>
      </w:r>
    </w:p>
    <w:p w14:paraId="6FEEACBB" w14:textId="77777777" w:rsidR="001A59AE" w:rsidRPr="001A59AE" w:rsidRDefault="001A59AE" w:rsidP="001A59AE">
      <w:pPr>
        <w:numPr>
          <w:ilvl w:val="0"/>
          <w:numId w:val="7"/>
        </w:numPr>
        <w:rPr>
          <w:lang w:val="en-IN"/>
        </w:rPr>
      </w:pPr>
      <w:r w:rsidRPr="001A59AE">
        <w:rPr>
          <w:lang w:val="en-IN"/>
        </w:rPr>
        <w:t>Product diversification contributes to stable overall revenue.</w:t>
      </w:r>
    </w:p>
    <w:p w14:paraId="32656750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pict w14:anchorId="780D0326">
          <v:rect id="_x0000_i1094" style="width:0;height:1.5pt" o:hralign="center" o:hrstd="t" o:hr="t" fillcolor="#a0a0a0" stroked="f"/>
        </w:pict>
      </w:r>
    </w:p>
    <w:p w14:paraId="773938C2" w14:textId="77777777" w:rsidR="001A59AE" w:rsidRPr="001A59AE" w:rsidRDefault="001A59AE" w:rsidP="001A59AE">
      <w:pPr>
        <w:rPr>
          <w:b/>
          <w:bCs/>
          <w:lang w:val="en-IN"/>
        </w:rPr>
      </w:pPr>
      <w:r w:rsidRPr="001A59AE">
        <w:rPr>
          <w:b/>
          <w:bCs/>
          <w:lang w:val="en-IN"/>
        </w:rPr>
        <w:t>10. Conclusion</w:t>
      </w:r>
    </w:p>
    <w:p w14:paraId="69435C5E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The </w:t>
      </w:r>
      <w:r w:rsidRPr="001A59AE">
        <w:rPr>
          <w:b/>
          <w:bCs/>
          <w:lang w:val="en-IN"/>
        </w:rPr>
        <w:t>Coca-Cola Product Analysis Dashboard (2022)</w:t>
      </w:r>
      <w:r w:rsidRPr="001A59AE">
        <w:rPr>
          <w:lang w:val="en-IN"/>
        </w:rPr>
        <w:t xml:space="preserve"> successfully demonstrates how Power BI can be used to convert raw data into actionable business insights. Through interactive visuals, KPIs, and filters, the dashboard provides a comprehensive view of sales performance, profitability, and regional trends.</w:t>
      </w:r>
    </w:p>
    <w:p w14:paraId="583B5F95" w14:textId="77777777" w:rsidR="001A59AE" w:rsidRPr="001A59AE" w:rsidRDefault="001A59AE" w:rsidP="001A59AE">
      <w:pPr>
        <w:rPr>
          <w:lang w:val="en-IN"/>
        </w:rPr>
      </w:pPr>
      <w:r w:rsidRPr="001A59AE">
        <w:rPr>
          <w:lang w:val="en-IN"/>
        </w:rPr>
        <w:t xml:space="preserve">This project showcases essential data analyst skills such as </w:t>
      </w:r>
      <w:r w:rsidRPr="001A59AE">
        <w:rPr>
          <w:b/>
          <w:bCs/>
          <w:lang w:val="en-IN"/>
        </w:rPr>
        <w:t>data analysis, business intelligence reporting, dashboard design, and insight generation</w:t>
      </w:r>
      <w:r w:rsidRPr="001A59AE">
        <w:rPr>
          <w:lang w:val="en-IN"/>
        </w:rPr>
        <w:t>. It can support strategic decisions related to product focus, regional expansion, and retailer partnerships. Overall, the project highlights the importance of analytics in driving business growth and operational efficiency.</w:t>
      </w:r>
    </w:p>
    <w:p w14:paraId="41ADCB98" w14:textId="77777777" w:rsidR="009A19FF" w:rsidRDefault="009A19FF"/>
    <w:sectPr w:rsidR="009A19FF" w:rsidSect="001A59AE">
      <w:pgSz w:w="11906" w:h="16838"/>
      <w:pgMar w:top="1440" w:right="138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E7222"/>
    <w:multiLevelType w:val="multilevel"/>
    <w:tmpl w:val="B02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07518"/>
    <w:multiLevelType w:val="multilevel"/>
    <w:tmpl w:val="B02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B1A3D"/>
    <w:multiLevelType w:val="multilevel"/>
    <w:tmpl w:val="802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D6C08"/>
    <w:multiLevelType w:val="hybridMultilevel"/>
    <w:tmpl w:val="FFFFFFFF"/>
    <w:lvl w:ilvl="0" w:tplc="79A64FC2">
      <w:start w:val="1"/>
      <w:numFmt w:val="bullet"/>
      <w:lvlText w:val="•"/>
      <w:lvlJc w:val="left"/>
      <w:pPr>
        <w:ind w:left="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06E44">
      <w:start w:val="1"/>
      <w:numFmt w:val="bullet"/>
      <w:lvlText w:val="o"/>
      <w:lvlJc w:val="left"/>
      <w:pPr>
        <w:ind w:left="1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466738">
      <w:start w:val="1"/>
      <w:numFmt w:val="bullet"/>
      <w:lvlText w:val="▪"/>
      <w:lvlJc w:val="left"/>
      <w:pPr>
        <w:ind w:left="2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E6EBA4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038F8">
      <w:start w:val="1"/>
      <w:numFmt w:val="bullet"/>
      <w:lvlText w:val="o"/>
      <w:lvlJc w:val="left"/>
      <w:pPr>
        <w:ind w:left="3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D43FEE">
      <w:start w:val="1"/>
      <w:numFmt w:val="bullet"/>
      <w:lvlText w:val="▪"/>
      <w:lvlJc w:val="left"/>
      <w:pPr>
        <w:ind w:left="4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F63D62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546510">
      <w:start w:val="1"/>
      <w:numFmt w:val="bullet"/>
      <w:lvlText w:val="o"/>
      <w:lvlJc w:val="left"/>
      <w:pPr>
        <w:ind w:left="5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8A4FA2">
      <w:start w:val="1"/>
      <w:numFmt w:val="bullet"/>
      <w:lvlText w:val="▪"/>
      <w:lvlJc w:val="left"/>
      <w:pPr>
        <w:ind w:left="6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203707"/>
    <w:multiLevelType w:val="hybridMultilevel"/>
    <w:tmpl w:val="FFFFFFFF"/>
    <w:lvl w:ilvl="0" w:tplc="8210112C">
      <w:start w:val="1"/>
      <w:numFmt w:val="bullet"/>
      <w:lvlText w:val="•"/>
      <w:lvlJc w:val="left"/>
      <w:pPr>
        <w:ind w:left="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A89AE">
      <w:start w:val="1"/>
      <w:numFmt w:val="bullet"/>
      <w:lvlText w:val="o"/>
      <w:lvlJc w:val="left"/>
      <w:pPr>
        <w:ind w:left="1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FAA492">
      <w:start w:val="1"/>
      <w:numFmt w:val="bullet"/>
      <w:lvlText w:val="▪"/>
      <w:lvlJc w:val="left"/>
      <w:pPr>
        <w:ind w:left="2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EAB6D4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6CBA9C">
      <w:start w:val="1"/>
      <w:numFmt w:val="bullet"/>
      <w:lvlText w:val="o"/>
      <w:lvlJc w:val="left"/>
      <w:pPr>
        <w:ind w:left="3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48DD2C">
      <w:start w:val="1"/>
      <w:numFmt w:val="bullet"/>
      <w:lvlText w:val="▪"/>
      <w:lvlJc w:val="left"/>
      <w:pPr>
        <w:ind w:left="4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76B0AC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B2590A">
      <w:start w:val="1"/>
      <w:numFmt w:val="bullet"/>
      <w:lvlText w:val="o"/>
      <w:lvlJc w:val="left"/>
      <w:pPr>
        <w:ind w:left="5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08C0FC">
      <w:start w:val="1"/>
      <w:numFmt w:val="bullet"/>
      <w:lvlText w:val="▪"/>
      <w:lvlJc w:val="left"/>
      <w:pPr>
        <w:ind w:left="6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C96076"/>
    <w:multiLevelType w:val="multilevel"/>
    <w:tmpl w:val="BCC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A286D"/>
    <w:multiLevelType w:val="hybridMultilevel"/>
    <w:tmpl w:val="FFFFFFFF"/>
    <w:lvl w:ilvl="0" w:tplc="320671A2">
      <w:start w:val="1"/>
      <w:numFmt w:val="bullet"/>
      <w:lvlText w:val="•"/>
      <w:lvlJc w:val="left"/>
      <w:pPr>
        <w:ind w:left="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EC09D0">
      <w:start w:val="1"/>
      <w:numFmt w:val="bullet"/>
      <w:lvlText w:val="o"/>
      <w:lvlJc w:val="left"/>
      <w:pPr>
        <w:ind w:left="1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DEA792">
      <w:start w:val="1"/>
      <w:numFmt w:val="bullet"/>
      <w:lvlText w:val="▪"/>
      <w:lvlJc w:val="left"/>
      <w:pPr>
        <w:ind w:left="2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F26660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163DBA">
      <w:start w:val="1"/>
      <w:numFmt w:val="bullet"/>
      <w:lvlText w:val="o"/>
      <w:lvlJc w:val="left"/>
      <w:pPr>
        <w:ind w:left="3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C4570C">
      <w:start w:val="1"/>
      <w:numFmt w:val="bullet"/>
      <w:lvlText w:val="▪"/>
      <w:lvlJc w:val="left"/>
      <w:pPr>
        <w:ind w:left="4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32189E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0C3254">
      <w:start w:val="1"/>
      <w:numFmt w:val="bullet"/>
      <w:lvlText w:val="o"/>
      <w:lvlJc w:val="left"/>
      <w:pPr>
        <w:ind w:left="5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6039A">
      <w:start w:val="1"/>
      <w:numFmt w:val="bullet"/>
      <w:lvlText w:val="▪"/>
      <w:lvlJc w:val="left"/>
      <w:pPr>
        <w:ind w:left="6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202349">
    <w:abstractNumId w:val="3"/>
  </w:num>
  <w:num w:numId="2" w16cid:durableId="1724597245">
    <w:abstractNumId w:val="4"/>
  </w:num>
  <w:num w:numId="3" w16cid:durableId="810901932">
    <w:abstractNumId w:val="6"/>
  </w:num>
  <w:num w:numId="4" w16cid:durableId="1588270649">
    <w:abstractNumId w:val="2"/>
  </w:num>
  <w:num w:numId="5" w16cid:durableId="1652246653">
    <w:abstractNumId w:val="1"/>
  </w:num>
  <w:num w:numId="6" w16cid:durableId="821391106">
    <w:abstractNumId w:val="0"/>
  </w:num>
  <w:num w:numId="7" w16cid:durableId="1031106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AE"/>
    <w:rsid w:val="001A59AE"/>
    <w:rsid w:val="00253E40"/>
    <w:rsid w:val="006926A0"/>
    <w:rsid w:val="009A19FF"/>
    <w:rsid w:val="00AF71C5"/>
    <w:rsid w:val="00F0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EDD9"/>
  <w15:chartTrackingRefBased/>
  <w15:docId w15:val="{74455CB1-94A8-42AA-B0BB-70BCDA4E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9AE"/>
    <w:pPr>
      <w:spacing w:after="108" w:line="249" w:lineRule="auto"/>
      <w:ind w:left="53" w:hanging="10"/>
    </w:pPr>
    <w:rPr>
      <w:rFonts w:ascii="Times New Roman" w:eastAsia="Times New Roman" w:hAnsi="Times New Roman" w:cs="Times New Roman"/>
      <w:color w:val="000000"/>
      <w:szCs w:val="24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9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Shamvell S</dc:creator>
  <cp:keywords/>
  <dc:description/>
  <cp:lastModifiedBy>Shamvell S</cp:lastModifiedBy>
  <cp:revision>1</cp:revision>
  <dcterms:created xsi:type="dcterms:W3CDTF">2025-12-14T13:56:00Z</dcterms:created>
  <dcterms:modified xsi:type="dcterms:W3CDTF">2025-12-14T14:06:00Z</dcterms:modified>
</cp:coreProperties>
</file>