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rial" w:hAnsi="Arial"/>
          <w:b/>
          <w:sz w:val="48"/>
        </w:rPr>
        <w:t>STATISTICAL ANALYSIS PLAN</w:t>
      </w:r>
    </w:p>
    <w:p>
      <w:pPr>
        <w:jc w:val="center"/>
      </w:pPr>
      <w:r>
        <w:rPr>
          <w:b/>
          <w:sz w:val="36"/>
        </w:rPr>
        <w:t>Study HTN001</w:t>
      </w:r>
    </w:p>
    <w:p>
      <w:pPr>
        <w:spacing w:before="240"/>
        <w:jc w:val="center"/>
      </w:pPr>
      <w:r>
        <w:rPr>
          <w:sz w:val="26"/>
        </w:rPr>
        <w:t>A Phase II, Randomized, Double-Blind, Placebo-Controlled Study to Evaluate the Efficacy and Safety of Drug A 50 mg Once Daily in Subjects with Essential Hypertension</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vAlign w:val="center"/>
            <w:shd w:fill="D9EAF7"/>
          </w:tcPr>
          <w:p>
            <w:pPr>
              <w:spacing w:after="0"/>
            </w:pPr>
            <w:r/>
            <w:r>
              <w:rPr>
                <w:b/>
                <w:sz w:val="20"/>
              </w:rPr>
              <w:t>Protocol Number</w:t>
            </w:r>
          </w:p>
        </w:tc>
        <w:tc>
          <w:tcPr>
            <w:tcW w:type="dxa" w:w="4968"/>
            <w:vAlign w:val="center"/>
          </w:tcPr>
          <w:p>
            <w:pPr>
              <w:spacing w:after="0"/>
            </w:pPr>
            <w:r/>
            <w:r>
              <w:rPr>
                <w:b w:val="0"/>
                <w:sz w:val="20"/>
              </w:rPr>
              <w:t>HTN001</w:t>
            </w:r>
          </w:p>
        </w:tc>
      </w:tr>
      <w:tr>
        <w:trPr>
          <w:trHeight w:hRule="atLeast"/>
        </w:trPr>
        <w:tc>
          <w:tcPr>
            <w:tcW w:type="dxa" w:w="4968"/>
            <w:vAlign w:val="center"/>
            <w:shd w:fill="D9EAF7"/>
          </w:tcPr>
          <w:p>
            <w:pPr>
              <w:spacing w:after="0"/>
            </w:pPr>
            <w:r/>
            <w:r>
              <w:rPr>
                <w:b/>
                <w:sz w:val="20"/>
              </w:rPr>
              <w:t>Protocol Version</w:t>
            </w:r>
          </w:p>
        </w:tc>
        <w:tc>
          <w:tcPr>
            <w:tcW w:type="dxa" w:w="4968"/>
            <w:vAlign w:val="center"/>
          </w:tcPr>
          <w:p>
            <w:pPr>
              <w:spacing w:after="0"/>
            </w:pPr>
            <w:r/>
            <w:r>
              <w:rPr>
                <w:b w:val="0"/>
                <w:sz w:val="20"/>
              </w:rPr>
              <w:t>1.0</w:t>
            </w:r>
          </w:p>
        </w:tc>
      </w:tr>
      <w:tr>
        <w:trPr>
          <w:trHeight w:hRule="atLeast"/>
        </w:trPr>
        <w:tc>
          <w:tcPr>
            <w:tcW w:type="dxa" w:w="4968"/>
            <w:vAlign w:val="center"/>
            <w:shd w:fill="D9EAF7"/>
          </w:tcPr>
          <w:p>
            <w:pPr>
              <w:spacing w:after="0"/>
            </w:pPr>
            <w:r/>
            <w:r>
              <w:rPr>
                <w:b/>
                <w:sz w:val="20"/>
              </w:rPr>
              <w:t>SAP Version</w:t>
            </w:r>
          </w:p>
        </w:tc>
        <w:tc>
          <w:tcPr>
            <w:tcW w:type="dxa" w:w="4968"/>
            <w:vAlign w:val="center"/>
          </w:tcPr>
          <w:p>
            <w:pPr>
              <w:spacing w:after="0"/>
            </w:pPr>
            <w:r/>
            <w:r>
              <w:rPr>
                <w:b w:val="0"/>
                <w:sz w:val="20"/>
              </w:rPr>
              <w:t>1.0</w:t>
            </w:r>
          </w:p>
        </w:tc>
      </w:tr>
      <w:tr>
        <w:trPr>
          <w:trHeight w:hRule="atLeast"/>
        </w:trPr>
        <w:tc>
          <w:tcPr>
            <w:tcW w:type="dxa" w:w="4968"/>
            <w:vAlign w:val="center"/>
            <w:shd w:fill="D9EAF7"/>
          </w:tcPr>
          <w:p>
            <w:pPr>
              <w:spacing w:after="0"/>
            </w:pPr>
            <w:r/>
            <w:r>
              <w:rPr>
                <w:b/>
                <w:sz w:val="20"/>
              </w:rPr>
              <w:t>SAP Date</w:t>
            </w:r>
          </w:p>
        </w:tc>
        <w:tc>
          <w:tcPr>
            <w:tcW w:type="dxa" w:w="4968"/>
            <w:vAlign w:val="center"/>
          </w:tcPr>
          <w:p>
            <w:pPr>
              <w:spacing w:after="0"/>
            </w:pPr>
            <w:r/>
            <w:r>
              <w:rPr>
                <w:b w:val="0"/>
                <w:sz w:val="20"/>
              </w:rPr>
              <w:t>21-Jul-2026</w:t>
            </w:r>
          </w:p>
        </w:tc>
      </w:tr>
      <w:tr>
        <w:trPr>
          <w:trHeight w:hRule="atLeast"/>
        </w:trPr>
        <w:tc>
          <w:tcPr>
            <w:tcW w:type="dxa" w:w="4968"/>
            <w:vAlign w:val="center"/>
            <w:shd w:fill="D9EAF7"/>
          </w:tcPr>
          <w:p>
            <w:pPr>
              <w:spacing w:after="0"/>
            </w:pPr>
            <w:r/>
            <w:r>
              <w:rPr>
                <w:b/>
                <w:sz w:val="20"/>
              </w:rPr>
              <w:t>Planned Sample Size</w:t>
            </w:r>
          </w:p>
        </w:tc>
        <w:tc>
          <w:tcPr>
            <w:tcW w:type="dxa" w:w="4968"/>
            <w:vAlign w:val="center"/>
          </w:tcPr>
          <w:p>
            <w:pPr>
              <w:spacing w:after="0"/>
            </w:pPr>
            <w:r/>
            <w:r>
              <w:rPr>
                <w:b w:val="0"/>
                <w:sz w:val="20"/>
              </w:rPr>
              <w:t>120 subjects</w:t>
            </w:r>
          </w:p>
        </w:tc>
      </w:tr>
      <w:tr>
        <w:trPr>
          <w:trHeight w:hRule="atLeast"/>
        </w:trPr>
        <w:tc>
          <w:tcPr>
            <w:tcW w:type="dxa" w:w="4968"/>
            <w:vAlign w:val="center"/>
            <w:shd w:fill="D9EAF7"/>
          </w:tcPr>
          <w:p>
            <w:pPr>
              <w:spacing w:after="0"/>
            </w:pPr>
            <w:r/>
            <w:r>
              <w:rPr>
                <w:b/>
                <w:sz w:val="20"/>
              </w:rPr>
              <w:t>Prepared By</w:t>
            </w:r>
          </w:p>
        </w:tc>
        <w:tc>
          <w:tcPr>
            <w:tcW w:type="dxa" w:w="4968"/>
            <w:vAlign w:val="center"/>
          </w:tcPr>
          <w:p>
            <w:pPr>
              <w:spacing w:after="0"/>
            </w:pPr>
            <w:r/>
            <w:r>
              <w:rPr>
                <w:b w:val="0"/>
                <w:sz w:val="20"/>
              </w:rPr>
              <w:t>Shanmugam M</w:t>
            </w:r>
          </w:p>
        </w:tc>
      </w:tr>
      <w:tr>
        <w:trPr>
          <w:trHeight w:hRule="atLeast"/>
        </w:trPr>
        <w:tc>
          <w:tcPr>
            <w:tcW w:type="dxa" w:w="4968"/>
            <w:vAlign w:val="center"/>
            <w:shd w:fill="D9EAF7"/>
          </w:tcPr>
          <w:p>
            <w:pPr>
              <w:spacing w:after="0"/>
            </w:pPr>
            <w:r/>
            <w:r>
              <w:rPr>
                <w:b/>
                <w:sz w:val="20"/>
              </w:rPr>
              <w:t>Document Type</w:t>
            </w:r>
          </w:p>
        </w:tc>
        <w:tc>
          <w:tcPr>
            <w:tcW w:type="dxa" w:w="4968"/>
            <w:vAlign w:val="center"/>
          </w:tcPr>
          <w:p>
            <w:pPr>
              <w:spacing w:after="0"/>
            </w:pPr>
            <w:r/>
            <w:r>
              <w:rPr>
                <w:b w:val="0"/>
                <w:sz w:val="20"/>
              </w:rPr>
              <w:t>Clinical SAS Portfolio Project</w:t>
            </w:r>
          </w:p>
        </w:tc>
      </w:tr>
    </w:tbl>
    <w:p/>
    <w:p>
      <w:pPr>
        <w:jc w:val="center"/>
      </w:pPr>
      <w:r>
        <w:rPr>
          <w:b/>
          <w:sz w:val="24"/>
        </w:rPr>
        <w:t>CONFIDENTIAL</w:t>
      </w:r>
    </w:p>
    <w:p>
      <w:pPr>
        <w:jc w:val="center"/>
      </w:pPr>
      <w:r>
        <w:rPr>
          <w:i/>
          <w:sz w:val="18"/>
        </w:rPr>
        <w:t>This document is prepared for training and portfolio demonstration purposes.</w:t>
      </w:r>
    </w:p>
    <w:p>
      <w:r>
        <w:br w:type="page"/>
      </w:r>
    </w:p>
    <w:p>
      <w:pPr>
        <w:pStyle w:val="Heading1"/>
      </w:pPr>
      <w:r>
        <w:t>Document Approval</w:t>
      </w:r>
    </w:p>
    <w:p>
      <w:r>
        <w:t>The signatures below indicate review and approval of this Statistical Analysis Plan for the HTN001 mock clinical study.</w:t>
      </w:r>
    </w:p>
    <w:tbl>
      <w:tblPr>
        <w:tblStyle w:val="TableGrid"/>
        <w:tblW w:type="auto" w:w="0"/>
        <w:jc w:val="center"/>
        <w:tblLook w:firstColumn="1" w:firstRow="1" w:lastColumn="0" w:lastRow="0" w:noHBand="0" w:noVBand="1" w:val="04A0"/>
      </w:tblPr>
      <w:tblGrid>
        <w:gridCol w:w="2484"/>
        <w:gridCol w:w="2484"/>
        <w:gridCol w:w="2484"/>
        <w:gridCol w:w="2484"/>
      </w:tblGrid>
      <w:tr>
        <w:trPr>
          <w:trHeight w:hRule="atLeast"/>
        </w:trPr>
        <w:tc>
          <w:tcPr>
            <w:tcW w:type="dxa" w:w="2484"/>
            <w:vAlign w:val="center"/>
            <w:shd w:fill="B4C6E7"/>
          </w:tcPr>
          <w:p>
            <w:pPr>
              <w:spacing w:after="0"/>
            </w:pPr>
            <w:r/>
            <w:r>
              <w:rPr>
                <w:b/>
                <w:sz w:val="18"/>
              </w:rPr>
              <w:t>Role</w:t>
            </w:r>
          </w:p>
        </w:tc>
        <w:tc>
          <w:tcPr>
            <w:tcW w:type="dxa" w:w="2484"/>
            <w:vAlign w:val="center"/>
            <w:shd w:fill="B4C6E7"/>
          </w:tcPr>
          <w:p>
            <w:pPr>
              <w:spacing w:after="0"/>
            </w:pPr>
            <w:r/>
            <w:r>
              <w:rPr>
                <w:b/>
                <w:sz w:val="18"/>
              </w:rPr>
              <w:t>Name</w:t>
            </w:r>
          </w:p>
        </w:tc>
        <w:tc>
          <w:tcPr>
            <w:tcW w:type="dxa" w:w="2484"/>
            <w:vAlign w:val="center"/>
            <w:shd w:fill="B4C6E7"/>
          </w:tcPr>
          <w:p>
            <w:pPr>
              <w:spacing w:after="0"/>
            </w:pPr>
            <w:r/>
            <w:r>
              <w:rPr>
                <w:b/>
                <w:sz w:val="18"/>
              </w:rPr>
              <w:t>Signature</w:t>
            </w:r>
          </w:p>
        </w:tc>
        <w:tc>
          <w:tcPr>
            <w:tcW w:type="dxa" w:w="2484"/>
            <w:vAlign w:val="center"/>
            <w:shd w:fill="B4C6E7"/>
          </w:tcPr>
          <w:p>
            <w:pPr>
              <w:spacing w:after="0"/>
            </w:pPr>
            <w:r/>
            <w:r>
              <w:rPr>
                <w:b/>
                <w:sz w:val="18"/>
              </w:rPr>
              <w:t>Date</w:t>
            </w:r>
          </w:p>
        </w:tc>
      </w:tr>
      <w:tr>
        <w:trPr>
          <w:trHeight w:hRule="atLeast"/>
        </w:trPr>
        <w:tc>
          <w:tcPr>
            <w:tcW w:type="dxa" w:w="2484"/>
            <w:vAlign w:val="center"/>
          </w:tcPr>
          <w:p>
            <w:pPr>
              <w:spacing w:after="0"/>
            </w:pPr>
            <w:r/>
            <w:r>
              <w:rPr>
                <w:b w:val="0"/>
                <w:sz w:val="18"/>
              </w:rPr>
              <w:t>Prepared by</w:t>
            </w:r>
          </w:p>
        </w:tc>
        <w:tc>
          <w:tcPr>
            <w:tcW w:type="dxa" w:w="2484"/>
            <w:vAlign w:val="center"/>
          </w:tcPr>
          <w:p>
            <w:pPr>
              <w:spacing w:after="0"/>
            </w:pPr>
            <w:r/>
            <w:r>
              <w:rPr>
                <w:b w:val="0"/>
                <w:sz w:val="18"/>
              </w:rPr>
              <w:t>Shanmugam M</w:t>
            </w:r>
          </w:p>
        </w:tc>
        <w:tc>
          <w:tcPr>
            <w:tcW w:type="dxa" w:w="2484"/>
            <w:vAlign w:val="center"/>
          </w:tcPr>
          <w:p>
            <w:pPr>
              <w:spacing w:after="0"/>
            </w:pPr>
            <w:r/>
            <w:r>
              <w:rPr>
                <w:b w:val="0"/>
                <w:sz w:val="18"/>
              </w:rPr>
            </w:r>
          </w:p>
        </w:tc>
        <w:tc>
          <w:tcPr>
            <w:tcW w:type="dxa" w:w="2484"/>
            <w:vAlign w:val="center"/>
          </w:tcPr>
          <w:p>
            <w:pPr>
              <w:spacing w:after="0"/>
            </w:pPr>
            <w:r/>
            <w:r>
              <w:rPr>
                <w:b w:val="0"/>
                <w:sz w:val="18"/>
              </w:rPr>
            </w:r>
          </w:p>
        </w:tc>
      </w:tr>
      <w:tr>
        <w:trPr>
          <w:trHeight w:hRule="atLeast"/>
        </w:trPr>
        <w:tc>
          <w:tcPr>
            <w:tcW w:type="dxa" w:w="2484"/>
            <w:vAlign w:val="center"/>
          </w:tcPr>
          <w:p>
            <w:pPr>
              <w:spacing w:after="0"/>
            </w:pPr>
            <w:r/>
            <w:r>
              <w:rPr>
                <w:b w:val="0"/>
                <w:sz w:val="18"/>
              </w:rPr>
              <w:t>Statistical Programmer</w:t>
            </w:r>
          </w:p>
        </w:tc>
        <w:tc>
          <w:tcPr>
            <w:tcW w:type="dxa" w:w="2484"/>
            <w:vAlign w:val="center"/>
          </w:tcPr>
          <w:p>
            <w:pPr>
              <w:spacing w:after="0"/>
            </w:pPr>
            <w:r/>
            <w:r>
              <w:rPr>
                <w:b w:val="0"/>
                <w:sz w:val="18"/>
              </w:rPr>
              <w:t>Portfolio Review</w:t>
            </w:r>
          </w:p>
        </w:tc>
        <w:tc>
          <w:tcPr>
            <w:tcW w:type="dxa" w:w="2484"/>
            <w:vAlign w:val="center"/>
          </w:tcPr>
          <w:p>
            <w:pPr>
              <w:spacing w:after="0"/>
            </w:pPr>
            <w:r/>
            <w:r>
              <w:rPr>
                <w:b w:val="0"/>
                <w:sz w:val="18"/>
              </w:rPr>
            </w:r>
          </w:p>
        </w:tc>
        <w:tc>
          <w:tcPr>
            <w:tcW w:type="dxa" w:w="2484"/>
            <w:vAlign w:val="center"/>
          </w:tcPr>
          <w:p>
            <w:pPr>
              <w:spacing w:after="0"/>
            </w:pPr>
            <w:r/>
            <w:r>
              <w:rPr>
                <w:b w:val="0"/>
                <w:sz w:val="18"/>
              </w:rPr>
            </w:r>
          </w:p>
        </w:tc>
      </w:tr>
      <w:tr>
        <w:trPr>
          <w:trHeight w:hRule="atLeast"/>
        </w:trPr>
        <w:tc>
          <w:tcPr>
            <w:tcW w:type="dxa" w:w="2484"/>
            <w:vAlign w:val="center"/>
          </w:tcPr>
          <w:p>
            <w:pPr>
              <w:spacing w:after="0"/>
            </w:pPr>
            <w:r/>
            <w:r>
              <w:rPr>
                <w:b w:val="0"/>
                <w:sz w:val="18"/>
              </w:rPr>
              <w:t>Statistician</w:t>
            </w:r>
          </w:p>
        </w:tc>
        <w:tc>
          <w:tcPr>
            <w:tcW w:type="dxa" w:w="2484"/>
            <w:vAlign w:val="center"/>
          </w:tcPr>
          <w:p>
            <w:pPr>
              <w:spacing w:after="0"/>
            </w:pPr>
            <w:r/>
            <w:r>
              <w:rPr>
                <w:b w:val="0"/>
                <w:sz w:val="18"/>
              </w:rPr>
              <w:t>Portfolio Review</w:t>
            </w:r>
          </w:p>
        </w:tc>
        <w:tc>
          <w:tcPr>
            <w:tcW w:type="dxa" w:w="2484"/>
            <w:vAlign w:val="center"/>
          </w:tcPr>
          <w:p>
            <w:pPr>
              <w:spacing w:after="0"/>
            </w:pPr>
            <w:r/>
            <w:r>
              <w:rPr>
                <w:b w:val="0"/>
                <w:sz w:val="18"/>
              </w:rPr>
            </w:r>
          </w:p>
        </w:tc>
        <w:tc>
          <w:tcPr>
            <w:tcW w:type="dxa" w:w="2484"/>
            <w:vAlign w:val="center"/>
          </w:tcPr>
          <w:p>
            <w:pPr>
              <w:spacing w:after="0"/>
            </w:pPr>
            <w:r/>
            <w:r>
              <w:rPr>
                <w:b w:val="0"/>
                <w:sz w:val="18"/>
              </w:rPr>
            </w:r>
          </w:p>
        </w:tc>
      </w:tr>
    </w:tbl>
    <w:p>
      <w:pPr>
        <w:pStyle w:val="Heading1"/>
      </w:pPr>
      <w:r>
        <w:t>Revision History</w:t>
      </w:r>
    </w:p>
    <w:tbl>
      <w:tblPr>
        <w:tblStyle w:val="TableGrid"/>
        <w:tblW w:type="auto" w:w="0"/>
        <w:tblLook w:firstColumn="1" w:firstRow="1" w:lastColumn="0" w:lastRow="0" w:noHBand="0" w:noVBand="1" w:val="04A0"/>
      </w:tblPr>
      <w:tblGrid>
        <w:gridCol w:w="2484"/>
        <w:gridCol w:w="2484"/>
        <w:gridCol w:w="2484"/>
        <w:gridCol w:w="2484"/>
      </w:tblGrid>
      <w:tr>
        <w:trPr>
          <w:trHeight w:hRule="atLeast"/>
        </w:trPr>
        <w:tc>
          <w:tcPr>
            <w:tcW w:type="dxa" w:w="2484"/>
            <w:vAlign w:val="center"/>
            <w:shd w:fill="B4C6E7"/>
          </w:tcPr>
          <w:p>
            <w:pPr>
              <w:spacing w:after="0"/>
            </w:pPr>
            <w:r/>
            <w:r>
              <w:rPr>
                <w:b/>
                <w:sz w:val="18"/>
              </w:rPr>
              <w:t>Version</w:t>
            </w:r>
          </w:p>
        </w:tc>
        <w:tc>
          <w:tcPr>
            <w:tcW w:type="dxa" w:w="2484"/>
            <w:vAlign w:val="center"/>
            <w:shd w:fill="B4C6E7"/>
          </w:tcPr>
          <w:p>
            <w:pPr>
              <w:spacing w:after="0"/>
            </w:pPr>
            <w:r/>
            <w:r>
              <w:rPr>
                <w:b/>
                <w:sz w:val="18"/>
              </w:rPr>
              <w:t>Date</w:t>
            </w:r>
          </w:p>
        </w:tc>
        <w:tc>
          <w:tcPr>
            <w:tcW w:type="dxa" w:w="2484"/>
            <w:vAlign w:val="center"/>
            <w:shd w:fill="B4C6E7"/>
          </w:tcPr>
          <w:p>
            <w:pPr>
              <w:spacing w:after="0"/>
            </w:pPr>
            <w:r/>
            <w:r>
              <w:rPr>
                <w:b/>
                <w:sz w:val="18"/>
              </w:rPr>
              <w:t>Author</w:t>
            </w:r>
          </w:p>
        </w:tc>
        <w:tc>
          <w:tcPr>
            <w:tcW w:type="dxa" w:w="2484"/>
            <w:vAlign w:val="center"/>
            <w:shd w:fill="B4C6E7"/>
          </w:tcPr>
          <w:p>
            <w:pPr>
              <w:spacing w:after="0"/>
            </w:pPr>
            <w:r/>
            <w:r>
              <w:rPr>
                <w:b/>
                <w:sz w:val="18"/>
              </w:rPr>
              <w:t>Description</w:t>
            </w:r>
          </w:p>
        </w:tc>
      </w:tr>
      <w:tr>
        <w:trPr>
          <w:trHeight w:hRule="atLeast"/>
        </w:trPr>
        <w:tc>
          <w:tcPr>
            <w:tcW w:type="dxa" w:w="2484"/>
            <w:vAlign w:val="center"/>
          </w:tcPr>
          <w:p>
            <w:pPr>
              <w:spacing w:after="0"/>
            </w:pPr>
            <w:r/>
            <w:r>
              <w:rPr>
                <w:b w:val="0"/>
                <w:sz w:val="18"/>
              </w:rPr>
              <w:t>1.0</w:t>
            </w:r>
          </w:p>
        </w:tc>
        <w:tc>
          <w:tcPr>
            <w:tcW w:type="dxa" w:w="2484"/>
            <w:vAlign w:val="center"/>
          </w:tcPr>
          <w:p>
            <w:pPr>
              <w:spacing w:after="0"/>
            </w:pPr>
            <w:r/>
            <w:r>
              <w:rPr>
                <w:b w:val="0"/>
                <w:sz w:val="18"/>
              </w:rPr>
              <w:t>21-Jul-2026</w:t>
            </w:r>
          </w:p>
        </w:tc>
        <w:tc>
          <w:tcPr>
            <w:tcW w:type="dxa" w:w="2484"/>
            <w:vAlign w:val="center"/>
          </w:tcPr>
          <w:p>
            <w:pPr>
              <w:spacing w:after="0"/>
            </w:pPr>
            <w:r/>
            <w:r>
              <w:rPr>
                <w:b w:val="0"/>
                <w:sz w:val="18"/>
              </w:rPr>
              <w:t>Shanmugam M</w:t>
            </w:r>
          </w:p>
        </w:tc>
        <w:tc>
          <w:tcPr>
            <w:tcW w:type="dxa" w:w="2484"/>
            <w:vAlign w:val="center"/>
          </w:tcPr>
          <w:p>
            <w:pPr>
              <w:spacing w:after="0"/>
            </w:pPr>
            <w:r/>
            <w:r>
              <w:rPr>
                <w:b w:val="0"/>
                <w:sz w:val="18"/>
              </w:rPr>
              <w:t>Initial version for HTN001 mock study</w:t>
            </w:r>
          </w:p>
        </w:tc>
      </w:tr>
    </w:tbl>
    <w:p>
      <w:r>
        <w:br w:type="page"/>
      </w:r>
    </w:p>
    <w:p>
      <w:pPr>
        <w:pStyle w:val="Heading1"/>
      </w:pPr>
      <w:r>
        <w:t>Table of Contents</w:t>
      </w:r>
    </w:p>
    <w:p>
      <w:pPr>
        <w:spacing w:after="60"/>
        <w:ind w:left="216"/>
      </w:pPr>
      <w:r>
        <w:t>1. Introduction</w:t>
      </w:r>
    </w:p>
    <w:p>
      <w:pPr>
        <w:spacing w:after="60"/>
        <w:ind w:left="216"/>
      </w:pPr>
      <w:r>
        <w:t>2. Study Objectives and Endpoints</w:t>
      </w:r>
    </w:p>
    <w:p>
      <w:pPr>
        <w:spacing w:after="60"/>
        <w:ind w:left="216"/>
      </w:pPr>
      <w:r>
        <w:t>3. Study Design</w:t>
      </w:r>
    </w:p>
    <w:p>
      <w:pPr>
        <w:spacing w:after="60"/>
        <w:ind w:left="216"/>
      </w:pPr>
      <w:r>
        <w:t>4. Analysis Populations</w:t>
      </w:r>
    </w:p>
    <w:p>
      <w:pPr>
        <w:spacing w:after="60"/>
        <w:ind w:left="216"/>
      </w:pPr>
      <w:r>
        <w:t>5. General Statistical Considerations</w:t>
      </w:r>
    </w:p>
    <w:p>
      <w:pPr>
        <w:spacing w:after="60"/>
        <w:ind w:left="216"/>
      </w:pPr>
      <w:r>
        <w:t>6. Subject Disposition</w:t>
      </w:r>
    </w:p>
    <w:p>
      <w:pPr>
        <w:spacing w:after="60"/>
        <w:ind w:left="216"/>
      </w:pPr>
      <w:r>
        <w:t>7. Demographic and Baseline Characteristics</w:t>
      </w:r>
    </w:p>
    <w:p>
      <w:pPr>
        <w:spacing w:after="60"/>
        <w:ind w:left="216"/>
      </w:pPr>
      <w:r>
        <w:t>8. Treatment Exposure</w:t>
      </w:r>
    </w:p>
    <w:p>
      <w:pPr>
        <w:spacing w:after="60"/>
        <w:ind w:left="216"/>
      </w:pPr>
      <w:r>
        <w:t>9. Efficacy Analyses</w:t>
      </w:r>
    </w:p>
    <w:p>
      <w:pPr>
        <w:spacing w:after="60"/>
        <w:ind w:left="216"/>
      </w:pPr>
      <w:r>
        <w:t>10. Safety Analyses</w:t>
      </w:r>
    </w:p>
    <w:p>
      <w:pPr>
        <w:spacing w:after="60"/>
        <w:ind w:left="216"/>
      </w:pPr>
      <w:r>
        <w:t>11. Handling of Missing Data</w:t>
      </w:r>
    </w:p>
    <w:p>
      <w:pPr>
        <w:spacing w:after="60"/>
        <w:ind w:left="216"/>
      </w:pPr>
      <w:r>
        <w:t>12. Interim Analysis and Multiplicity</w:t>
      </w:r>
    </w:p>
    <w:p>
      <w:pPr>
        <w:spacing w:after="60"/>
        <w:ind w:left="216"/>
      </w:pPr>
      <w:r>
        <w:t>13. Statistical Software and Programming Standards</w:t>
      </w:r>
    </w:p>
    <w:p>
      <w:pPr>
        <w:spacing w:after="60"/>
        <w:ind w:left="216"/>
      </w:pPr>
      <w:r>
        <w:t>14. Planned Tables, Listings, and Figures</w:t>
      </w:r>
    </w:p>
    <w:p>
      <w:pPr>
        <w:spacing w:after="60"/>
        <w:ind w:left="216"/>
      </w:pPr>
      <w:r>
        <w:t>15. Quality Control and Validation</w:t>
      </w:r>
    </w:p>
    <w:p>
      <w:pPr>
        <w:spacing w:after="60"/>
        <w:ind w:left="216"/>
      </w:pPr>
      <w:r>
        <w:t>16. References</w:t>
      </w:r>
    </w:p>
    <w:p>
      <w:pPr>
        <w:spacing w:after="60"/>
        <w:ind w:left="216"/>
      </w:pPr>
      <w:r>
        <w:t>Appendix A. Analysis Variable Requirements</w:t>
      </w:r>
    </w:p>
    <w:p>
      <w:pPr>
        <w:spacing w:after="60"/>
        <w:ind w:left="216"/>
      </w:pPr>
      <w:r>
        <w:t>Appendix B. TLF Output Index</w:t>
      </w:r>
    </w:p>
    <w:p>
      <w:r>
        <w:br w:type="page"/>
      </w:r>
    </w:p>
    <w:p>
      <w:pPr>
        <w:pStyle w:val="Heading1"/>
      </w:pPr>
      <w:r>
        <w:t>1. Introduction</w:t>
      </w:r>
    </w:p>
    <w:p>
      <w:pPr>
        <w:spacing w:after="100"/>
      </w:pPr>
      <w:r>
        <w:t>This Statistical Analysis Plan (SAP) describes the planned statistical analyses and presentation of results for Study HTN001. It supplements the protocol by defining analysis populations, derivation rules, statistical summaries, efficacy and safety analyses, and the planned Tables, Listings, and Figures (TLFs).</w:t>
      </w:r>
    </w:p>
    <w:p>
      <w:pPr>
        <w:spacing w:after="100"/>
      </w:pPr>
      <w:r>
        <w:t>This SAP is based on the HTN001 protocol, case report form, mock raw database, SDTM datasets, and ADaM dataset specifications prepared for the project. Any deviation from this SAP identified during programming will be documented in the programming notes and final study report.</w:t>
      </w:r>
    </w:p>
    <w:p>
      <w:pPr>
        <w:pStyle w:val="Heading1"/>
      </w:pPr>
      <w:r>
        <w:t>2. Study Objectives and Endpoints</w:t>
      </w:r>
    </w:p>
    <w:p>
      <w:pPr>
        <w:pStyle w:val="Heading2"/>
      </w:pPr>
      <w:r>
        <w:t>2.1 Primary Objective</w:t>
      </w:r>
    </w:p>
    <w:p>
      <w:pPr>
        <w:spacing w:after="100"/>
      </w:pPr>
      <w:r>
        <w:t>To evaluate the efficacy of Drug A 50 mg once daily compared with placebo in reducing sitting systolic blood pressure after 12 weeks of treatment in subjects with essential hypertension.</w:t>
      </w:r>
    </w:p>
    <w:p>
      <w:pPr>
        <w:pStyle w:val="Heading2"/>
      </w:pPr>
      <w:r>
        <w:t>2.2 Secondary Objectives</w:t>
      </w:r>
    </w:p>
    <w:p>
      <w:pPr>
        <w:pStyle w:val="ListBullet"/>
        <w:spacing w:after="40"/>
      </w:pPr>
      <w:r>
        <w:t>To evaluate change from baseline in sitting diastolic blood pressure at scheduled post-baseline visits.</w:t>
      </w:r>
    </w:p>
    <w:p>
      <w:pPr>
        <w:pStyle w:val="ListBullet"/>
        <w:spacing w:after="40"/>
      </w:pPr>
      <w:r>
        <w:t>To evaluate the pattern of systolic blood pressure, diastolic blood pressure, and pulse over time.</w:t>
      </w:r>
    </w:p>
    <w:p>
      <w:pPr>
        <w:pStyle w:val="ListBullet"/>
        <w:spacing w:after="40"/>
      </w:pPr>
      <w:r>
        <w:t>To evaluate the safety and tolerability of Drug A using adverse events, treatment exposure, and laboratory assessments.</w:t>
      </w:r>
    </w:p>
    <w:p>
      <w:pPr>
        <w:pStyle w:val="Heading2"/>
      </w:pPr>
      <w:r>
        <w:t>2.3 Primary Endpoint</w:t>
      </w:r>
    </w:p>
    <w:p>
      <w:pPr>
        <w:spacing w:after="100"/>
      </w:pPr>
      <w:r>
        <w:t>Change from baseline in sitting systolic blood pressure (SBP) at Week 12.</w:t>
      </w:r>
    </w:p>
    <w:p>
      <w:pPr>
        <w:pStyle w:val="Heading2"/>
      </w:pPr>
      <w:r>
        <w:t>2.4 Secondary Endpoints</w:t>
      </w:r>
    </w:p>
    <w:p>
      <w:pPr>
        <w:pStyle w:val="ListBullet"/>
        <w:spacing w:after="40"/>
      </w:pPr>
      <w:r>
        <w:t>Change from baseline in sitting SBP at Week 4 and Week 8.</w:t>
      </w:r>
    </w:p>
    <w:p>
      <w:pPr>
        <w:pStyle w:val="ListBullet"/>
        <w:spacing w:after="40"/>
      </w:pPr>
      <w:r>
        <w:t>Change from baseline in sitting diastolic blood pressure (DBP) at Week 4, Week 8, and Week 12.</w:t>
      </w:r>
    </w:p>
    <w:p>
      <w:pPr>
        <w:pStyle w:val="ListBullet"/>
        <w:spacing w:after="40"/>
      </w:pPr>
      <w:r>
        <w:t>Observed pulse and change from baseline in pulse at scheduled visits.</w:t>
      </w:r>
    </w:p>
    <w:p>
      <w:pPr>
        <w:pStyle w:val="ListBullet"/>
        <w:spacing w:after="40"/>
      </w:pPr>
      <w:r>
        <w:t>Incidence of treatment-emergent adverse events (TEAEs).</w:t>
      </w:r>
    </w:p>
    <w:p>
      <w:pPr>
        <w:pStyle w:val="ListBullet"/>
        <w:spacing w:after="40"/>
      </w:pPr>
      <w:r>
        <w:t>Summary and change from baseline of selected laboratory parameters.</w:t>
      </w:r>
    </w:p>
    <w:p>
      <w:pPr>
        <w:pStyle w:val="Heading1"/>
      </w:pPr>
      <w:r>
        <w:t>3. Study Design</w:t>
      </w:r>
    </w:p>
    <w:p>
      <w:pPr>
        <w:spacing w:after="100"/>
      </w:pPr>
      <w:r>
        <w:t>HTN001 is a Phase II, randomized, double-blind, placebo-controlled, parallel-group study. Approximately 120 subjects are randomized in a 1:1 ratio to receive Drug A 50 mg or placebo once daily for 12 weeks.</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4968"/>
            <w:vAlign w:val="center"/>
            <w:shd w:fill="D9EAF7"/>
          </w:tcPr>
          <w:p>
            <w:pPr>
              <w:spacing w:after="0"/>
            </w:pPr>
            <w:r/>
            <w:r>
              <w:rPr>
                <w:b/>
                <w:sz w:val="18"/>
              </w:rPr>
              <w:t>Study phase</w:t>
            </w:r>
          </w:p>
        </w:tc>
        <w:tc>
          <w:tcPr>
            <w:tcW w:type="dxa" w:w="4968"/>
            <w:vAlign w:val="center"/>
          </w:tcPr>
          <w:p>
            <w:pPr>
              <w:spacing w:after="0"/>
            </w:pPr>
            <w:r/>
            <w:r>
              <w:rPr>
                <w:b w:val="0"/>
                <w:sz w:val="18"/>
              </w:rPr>
              <w:t>Phase II</w:t>
            </w:r>
          </w:p>
        </w:tc>
      </w:tr>
      <w:tr>
        <w:trPr>
          <w:trHeight w:hRule="atLeast"/>
        </w:trPr>
        <w:tc>
          <w:tcPr>
            <w:tcW w:type="dxa" w:w="4968"/>
            <w:vAlign w:val="center"/>
            <w:shd w:fill="D9EAF7"/>
          </w:tcPr>
          <w:p>
            <w:pPr>
              <w:spacing w:after="0"/>
            </w:pPr>
            <w:r/>
            <w:r>
              <w:rPr>
                <w:b/>
                <w:sz w:val="18"/>
              </w:rPr>
              <w:t>Design</w:t>
            </w:r>
          </w:p>
        </w:tc>
        <w:tc>
          <w:tcPr>
            <w:tcW w:type="dxa" w:w="4968"/>
            <w:vAlign w:val="center"/>
          </w:tcPr>
          <w:p>
            <w:pPr>
              <w:spacing w:after="0"/>
            </w:pPr>
            <w:r/>
            <w:r>
              <w:rPr>
                <w:b w:val="0"/>
                <w:sz w:val="18"/>
              </w:rPr>
              <w:t>Randomized, double-blind, placebo-controlled, parallel-group</w:t>
            </w:r>
          </w:p>
        </w:tc>
      </w:tr>
      <w:tr>
        <w:trPr>
          <w:trHeight w:hRule="atLeast"/>
        </w:trPr>
        <w:tc>
          <w:tcPr>
            <w:tcW w:type="dxa" w:w="4968"/>
            <w:vAlign w:val="center"/>
            <w:shd w:fill="D9EAF7"/>
          </w:tcPr>
          <w:p>
            <w:pPr>
              <w:spacing w:after="0"/>
            </w:pPr>
            <w:r/>
            <w:r>
              <w:rPr>
                <w:b/>
                <w:sz w:val="18"/>
              </w:rPr>
              <w:t>Planned sample size</w:t>
            </w:r>
          </w:p>
        </w:tc>
        <w:tc>
          <w:tcPr>
            <w:tcW w:type="dxa" w:w="4968"/>
            <w:vAlign w:val="center"/>
          </w:tcPr>
          <w:p>
            <w:pPr>
              <w:spacing w:after="0"/>
            </w:pPr>
            <w:r/>
            <w:r>
              <w:rPr>
                <w:b w:val="0"/>
                <w:sz w:val="18"/>
              </w:rPr>
              <w:t>120 subjects</w:t>
            </w:r>
          </w:p>
        </w:tc>
      </w:tr>
      <w:tr>
        <w:trPr>
          <w:trHeight w:hRule="atLeast"/>
        </w:trPr>
        <w:tc>
          <w:tcPr>
            <w:tcW w:type="dxa" w:w="4968"/>
            <w:vAlign w:val="center"/>
            <w:shd w:fill="D9EAF7"/>
          </w:tcPr>
          <w:p>
            <w:pPr>
              <w:spacing w:after="0"/>
            </w:pPr>
            <w:r/>
            <w:r>
              <w:rPr>
                <w:b/>
                <w:sz w:val="18"/>
              </w:rPr>
              <w:t>Treatment arms</w:t>
            </w:r>
          </w:p>
        </w:tc>
        <w:tc>
          <w:tcPr>
            <w:tcW w:type="dxa" w:w="4968"/>
            <w:vAlign w:val="center"/>
          </w:tcPr>
          <w:p>
            <w:pPr>
              <w:spacing w:after="0"/>
            </w:pPr>
            <w:r/>
            <w:r>
              <w:rPr>
                <w:b w:val="0"/>
                <w:sz w:val="18"/>
              </w:rPr>
              <w:t>Drug A 50 mg QD; Placebo QD</w:t>
            </w:r>
          </w:p>
        </w:tc>
      </w:tr>
      <w:tr>
        <w:trPr>
          <w:trHeight w:hRule="atLeast"/>
        </w:trPr>
        <w:tc>
          <w:tcPr>
            <w:tcW w:type="dxa" w:w="4968"/>
            <w:vAlign w:val="center"/>
            <w:shd w:fill="D9EAF7"/>
          </w:tcPr>
          <w:p>
            <w:pPr>
              <w:spacing w:after="0"/>
            </w:pPr>
            <w:r/>
            <w:r>
              <w:rPr>
                <w:b/>
                <w:sz w:val="18"/>
              </w:rPr>
              <w:t>Randomization ratio</w:t>
            </w:r>
          </w:p>
        </w:tc>
        <w:tc>
          <w:tcPr>
            <w:tcW w:type="dxa" w:w="4968"/>
            <w:vAlign w:val="center"/>
          </w:tcPr>
          <w:p>
            <w:pPr>
              <w:spacing w:after="0"/>
            </w:pPr>
            <w:r/>
            <w:r>
              <w:rPr>
                <w:b w:val="0"/>
                <w:sz w:val="18"/>
              </w:rPr>
              <w:t>1:1</w:t>
            </w:r>
          </w:p>
        </w:tc>
      </w:tr>
      <w:tr>
        <w:trPr>
          <w:trHeight w:hRule="atLeast"/>
        </w:trPr>
        <w:tc>
          <w:tcPr>
            <w:tcW w:type="dxa" w:w="4968"/>
            <w:vAlign w:val="center"/>
            <w:shd w:fill="D9EAF7"/>
          </w:tcPr>
          <w:p>
            <w:pPr>
              <w:spacing w:after="0"/>
            </w:pPr>
            <w:r/>
            <w:r>
              <w:rPr>
                <w:b/>
                <w:sz w:val="18"/>
              </w:rPr>
              <w:t>Treatment duration</w:t>
            </w:r>
          </w:p>
        </w:tc>
        <w:tc>
          <w:tcPr>
            <w:tcW w:type="dxa" w:w="4968"/>
            <w:vAlign w:val="center"/>
          </w:tcPr>
          <w:p>
            <w:pPr>
              <w:spacing w:after="0"/>
            </w:pPr>
            <w:r/>
            <w:r>
              <w:rPr>
                <w:b w:val="0"/>
                <w:sz w:val="18"/>
              </w:rPr>
              <w:t>12 weeks</w:t>
            </w:r>
          </w:p>
        </w:tc>
      </w:tr>
      <w:tr>
        <w:trPr>
          <w:trHeight w:hRule="atLeast"/>
        </w:trPr>
        <w:tc>
          <w:tcPr>
            <w:tcW w:type="dxa" w:w="4968"/>
            <w:vAlign w:val="center"/>
            <w:shd w:fill="D9EAF7"/>
          </w:tcPr>
          <w:p>
            <w:pPr>
              <w:spacing w:after="0"/>
            </w:pPr>
            <w:r/>
            <w:r>
              <w:rPr>
                <w:b/>
                <w:sz w:val="18"/>
              </w:rPr>
              <w:t>Planned visits</w:t>
            </w:r>
          </w:p>
        </w:tc>
        <w:tc>
          <w:tcPr>
            <w:tcW w:type="dxa" w:w="4968"/>
            <w:vAlign w:val="center"/>
          </w:tcPr>
          <w:p>
            <w:pPr>
              <w:spacing w:after="0"/>
            </w:pPr>
            <w:r/>
            <w:r>
              <w:rPr>
                <w:b w:val="0"/>
                <w:sz w:val="18"/>
              </w:rPr>
              <w:t>Screening, Baseline, Week 4, Week 8, Week 12, End of Study; Early Withdrawal if applicable</w:t>
            </w:r>
          </w:p>
        </w:tc>
      </w:tr>
      <w:tr>
        <w:trPr>
          <w:trHeight w:hRule="atLeast"/>
        </w:trPr>
        <w:tc>
          <w:tcPr>
            <w:tcW w:type="dxa" w:w="4968"/>
            <w:vAlign w:val="center"/>
            <w:shd w:fill="D9EAF7"/>
          </w:tcPr>
          <w:p>
            <w:pPr>
              <w:spacing w:after="0"/>
            </w:pPr>
            <w:r/>
            <w:r>
              <w:rPr>
                <w:b/>
                <w:sz w:val="18"/>
              </w:rPr>
              <w:t>Primary assessment</w:t>
            </w:r>
          </w:p>
        </w:tc>
        <w:tc>
          <w:tcPr>
            <w:tcW w:type="dxa" w:w="4968"/>
            <w:vAlign w:val="center"/>
          </w:tcPr>
          <w:p>
            <w:pPr>
              <w:spacing w:after="0"/>
            </w:pPr>
            <w:r/>
            <w:r>
              <w:rPr>
                <w:b w:val="0"/>
                <w:sz w:val="18"/>
              </w:rPr>
              <w:t>Change from baseline in SBP at Week 12</w:t>
            </w:r>
          </w:p>
        </w:tc>
      </w:tr>
    </w:tbl>
    <w:p>
      <w:pPr>
        <w:pStyle w:val="Heading1"/>
      </w:pPr>
      <w:r>
        <w:t>4. Analysis Populations</w:t>
      </w:r>
    </w:p>
    <w:p>
      <w:pPr>
        <w:pStyle w:val="Heading2"/>
      </w:pPr>
      <w:r>
        <w:t>4.1 Randomized Population</w:t>
      </w:r>
    </w:p>
    <w:p>
      <w:pPr>
        <w:spacing w:after="100"/>
      </w:pPr>
      <w:r>
        <w:t>All subjects assigned a randomized treatment. The Randomized Population will be used for subject disposition and randomization summaries.</w:t>
      </w:r>
    </w:p>
    <w:p>
      <w:pPr>
        <w:pStyle w:val="Heading2"/>
      </w:pPr>
      <w:r>
        <w:t>4.2 Safety Population</w:t>
      </w:r>
    </w:p>
    <w:p>
      <w:pPr>
        <w:spacing w:after="100"/>
      </w:pPr>
      <w:r>
        <w:t>All randomized subjects who receive at least one dose of study treatment. In ADSL this population is represented by SAFFL='Y'. Safety analyses will be presented according to actual treatment received (TRT01A).</w:t>
      </w:r>
    </w:p>
    <w:p>
      <w:pPr>
        <w:pStyle w:val="Heading2"/>
      </w:pPr>
      <w:r>
        <w:t>4.3 Full Analysis Set</w:t>
      </w:r>
    </w:p>
    <w:p>
      <w:pPr>
        <w:spacing w:after="100"/>
      </w:pPr>
      <w:r>
        <w:t>All randomized subjects who receive at least one dose of study treatment and have a baseline and at least one post-baseline efficacy assessment. In ADSL this population is represented by FASFL='Y'. Efficacy analyses will be presented according to planned treatment (TRT01P).</w:t>
      </w:r>
    </w:p>
    <w:p>
      <w:pPr>
        <w:pStyle w:val="Heading2"/>
      </w:pPr>
      <w:r>
        <w:t>4.4 Per-Protocol Set</w:t>
      </w:r>
    </w:p>
    <w:p>
      <w:pPr>
        <w:spacing w:after="100"/>
      </w:pPr>
      <w:r>
        <w:t>Subjects in the Full Analysis Set without major protocol deviations considered to affect efficacy evaluation. In ADSL this population is represented by PPSFL='Y'. This population is supportive for the mock project and no separate inferential analysis is planned unless required.</w:t>
      </w:r>
    </w:p>
    <w:p>
      <w:pPr>
        <w:pStyle w:val="Heading1"/>
      </w:pPr>
      <w:r>
        <w:t>5. General Statistical Considerations</w:t>
      </w:r>
    </w:p>
    <w:p>
      <w:pPr>
        <w:pStyle w:val="Heading2"/>
      </w:pPr>
      <w:r>
        <w:t>5.1 General Presentation Conventions</w:t>
      </w:r>
    </w:p>
    <w:p>
      <w:pPr>
        <w:pStyle w:val="ListBullet"/>
        <w:spacing w:after="40"/>
      </w:pPr>
      <w:r>
        <w:t>Continuous variables will be summarized using n, mean, standard deviation, median, minimum, and maximum.</w:t>
      </w:r>
    </w:p>
    <w:p>
      <w:pPr>
        <w:pStyle w:val="ListBullet"/>
        <w:spacing w:after="40"/>
      </w:pPr>
      <w:r>
        <w:t>Categorical variables will be summarized using frequency and percentage.</w:t>
      </w:r>
    </w:p>
    <w:p>
      <w:pPr>
        <w:pStyle w:val="ListBullet"/>
        <w:spacing w:after="40"/>
      </w:pPr>
      <w:r>
        <w:t>Percentages will generally use the number of subjects in the relevant treatment and analysis population as denominator.</w:t>
      </w:r>
    </w:p>
    <w:p>
      <w:pPr>
        <w:pStyle w:val="ListBullet"/>
        <w:spacing w:after="40"/>
      </w:pPr>
      <w:r>
        <w:t>Subjects with missing values will be excluded from the denominator for summaries of that variable unless otherwise stated.</w:t>
      </w:r>
    </w:p>
    <w:p>
      <w:pPr>
        <w:pStyle w:val="ListBullet"/>
        <w:spacing w:after="40"/>
      </w:pPr>
      <w:r>
        <w:t>All statistical tests, where performed, will be two-sided with a nominal significance level of 0.05.</w:t>
      </w:r>
    </w:p>
    <w:p>
      <w:pPr>
        <w:pStyle w:val="ListBullet"/>
        <w:spacing w:after="40"/>
      </w:pPr>
      <w:r>
        <w:t>No formal adjustment for multiplicity is planned for this portfolio study.</w:t>
      </w:r>
    </w:p>
    <w:p>
      <w:pPr>
        <w:pStyle w:val="Heading2"/>
      </w:pPr>
      <w:r>
        <w:t>5.2 Treatment Grouping</w:t>
      </w:r>
    </w:p>
    <w:p>
      <w:pPr>
        <w:spacing w:after="100"/>
      </w:pPr>
      <w:r>
        <w:t>Efficacy outputs will use planned treatment (TRT01P). Safety outputs will use actual treatment (TRT01A). A Total column will be included for descriptive summaries where appropriate.</w:t>
      </w:r>
    </w:p>
    <w:p>
      <w:pPr>
        <w:pStyle w:val="Heading2"/>
      </w:pPr>
      <w:r>
        <w:t>5.3 Baseline Definition</w:t>
      </w:r>
    </w:p>
    <w:p>
      <w:pPr>
        <w:spacing w:after="100"/>
      </w:pPr>
      <w:r>
        <w:t>For vital signs and laboratory parameters, baseline is the last non-missing assessment on or before the first dose date (TRTSDT). ADaM variables BASE and BASETYPE will identify the baseline value and method. Change from baseline is calculated as CHG = AVAL - BASE for post-baseline records.</w:t>
      </w:r>
    </w:p>
    <w:p>
      <w:pPr>
        <w:pStyle w:val="Heading2"/>
      </w:pPr>
      <w:r>
        <w:t>5.4 Visit Windows</w:t>
      </w:r>
    </w:p>
    <w:p>
      <w:pPr>
        <w:spacing w:after="100"/>
      </w:pPr>
      <w:r>
        <w:t>For this mock study, nominal visits from SDTM will be mapped directly to analysis visits: Baseline, Week 4, Week 8, and Week 12. No complex visit-window algorithm is required. Unscheduled records will be listed but excluded from visit-based summaries unless selected as baseline.</w:t>
      </w:r>
    </w:p>
    <w:p>
      <w:pPr>
        <w:pStyle w:val="Heading2"/>
      </w:pPr>
      <w:r>
        <w:t>5.5 Study Day</w:t>
      </w:r>
    </w:p>
    <w:p>
      <w:pPr>
        <w:spacing w:after="100"/>
      </w:pPr>
      <w:r>
        <w:t>Study day is derived relative to TRTSDT. For dates on or after TRTSDT, study day equals assessment date minus TRTSDT plus 1. For dates before TRTSDT, study day equals assessment date minus TRTSDT.</w:t>
      </w:r>
    </w:p>
    <w:p>
      <w:pPr>
        <w:pStyle w:val="Heading1"/>
      </w:pPr>
      <w:r>
        <w:t>6. Subject Disposition</w:t>
      </w:r>
    </w:p>
    <w:p>
      <w:pPr>
        <w:spacing w:after="100"/>
      </w:pPr>
      <w:r>
        <w:t>Subject disposition will be summarized by randomized treatment and overall using ADSL. Counts will include screened, randomized, treated, completed, discontinued, and primary reasons for discontinuation when available.</w:t>
      </w:r>
    </w:p>
    <w:p>
      <w:pPr>
        <w:pStyle w:val="ListBullet"/>
        <w:spacing w:after="40"/>
      </w:pPr>
      <w:r>
        <w:t>Randomized subjects: subjects with assigned planned treatment.</w:t>
      </w:r>
    </w:p>
    <w:p>
      <w:pPr>
        <w:pStyle w:val="ListBullet"/>
        <w:spacing w:after="40"/>
      </w:pPr>
      <w:r>
        <w:t>Safety population: subjects with SAFFL=Y.</w:t>
      </w:r>
    </w:p>
    <w:p>
      <w:pPr>
        <w:pStyle w:val="ListBullet"/>
        <w:spacing w:after="40"/>
      </w:pPr>
      <w:r>
        <w:t>Completed subjects: subjects with COMPFL=Y.</w:t>
      </w:r>
    </w:p>
    <w:p>
      <w:pPr>
        <w:pStyle w:val="ListBullet"/>
        <w:spacing w:after="40"/>
      </w:pPr>
      <w:r>
        <w:t>Discontinued subjects: randomized subjects not completing treatment or study.</w:t>
      </w:r>
    </w:p>
    <w:p>
      <w:pPr>
        <w:pStyle w:val="ListBullet"/>
        <w:spacing w:after="40"/>
      </w:pPr>
      <w:r>
        <w:t>Discontinuation reasons: summarized using DCSREAS or corresponding disposition variables when available.</w:t>
      </w:r>
    </w:p>
    <w:p>
      <w:pPr>
        <w:pStyle w:val="Heading1"/>
      </w:pPr>
      <w:r>
        <w:t>7. Demographic and Baseline Characteristics</w:t>
      </w:r>
    </w:p>
    <w:p>
      <w:pPr>
        <w:spacing w:after="100"/>
      </w:pPr>
      <w:r>
        <w:t>Demographic characteristics will be summarized for the Safety Population by actual treatment and overall. Age will be summarized as a continuous variable and by categories 18-40 years, 41-60 years, and greater than 60 years. Sex, race, ethnicity, and country will be summarized categorically.</w:t>
      </w:r>
    </w:p>
    <w:p>
      <w:pPr>
        <w:spacing w:after="100"/>
      </w:pPr>
      <w:r>
        <w:t>Baseline vital signs will be summarized from ADVS for SBP, DBP, and pulse using the baseline record identified by ABLFL="Y".</w:t>
      </w:r>
    </w:p>
    <w:p>
      <w:pPr>
        <w:pStyle w:val="Heading1"/>
      </w:pPr>
      <w:r>
        <w:t>8. Treatment Exposure</w:t>
      </w:r>
    </w:p>
    <w:p>
      <w:pPr>
        <w:spacing w:after="100"/>
      </w:pPr>
      <w:r>
        <w:t>Treatment exposure will be summarized for the Safety Population using ADSL and, where needed, SDTM EX. Treatment duration in days will be calculated as TRTDURD = TRTEDT - TRTSDT + 1 when both dates are non-missing.</w:t>
      </w:r>
    </w:p>
    <w:p>
      <w:pPr>
        <w:pStyle w:val="ListBullet"/>
        <w:spacing w:after="40"/>
      </w:pPr>
      <w:r>
        <w:t>Number of exposed subjects.</w:t>
      </w:r>
    </w:p>
    <w:p>
      <w:pPr>
        <w:pStyle w:val="ListBullet"/>
        <w:spacing w:after="40"/>
      </w:pPr>
      <w:r>
        <w:t>Planned and actual treatment.</w:t>
      </w:r>
    </w:p>
    <w:p>
      <w:pPr>
        <w:pStyle w:val="ListBullet"/>
        <w:spacing w:after="40"/>
      </w:pPr>
      <w:r>
        <w:t>Dose: Drug A 50 mg or placebo.</w:t>
      </w:r>
    </w:p>
    <w:p>
      <w:pPr>
        <w:pStyle w:val="ListBullet"/>
        <w:spacing w:after="40"/>
      </w:pPr>
      <w:r>
        <w:t>Frequency: once daily (QD).</w:t>
      </w:r>
    </w:p>
    <w:p>
      <w:pPr>
        <w:pStyle w:val="ListBullet"/>
        <w:spacing w:after="40"/>
      </w:pPr>
      <w:r>
        <w:t>Route: oral.</w:t>
      </w:r>
    </w:p>
    <w:p>
      <w:pPr>
        <w:pStyle w:val="ListBullet"/>
        <w:spacing w:after="40"/>
      </w:pPr>
      <w:r>
        <w:t>Treatment duration summarized by n, mean, SD, median, minimum, and maximum.</w:t>
      </w:r>
    </w:p>
    <w:p>
      <w:pPr>
        <w:pStyle w:val="Heading1"/>
      </w:pPr>
      <w:r>
        <w:t>9. Efficacy Analyses</w:t>
      </w:r>
    </w:p>
    <w:p>
      <w:pPr>
        <w:pStyle w:val="Heading2"/>
      </w:pPr>
      <w:r>
        <w:t>9.1 Primary Efficacy Analysis</w:t>
      </w:r>
    </w:p>
    <w:p>
      <w:pPr>
        <w:spacing w:after="100"/>
      </w:pPr>
      <w:r>
        <w:t>The primary efficacy endpoint is change from baseline in sitting SBP at Week 12. The analysis will use the Full Analysis Set and ADVS records with PARAMCD="SYSBP" and AVISIT="Week 12".</w:t>
      </w:r>
    </w:p>
    <w:p>
      <w:pPr>
        <w:spacing w:after="100"/>
      </w:pPr>
      <w:r>
        <w:t>Observed value and change from baseline will be summarized by planned treatment. The treatment difference will be calculated as the Drug A mean change minus the placebo mean change. A two-sample t-test or equivalent linear model may be used as a supportive analysis. Because this is a mock portfolio study, the principal result will be descriptive.</w:t>
      </w:r>
    </w:p>
    <w:p>
      <w:pPr>
        <w:pStyle w:val="Heading2"/>
      </w:pPr>
      <w:r>
        <w:t>9.2 Secondary Efficacy Analyses</w:t>
      </w:r>
    </w:p>
    <w:p>
      <w:pPr>
        <w:pStyle w:val="ListBullet"/>
        <w:spacing w:after="40"/>
      </w:pPr>
      <w:r>
        <w:t>SBP observed value and change from baseline at Week 4 and Week 8.</w:t>
      </w:r>
    </w:p>
    <w:p>
      <w:pPr>
        <w:pStyle w:val="ListBullet"/>
        <w:spacing w:after="40"/>
      </w:pPr>
      <w:r>
        <w:t>DBP observed value and change from baseline at Week 4, Week 8, and Week 12.</w:t>
      </w:r>
    </w:p>
    <w:p>
      <w:pPr>
        <w:pStyle w:val="ListBullet"/>
        <w:spacing w:after="40"/>
      </w:pPr>
      <w:r>
        <w:t>Pulse observed value and change from baseline at scheduled visits.</w:t>
      </w:r>
    </w:p>
    <w:p>
      <w:pPr>
        <w:pStyle w:val="ListBullet"/>
        <w:spacing w:after="40"/>
      </w:pPr>
      <w:r>
        <w:t>Mean profiles over time for SBP, DBP, and pulse shown in figures.</w:t>
      </w:r>
    </w:p>
    <w:p>
      <w:pPr>
        <w:pStyle w:val="Heading2"/>
      </w:pPr>
      <w:r>
        <w:t>9.3 Efficacy Data Structure</w:t>
      </w:r>
    </w:p>
    <w:tbl>
      <w:tblPr>
        <w:tblStyle w:val="TableGrid"/>
        <w:tblW w:type="auto" w:w="0"/>
        <w:jc w:val="center"/>
        <w:tblLook w:firstColumn="1" w:firstRow="1" w:lastColumn="0" w:lastRow="0" w:noHBand="0" w:noVBand="1" w:val="04A0"/>
      </w:tblPr>
      <w:tblGrid>
        <w:gridCol w:w="3312"/>
        <w:gridCol w:w="3312"/>
        <w:gridCol w:w="3312"/>
      </w:tblGrid>
      <w:tr>
        <w:trPr>
          <w:trHeight w:hRule="atLeast"/>
          <w:tblHeader w:val="true"/>
        </w:trPr>
        <w:tc>
          <w:tcPr>
            <w:tcW w:type="dxa" w:w="3312"/>
            <w:vAlign w:val="center"/>
            <w:shd w:fill="B4C6E7"/>
          </w:tcPr>
          <w:p>
            <w:pPr>
              <w:spacing w:after="0"/>
            </w:pPr>
            <w:r/>
            <w:r>
              <w:rPr>
                <w:b/>
                <w:sz w:val="17"/>
              </w:rPr>
              <w:t>Variable</w:t>
            </w:r>
          </w:p>
        </w:tc>
        <w:tc>
          <w:tcPr>
            <w:tcW w:type="dxa" w:w="3312"/>
            <w:vAlign w:val="center"/>
            <w:shd w:fill="B4C6E7"/>
          </w:tcPr>
          <w:p>
            <w:pPr>
              <w:spacing w:after="0"/>
            </w:pPr>
            <w:r/>
            <w:r>
              <w:rPr>
                <w:b/>
                <w:sz w:val="17"/>
              </w:rPr>
              <w:t>Purpose</w:t>
            </w:r>
          </w:p>
        </w:tc>
        <w:tc>
          <w:tcPr>
            <w:tcW w:type="dxa" w:w="3312"/>
            <w:vAlign w:val="center"/>
            <w:shd w:fill="B4C6E7"/>
          </w:tcPr>
          <w:p>
            <w:pPr>
              <w:spacing w:after="0"/>
            </w:pPr>
            <w:r/>
            <w:r>
              <w:rPr>
                <w:b/>
                <w:sz w:val="17"/>
              </w:rPr>
              <w:t>Expected Values / Rule</w:t>
            </w:r>
          </w:p>
        </w:tc>
      </w:tr>
      <w:tr>
        <w:trPr>
          <w:trHeight w:hRule="atLeast"/>
        </w:trPr>
        <w:tc>
          <w:tcPr>
            <w:tcW w:type="dxa" w:w="3312"/>
            <w:vAlign w:val="center"/>
          </w:tcPr>
          <w:p>
            <w:pPr>
              <w:spacing w:after="0"/>
            </w:pPr>
            <w:r/>
            <w:r>
              <w:rPr>
                <w:b w:val="0"/>
                <w:sz w:val="17"/>
              </w:rPr>
              <w:t>PARAMCD</w:t>
            </w:r>
          </w:p>
        </w:tc>
        <w:tc>
          <w:tcPr>
            <w:tcW w:type="dxa" w:w="3312"/>
            <w:vAlign w:val="center"/>
          </w:tcPr>
          <w:p>
            <w:pPr>
              <w:spacing w:after="0"/>
            </w:pPr>
            <w:r/>
            <w:r>
              <w:rPr>
                <w:b w:val="0"/>
                <w:sz w:val="17"/>
              </w:rPr>
              <w:t>Analysis parameter code</w:t>
            </w:r>
          </w:p>
        </w:tc>
        <w:tc>
          <w:tcPr>
            <w:tcW w:type="dxa" w:w="3312"/>
            <w:vAlign w:val="center"/>
          </w:tcPr>
          <w:p>
            <w:pPr>
              <w:spacing w:after="0"/>
            </w:pPr>
            <w:r/>
            <w:r>
              <w:rPr>
                <w:b w:val="0"/>
                <w:sz w:val="17"/>
              </w:rPr>
              <w:t>SYSBP, DIABP, PULSE</w:t>
            </w:r>
          </w:p>
        </w:tc>
      </w:tr>
      <w:tr>
        <w:trPr>
          <w:trHeight w:hRule="atLeast"/>
        </w:trPr>
        <w:tc>
          <w:tcPr>
            <w:tcW w:type="dxa" w:w="3312"/>
            <w:vAlign w:val="center"/>
          </w:tcPr>
          <w:p>
            <w:pPr>
              <w:spacing w:after="0"/>
            </w:pPr>
            <w:r/>
            <w:r>
              <w:rPr>
                <w:b w:val="0"/>
                <w:sz w:val="17"/>
              </w:rPr>
              <w:t>PARAM</w:t>
            </w:r>
          </w:p>
        </w:tc>
        <w:tc>
          <w:tcPr>
            <w:tcW w:type="dxa" w:w="3312"/>
            <w:vAlign w:val="center"/>
          </w:tcPr>
          <w:p>
            <w:pPr>
              <w:spacing w:after="0"/>
            </w:pPr>
            <w:r/>
            <w:r>
              <w:rPr>
                <w:b w:val="0"/>
                <w:sz w:val="17"/>
              </w:rPr>
              <w:t>Analysis parameter</w:t>
            </w:r>
          </w:p>
        </w:tc>
        <w:tc>
          <w:tcPr>
            <w:tcW w:type="dxa" w:w="3312"/>
            <w:vAlign w:val="center"/>
          </w:tcPr>
          <w:p>
            <w:pPr>
              <w:spacing w:after="0"/>
            </w:pPr>
            <w:r/>
            <w:r>
              <w:rPr>
                <w:b w:val="0"/>
                <w:sz w:val="17"/>
              </w:rPr>
              <w:t>Systolic Blood Pressure, Diastolic Blood Pressure, Pulse</w:t>
            </w:r>
          </w:p>
        </w:tc>
      </w:tr>
      <w:tr>
        <w:trPr>
          <w:trHeight w:hRule="atLeast"/>
        </w:trPr>
        <w:tc>
          <w:tcPr>
            <w:tcW w:type="dxa" w:w="3312"/>
            <w:vAlign w:val="center"/>
          </w:tcPr>
          <w:p>
            <w:pPr>
              <w:spacing w:after="0"/>
            </w:pPr>
            <w:r/>
            <w:r>
              <w:rPr>
                <w:b w:val="0"/>
                <w:sz w:val="17"/>
              </w:rPr>
              <w:t>AVAL</w:t>
            </w:r>
          </w:p>
        </w:tc>
        <w:tc>
          <w:tcPr>
            <w:tcW w:type="dxa" w:w="3312"/>
            <w:vAlign w:val="center"/>
          </w:tcPr>
          <w:p>
            <w:pPr>
              <w:spacing w:after="0"/>
            </w:pPr>
            <w:r/>
            <w:r>
              <w:rPr>
                <w:b w:val="0"/>
                <w:sz w:val="17"/>
              </w:rPr>
              <w:t>Analysis value</w:t>
            </w:r>
          </w:p>
        </w:tc>
        <w:tc>
          <w:tcPr>
            <w:tcW w:type="dxa" w:w="3312"/>
            <w:vAlign w:val="center"/>
          </w:tcPr>
          <w:p>
            <w:pPr>
              <w:spacing w:after="0"/>
            </w:pPr>
            <w:r/>
            <w:r>
              <w:rPr>
                <w:b w:val="0"/>
                <w:sz w:val="17"/>
              </w:rPr>
              <w:t>Numeric result</w:t>
            </w:r>
          </w:p>
        </w:tc>
      </w:tr>
      <w:tr>
        <w:trPr>
          <w:trHeight w:hRule="atLeast"/>
        </w:trPr>
        <w:tc>
          <w:tcPr>
            <w:tcW w:type="dxa" w:w="3312"/>
            <w:vAlign w:val="center"/>
          </w:tcPr>
          <w:p>
            <w:pPr>
              <w:spacing w:after="0"/>
            </w:pPr>
            <w:r/>
            <w:r>
              <w:rPr>
                <w:b w:val="0"/>
                <w:sz w:val="17"/>
              </w:rPr>
              <w:t>BASE</w:t>
            </w:r>
          </w:p>
        </w:tc>
        <w:tc>
          <w:tcPr>
            <w:tcW w:type="dxa" w:w="3312"/>
            <w:vAlign w:val="center"/>
          </w:tcPr>
          <w:p>
            <w:pPr>
              <w:spacing w:after="0"/>
            </w:pPr>
            <w:r/>
            <w:r>
              <w:rPr>
                <w:b w:val="0"/>
                <w:sz w:val="17"/>
              </w:rPr>
              <w:t>Baseline value</w:t>
            </w:r>
          </w:p>
        </w:tc>
        <w:tc>
          <w:tcPr>
            <w:tcW w:type="dxa" w:w="3312"/>
            <w:vAlign w:val="center"/>
          </w:tcPr>
          <w:p>
            <w:pPr>
              <w:spacing w:after="0"/>
            </w:pPr>
            <w:r/>
            <w:r>
              <w:rPr>
                <w:b w:val="0"/>
                <w:sz w:val="17"/>
              </w:rPr>
              <w:t>Last non-missing pre-dose value</w:t>
            </w:r>
          </w:p>
        </w:tc>
      </w:tr>
      <w:tr>
        <w:trPr>
          <w:trHeight w:hRule="atLeast"/>
        </w:trPr>
        <w:tc>
          <w:tcPr>
            <w:tcW w:type="dxa" w:w="3312"/>
            <w:vAlign w:val="center"/>
          </w:tcPr>
          <w:p>
            <w:pPr>
              <w:spacing w:after="0"/>
            </w:pPr>
            <w:r/>
            <w:r>
              <w:rPr>
                <w:b w:val="0"/>
                <w:sz w:val="17"/>
              </w:rPr>
              <w:t>CHG</w:t>
            </w:r>
          </w:p>
        </w:tc>
        <w:tc>
          <w:tcPr>
            <w:tcW w:type="dxa" w:w="3312"/>
            <w:vAlign w:val="center"/>
          </w:tcPr>
          <w:p>
            <w:pPr>
              <w:spacing w:after="0"/>
            </w:pPr>
            <w:r/>
            <w:r>
              <w:rPr>
                <w:b w:val="0"/>
                <w:sz w:val="17"/>
              </w:rPr>
              <w:t>Change from baseline</w:t>
            </w:r>
          </w:p>
        </w:tc>
        <w:tc>
          <w:tcPr>
            <w:tcW w:type="dxa" w:w="3312"/>
            <w:vAlign w:val="center"/>
          </w:tcPr>
          <w:p>
            <w:pPr>
              <w:spacing w:after="0"/>
            </w:pPr>
            <w:r/>
            <w:r>
              <w:rPr>
                <w:b w:val="0"/>
                <w:sz w:val="17"/>
              </w:rPr>
              <w:t>AVAL - BASE</w:t>
            </w:r>
          </w:p>
        </w:tc>
      </w:tr>
      <w:tr>
        <w:trPr>
          <w:trHeight w:hRule="atLeast"/>
        </w:trPr>
        <w:tc>
          <w:tcPr>
            <w:tcW w:type="dxa" w:w="3312"/>
            <w:vAlign w:val="center"/>
          </w:tcPr>
          <w:p>
            <w:pPr>
              <w:spacing w:after="0"/>
            </w:pPr>
            <w:r/>
            <w:r>
              <w:rPr>
                <w:b w:val="0"/>
                <w:sz w:val="17"/>
              </w:rPr>
              <w:t>AVISIT</w:t>
            </w:r>
          </w:p>
        </w:tc>
        <w:tc>
          <w:tcPr>
            <w:tcW w:type="dxa" w:w="3312"/>
            <w:vAlign w:val="center"/>
          </w:tcPr>
          <w:p>
            <w:pPr>
              <w:spacing w:after="0"/>
            </w:pPr>
            <w:r/>
            <w:r>
              <w:rPr>
                <w:b w:val="0"/>
                <w:sz w:val="17"/>
              </w:rPr>
              <w:t>Analysis visit</w:t>
            </w:r>
          </w:p>
        </w:tc>
        <w:tc>
          <w:tcPr>
            <w:tcW w:type="dxa" w:w="3312"/>
            <w:vAlign w:val="center"/>
          </w:tcPr>
          <w:p>
            <w:pPr>
              <w:spacing w:after="0"/>
            </w:pPr>
            <w:r/>
            <w:r>
              <w:rPr>
                <w:b w:val="0"/>
                <w:sz w:val="17"/>
              </w:rPr>
              <w:t>Baseline, Week 4, Week 8, Week 12</w:t>
            </w:r>
          </w:p>
        </w:tc>
      </w:tr>
      <w:tr>
        <w:trPr>
          <w:trHeight w:hRule="atLeast"/>
        </w:trPr>
        <w:tc>
          <w:tcPr>
            <w:tcW w:type="dxa" w:w="3312"/>
            <w:vAlign w:val="center"/>
          </w:tcPr>
          <w:p>
            <w:pPr>
              <w:spacing w:after="0"/>
            </w:pPr>
            <w:r/>
            <w:r>
              <w:rPr>
                <w:b w:val="0"/>
                <w:sz w:val="17"/>
              </w:rPr>
              <w:t>AVISITN</w:t>
            </w:r>
          </w:p>
        </w:tc>
        <w:tc>
          <w:tcPr>
            <w:tcW w:type="dxa" w:w="3312"/>
            <w:vAlign w:val="center"/>
          </w:tcPr>
          <w:p>
            <w:pPr>
              <w:spacing w:after="0"/>
            </w:pPr>
            <w:r/>
            <w:r>
              <w:rPr>
                <w:b w:val="0"/>
                <w:sz w:val="17"/>
              </w:rPr>
              <w:t>Visit number</w:t>
            </w:r>
          </w:p>
        </w:tc>
        <w:tc>
          <w:tcPr>
            <w:tcW w:type="dxa" w:w="3312"/>
            <w:vAlign w:val="center"/>
          </w:tcPr>
          <w:p>
            <w:pPr>
              <w:spacing w:after="0"/>
            </w:pPr>
            <w:r/>
            <w:r>
              <w:rPr>
                <w:b w:val="0"/>
                <w:sz w:val="17"/>
              </w:rPr>
              <w:t>0, 4, 8, 12</w:t>
            </w:r>
          </w:p>
        </w:tc>
      </w:tr>
      <w:tr>
        <w:trPr>
          <w:trHeight w:hRule="atLeast"/>
        </w:trPr>
        <w:tc>
          <w:tcPr>
            <w:tcW w:type="dxa" w:w="3312"/>
            <w:vAlign w:val="center"/>
          </w:tcPr>
          <w:p>
            <w:pPr>
              <w:spacing w:after="0"/>
            </w:pPr>
            <w:r/>
            <w:r>
              <w:rPr>
                <w:b w:val="0"/>
                <w:sz w:val="17"/>
              </w:rPr>
              <w:t>ABLFL</w:t>
            </w:r>
          </w:p>
        </w:tc>
        <w:tc>
          <w:tcPr>
            <w:tcW w:type="dxa" w:w="3312"/>
            <w:vAlign w:val="center"/>
          </w:tcPr>
          <w:p>
            <w:pPr>
              <w:spacing w:after="0"/>
            </w:pPr>
            <w:r/>
            <w:r>
              <w:rPr>
                <w:b w:val="0"/>
                <w:sz w:val="17"/>
              </w:rPr>
              <w:t>Baseline flag</w:t>
            </w:r>
          </w:p>
        </w:tc>
        <w:tc>
          <w:tcPr>
            <w:tcW w:type="dxa" w:w="3312"/>
            <w:vAlign w:val="center"/>
          </w:tcPr>
          <w:p>
            <w:pPr>
              <w:spacing w:after="0"/>
            </w:pPr>
            <w:r/>
            <w:r>
              <w:rPr>
                <w:b w:val="0"/>
                <w:sz w:val="17"/>
              </w:rPr>
              <w:t>Y for baseline record</w:t>
            </w:r>
          </w:p>
        </w:tc>
      </w:tr>
    </w:tbl>
    <w:p>
      <w:pPr>
        <w:pStyle w:val="Heading1"/>
      </w:pPr>
      <w:r>
        <w:t>10. Safety Analyses</w:t>
      </w:r>
    </w:p>
    <w:p>
      <w:pPr>
        <w:pStyle w:val="Heading2"/>
      </w:pPr>
      <w:r>
        <w:t>10.1 Adverse Events</w:t>
      </w:r>
    </w:p>
    <w:p>
      <w:pPr>
        <w:spacing w:after="100"/>
      </w:pPr>
      <w:r>
        <w:t>Adverse events will be summarized for the Safety Population by actual treatment. A treatment-emergent adverse event is an adverse event that starts or worsens on or after the first dose date and through the end of the defined safety follow-up period. For the mock project, TEAEFL="Y" will be derived when AESTDT is on or after TRTSDT and no later than TRTEDT plus 7 days, where dates are available.</w:t>
      </w:r>
    </w:p>
    <w:p>
      <w:pPr>
        <w:pStyle w:val="ListBullet"/>
        <w:spacing w:after="40"/>
      </w:pPr>
      <w:r>
        <w:t>Subjects with at least one TEAE.</w:t>
      </w:r>
    </w:p>
    <w:p>
      <w:pPr>
        <w:pStyle w:val="ListBullet"/>
        <w:spacing w:after="40"/>
      </w:pPr>
      <w:r>
        <w:t>Serious TEAEs.</w:t>
      </w:r>
    </w:p>
    <w:p>
      <w:pPr>
        <w:pStyle w:val="ListBullet"/>
        <w:spacing w:after="40"/>
      </w:pPr>
      <w:r>
        <w:t>Severe TEAEs.</w:t>
      </w:r>
    </w:p>
    <w:p>
      <w:pPr>
        <w:pStyle w:val="ListBullet"/>
        <w:spacing w:after="40"/>
      </w:pPr>
      <w:r>
        <w:t>Treatment-related TEAEs.</w:t>
      </w:r>
    </w:p>
    <w:p>
      <w:pPr>
        <w:pStyle w:val="ListBullet"/>
        <w:spacing w:after="40"/>
      </w:pPr>
      <w:r>
        <w:t>TEAEs leading to discontinuation.</w:t>
      </w:r>
    </w:p>
    <w:p>
      <w:pPr>
        <w:pStyle w:val="ListBullet"/>
        <w:spacing w:after="40"/>
      </w:pPr>
      <w:r>
        <w:t>Deaths, if any.</w:t>
      </w:r>
    </w:p>
    <w:p>
      <w:pPr>
        <w:pStyle w:val="ListBullet"/>
        <w:spacing w:after="40"/>
      </w:pPr>
      <w:r>
        <w:t>TEAEs by severity.</w:t>
      </w:r>
    </w:p>
    <w:p>
      <w:pPr>
        <w:pStyle w:val="ListBullet"/>
        <w:spacing w:after="40"/>
      </w:pPr>
      <w:r>
        <w:t>TEAEs by system organ class and preferred term when coded terms are available.</w:t>
      </w:r>
    </w:p>
    <w:p>
      <w:pPr>
        <w:pStyle w:val="Heading2"/>
      </w:pPr>
      <w:r>
        <w:t>10.2 Laboratory Assessments</w:t>
      </w:r>
    </w:p>
    <w:p>
      <w:pPr>
        <w:spacing w:after="100"/>
      </w:pPr>
      <w:r>
        <w:t>Laboratory parameters planned for summary include glucose, alanine aminotransferase, aspartate aminotransferase, creatinine, and hemoglobin, subject to availability in the mock database. Observed values and changes from baseline will be summarized by visit and treatment.</w:t>
      </w:r>
    </w:p>
    <w:p>
      <w:pPr>
        <w:spacing w:after="100"/>
      </w:pPr>
      <w:r>
        <w:t>A baseline-to-worst-post-baseline shift table may be produced when categorical normal range classifications are available. Categories will be Low, Normal, and High based on ANRIND or derived reference range comparison.</w:t>
      </w:r>
    </w:p>
    <w:p>
      <w:pPr>
        <w:pStyle w:val="Heading2"/>
      </w:pPr>
      <w:r>
        <w:t>10.3 Vital Signs Safety Review</w:t>
      </w:r>
    </w:p>
    <w:p>
      <w:pPr>
        <w:spacing w:after="100"/>
      </w:pPr>
      <w:r>
        <w:t>Vital signs are also primary and secondary efficacy assessments. Patient-level listings will support review of abnormal or clinically notable values. No formal outlier threshold analysis is planned.</w:t>
      </w:r>
    </w:p>
    <w:p>
      <w:pPr>
        <w:pStyle w:val="Heading1"/>
      </w:pPr>
      <w:r>
        <w:t>11. Handling of Missing Data</w:t>
      </w:r>
    </w:p>
    <w:p>
      <w:pPr>
        <w:spacing w:after="100"/>
      </w:pPr>
      <w:r>
        <w:t>No imputation of missing efficacy or safety values is planned. Analyses will use observed data only. Missing baseline values will result in missing change from baseline. Subjects without a Week 12 assessment will not contribute to the Week 12 observed-case summary.</w:t>
      </w:r>
    </w:p>
    <w:p>
      <w:pPr>
        <w:spacing w:after="100"/>
      </w:pPr>
      <w:r>
        <w:t>Partial dates will not be imputed in the current mock project unless needed to determine TEAE status. When TEAE status cannot be determined reliably, the flag will remain missing and the record will be reviewed in a listing.</w:t>
      </w:r>
    </w:p>
    <w:p>
      <w:pPr>
        <w:pStyle w:val="Heading1"/>
      </w:pPr>
      <w:r>
        <w:t>12. Interim Analysis and Multiplicity</w:t>
      </w:r>
    </w:p>
    <w:p>
      <w:pPr>
        <w:spacing w:after="100"/>
      </w:pPr>
      <w:r>
        <w:t>No interim analysis is planned. No formal multiplicity adjustment is planned. The primary endpoint is prespecified; all secondary and supportive analyses are interpreted descriptively.</w:t>
      </w:r>
    </w:p>
    <w:p>
      <w:pPr>
        <w:pStyle w:val="Heading1"/>
      </w:pPr>
      <w:r>
        <w:t>13. Statistical Software and Programming Standards</w:t>
      </w:r>
    </w:p>
    <w:p>
      <w:pPr>
        <w:pStyle w:val="ListBullet"/>
        <w:spacing w:after="40"/>
      </w:pPr>
      <w:r>
        <w:t>SAS 9.4 or SAS OnDemand for Academics will be used for dataset preparation, statistical summaries, and TLF generation.</w:t>
      </w:r>
    </w:p>
    <w:p>
      <w:pPr>
        <w:pStyle w:val="ListBullet"/>
        <w:spacing w:after="40"/>
      </w:pPr>
      <w:r>
        <w:t>SDTM datasets will follow applicable CDISC SDTM conventions used in the project.</w:t>
      </w:r>
    </w:p>
    <w:p>
      <w:pPr>
        <w:pStyle w:val="ListBullet"/>
        <w:spacing w:after="40"/>
      </w:pPr>
      <w:r>
        <w:t>ADaM datasets will follow applicable CDISC ADaM principles used in the project.</w:t>
      </w:r>
    </w:p>
    <w:p>
      <w:pPr>
        <w:pStyle w:val="ListBullet"/>
        <w:spacing w:after="40"/>
      </w:pPr>
      <w:r>
        <w:t>Tables and listings will generally be produced using PROC REPORT and ODS RTF or ODS PDF.</w:t>
      </w:r>
    </w:p>
    <w:p>
      <w:pPr>
        <w:pStyle w:val="ListBullet"/>
        <w:spacing w:after="40"/>
      </w:pPr>
      <w:r>
        <w:t>Figures will generally be produced using PROC SGPLOT.</w:t>
      </w:r>
    </w:p>
    <w:p>
      <w:pPr>
        <w:pStyle w:val="ListBullet"/>
        <w:spacing w:after="40"/>
      </w:pPr>
      <w:r>
        <w:t>Independent QC will use duplicate programming, targeted checks, PROC COMPARE, record-count checks, and review against approved shells.</w:t>
      </w:r>
    </w:p>
    <w:p>
      <w:pPr>
        <w:pStyle w:val="Heading1"/>
      </w:pPr>
      <w:r>
        <w:t>14. Planned Tables, Listings, and Figures</w:t>
      </w:r>
    </w:p>
    <w:p>
      <w:pPr>
        <w:spacing w:after="100"/>
      </w:pPr>
      <w:r>
        <w:t>The following outputs define the planned TLF package for the HTN001 mock project. Exact layouts will be defined in the separate TLF Shell document.</w:t>
      </w:r>
    </w:p>
    <w:p>
      <w:pPr>
        <w:pStyle w:val="Heading2"/>
      </w:pPr>
      <w:r>
        <w:t>14.1 Planned Tables</w:t>
      </w:r>
    </w:p>
    <w:tbl>
      <w:tblPr>
        <w:tblStyle w:val="TableGrid"/>
        <w:tblW w:type="auto" w:w="0"/>
        <w:jc w:val="center"/>
        <w:tblLook w:firstColumn="1" w:firstRow="1" w:lastColumn="0" w:lastRow="0" w:noHBand="0" w:noVBand="1" w:val="04A0"/>
      </w:tblPr>
      <w:tblGrid>
        <w:gridCol w:w="2484"/>
        <w:gridCol w:w="2484"/>
        <w:gridCol w:w="2484"/>
        <w:gridCol w:w="2484"/>
      </w:tblGrid>
      <w:tr>
        <w:trPr>
          <w:trHeight w:hRule="atLeast"/>
          <w:tblHeader w:val="true"/>
        </w:trPr>
        <w:tc>
          <w:tcPr>
            <w:tcW w:type="dxa" w:w="2484"/>
            <w:vAlign w:val="center"/>
            <w:shd w:fill="B4C6E7"/>
          </w:tcPr>
          <w:p>
            <w:pPr>
              <w:spacing w:after="0"/>
            </w:pPr>
            <w:r/>
            <w:r>
              <w:rPr>
                <w:b/>
                <w:sz w:val="17"/>
              </w:rPr>
              <w:t>Number</w:t>
            </w:r>
          </w:p>
        </w:tc>
        <w:tc>
          <w:tcPr>
            <w:tcW w:type="dxa" w:w="2484"/>
            <w:vAlign w:val="center"/>
            <w:shd w:fill="B4C6E7"/>
          </w:tcPr>
          <w:p>
            <w:pPr>
              <w:spacing w:after="0"/>
            </w:pPr>
            <w:r/>
            <w:r>
              <w:rPr>
                <w:b/>
                <w:sz w:val="17"/>
              </w:rPr>
              <w:t>Title</w:t>
            </w:r>
          </w:p>
        </w:tc>
        <w:tc>
          <w:tcPr>
            <w:tcW w:type="dxa" w:w="2484"/>
            <w:vAlign w:val="center"/>
            <w:shd w:fill="B4C6E7"/>
          </w:tcPr>
          <w:p>
            <w:pPr>
              <w:spacing w:after="0"/>
            </w:pPr>
            <w:r/>
            <w:r>
              <w:rPr>
                <w:b/>
                <w:sz w:val="17"/>
              </w:rPr>
              <w:t>Population</w:t>
            </w:r>
          </w:p>
        </w:tc>
        <w:tc>
          <w:tcPr>
            <w:tcW w:type="dxa" w:w="2484"/>
            <w:vAlign w:val="center"/>
            <w:shd w:fill="B4C6E7"/>
          </w:tcPr>
          <w:p>
            <w:pPr>
              <w:spacing w:after="0"/>
            </w:pPr>
            <w:r/>
            <w:r>
              <w:rPr>
                <w:b/>
                <w:sz w:val="17"/>
              </w:rPr>
              <w:t>Source</w:t>
            </w:r>
          </w:p>
        </w:tc>
      </w:tr>
      <w:tr>
        <w:trPr>
          <w:trHeight w:hRule="atLeast"/>
        </w:trPr>
        <w:tc>
          <w:tcPr>
            <w:tcW w:type="dxa" w:w="2484"/>
            <w:vAlign w:val="center"/>
          </w:tcPr>
          <w:p>
            <w:pPr>
              <w:spacing w:after="0"/>
            </w:pPr>
            <w:r/>
            <w:r>
              <w:rPr>
                <w:b w:val="0"/>
                <w:sz w:val="16"/>
              </w:rPr>
              <w:t>14.1.1</w:t>
            </w:r>
          </w:p>
        </w:tc>
        <w:tc>
          <w:tcPr>
            <w:tcW w:type="dxa" w:w="2484"/>
            <w:vAlign w:val="center"/>
          </w:tcPr>
          <w:p>
            <w:pPr>
              <w:spacing w:after="0"/>
            </w:pPr>
            <w:r/>
            <w:r>
              <w:rPr>
                <w:b w:val="0"/>
                <w:sz w:val="16"/>
              </w:rPr>
              <w:t>Subject Disposition</w:t>
            </w:r>
          </w:p>
        </w:tc>
        <w:tc>
          <w:tcPr>
            <w:tcW w:type="dxa" w:w="2484"/>
            <w:vAlign w:val="center"/>
          </w:tcPr>
          <w:p>
            <w:pPr>
              <w:spacing w:after="0"/>
            </w:pPr>
            <w:r/>
            <w:r>
              <w:rPr>
                <w:b w:val="0"/>
                <w:sz w:val="16"/>
              </w:rPr>
              <w:t>Randomized / Safety</w:t>
            </w:r>
          </w:p>
        </w:tc>
        <w:tc>
          <w:tcPr>
            <w:tcW w:type="dxa" w:w="2484"/>
            <w:vAlign w:val="center"/>
          </w:tcPr>
          <w:p>
            <w:pPr>
              <w:spacing w:after="0"/>
            </w:pPr>
            <w:r/>
            <w:r>
              <w:rPr>
                <w:b w:val="0"/>
                <w:sz w:val="16"/>
              </w:rPr>
              <w:t>ADSL</w:t>
            </w:r>
          </w:p>
        </w:tc>
      </w:tr>
      <w:tr>
        <w:trPr>
          <w:trHeight w:hRule="atLeast"/>
        </w:trPr>
        <w:tc>
          <w:tcPr>
            <w:tcW w:type="dxa" w:w="2484"/>
            <w:vAlign w:val="center"/>
          </w:tcPr>
          <w:p>
            <w:pPr>
              <w:spacing w:after="0"/>
            </w:pPr>
            <w:r/>
            <w:r>
              <w:rPr>
                <w:b w:val="0"/>
                <w:sz w:val="16"/>
              </w:rPr>
              <w:t>14.1.2</w:t>
            </w:r>
          </w:p>
        </w:tc>
        <w:tc>
          <w:tcPr>
            <w:tcW w:type="dxa" w:w="2484"/>
            <w:vAlign w:val="center"/>
          </w:tcPr>
          <w:p>
            <w:pPr>
              <w:spacing w:after="0"/>
            </w:pPr>
            <w:r/>
            <w:r>
              <w:rPr>
                <w:b w:val="0"/>
                <w:sz w:val="16"/>
              </w:rPr>
              <w:t>Demographic and Baseline Characteristics</w:t>
            </w:r>
          </w:p>
        </w:tc>
        <w:tc>
          <w:tcPr>
            <w:tcW w:type="dxa" w:w="2484"/>
            <w:vAlign w:val="center"/>
          </w:tcPr>
          <w:p>
            <w:pPr>
              <w:spacing w:after="0"/>
            </w:pPr>
            <w:r/>
            <w:r>
              <w:rPr>
                <w:b w:val="0"/>
                <w:sz w:val="16"/>
              </w:rPr>
              <w:t>Safety</w:t>
            </w:r>
          </w:p>
        </w:tc>
        <w:tc>
          <w:tcPr>
            <w:tcW w:type="dxa" w:w="2484"/>
            <w:vAlign w:val="center"/>
          </w:tcPr>
          <w:p>
            <w:pPr>
              <w:spacing w:after="0"/>
            </w:pPr>
            <w:r/>
            <w:r>
              <w:rPr>
                <w:b w:val="0"/>
                <w:sz w:val="16"/>
              </w:rPr>
              <w:t>ADSL / ADVS</w:t>
            </w:r>
          </w:p>
        </w:tc>
      </w:tr>
      <w:tr>
        <w:trPr>
          <w:trHeight w:hRule="atLeast"/>
        </w:trPr>
        <w:tc>
          <w:tcPr>
            <w:tcW w:type="dxa" w:w="2484"/>
            <w:vAlign w:val="center"/>
          </w:tcPr>
          <w:p>
            <w:pPr>
              <w:spacing w:after="0"/>
            </w:pPr>
            <w:r/>
            <w:r>
              <w:rPr>
                <w:b w:val="0"/>
                <w:sz w:val="16"/>
              </w:rPr>
              <w:t>14.1.3</w:t>
            </w:r>
          </w:p>
        </w:tc>
        <w:tc>
          <w:tcPr>
            <w:tcW w:type="dxa" w:w="2484"/>
            <w:vAlign w:val="center"/>
          </w:tcPr>
          <w:p>
            <w:pPr>
              <w:spacing w:after="0"/>
            </w:pPr>
            <w:r/>
            <w:r>
              <w:rPr>
                <w:b w:val="0"/>
                <w:sz w:val="16"/>
              </w:rPr>
              <w:t>Treatment Exposure</w:t>
            </w:r>
          </w:p>
        </w:tc>
        <w:tc>
          <w:tcPr>
            <w:tcW w:type="dxa" w:w="2484"/>
            <w:vAlign w:val="center"/>
          </w:tcPr>
          <w:p>
            <w:pPr>
              <w:spacing w:after="0"/>
            </w:pPr>
            <w:r/>
            <w:r>
              <w:rPr>
                <w:b w:val="0"/>
                <w:sz w:val="16"/>
              </w:rPr>
              <w:t>Safety</w:t>
            </w:r>
          </w:p>
        </w:tc>
        <w:tc>
          <w:tcPr>
            <w:tcW w:type="dxa" w:w="2484"/>
            <w:vAlign w:val="center"/>
          </w:tcPr>
          <w:p>
            <w:pPr>
              <w:spacing w:after="0"/>
            </w:pPr>
            <w:r/>
            <w:r>
              <w:rPr>
                <w:b w:val="0"/>
                <w:sz w:val="16"/>
              </w:rPr>
              <w:t>ADSL / EX</w:t>
            </w:r>
          </w:p>
        </w:tc>
      </w:tr>
      <w:tr>
        <w:trPr>
          <w:trHeight w:hRule="atLeast"/>
        </w:trPr>
        <w:tc>
          <w:tcPr>
            <w:tcW w:type="dxa" w:w="2484"/>
            <w:vAlign w:val="center"/>
          </w:tcPr>
          <w:p>
            <w:pPr>
              <w:spacing w:after="0"/>
            </w:pPr>
            <w:r/>
            <w:r>
              <w:rPr>
                <w:b w:val="0"/>
                <w:sz w:val="16"/>
              </w:rPr>
              <w:t>14.2.1</w:t>
            </w:r>
          </w:p>
        </w:tc>
        <w:tc>
          <w:tcPr>
            <w:tcW w:type="dxa" w:w="2484"/>
            <w:vAlign w:val="center"/>
          </w:tcPr>
          <w:p>
            <w:pPr>
              <w:spacing w:after="0"/>
            </w:pPr>
            <w:r/>
            <w:r>
              <w:rPr>
                <w:b w:val="0"/>
                <w:sz w:val="16"/>
              </w:rPr>
              <w:t>Baseline Vital Signs</w:t>
            </w:r>
          </w:p>
        </w:tc>
        <w:tc>
          <w:tcPr>
            <w:tcW w:type="dxa" w:w="2484"/>
            <w:vAlign w:val="center"/>
          </w:tcPr>
          <w:p>
            <w:pPr>
              <w:spacing w:after="0"/>
            </w:pPr>
            <w:r/>
            <w:r>
              <w:rPr>
                <w:b w:val="0"/>
                <w:sz w:val="16"/>
              </w:rPr>
              <w:t>FAS</w:t>
            </w:r>
          </w:p>
        </w:tc>
        <w:tc>
          <w:tcPr>
            <w:tcW w:type="dxa" w:w="2484"/>
            <w:vAlign w:val="center"/>
          </w:tcPr>
          <w:p>
            <w:pPr>
              <w:spacing w:after="0"/>
            </w:pPr>
            <w:r/>
            <w:r>
              <w:rPr>
                <w:b w:val="0"/>
                <w:sz w:val="16"/>
              </w:rPr>
              <w:t>ADVS</w:t>
            </w:r>
          </w:p>
        </w:tc>
      </w:tr>
      <w:tr>
        <w:trPr>
          <w:trHeight w:hRule="atLeast"/>
        </w:trPr>
        <w:tc>
          <w:tcPr>
            <w:tcW w:type="dxa" w:w="2484"/>
            <w:vAlign w:val="center"/>
          </w:tcPr>
          <w:p>
            <w:pPr>
              <w:spacing w:after="0"/>
            </w:pPr>
            <w:r/>
            <w:r>
              <w:rPr>
                <w:b w:val="0"/>
                <w:sz w:val="16"/>
              </w:rPr>
              <w:t>14.2.2</w:t>
            </w:r>
          </w:p>
        </w:tc>
        <w:tc>
          <w:tcPr>
            <w:tcW w:type="dxa" w:w="2484"/>
            <w:vAlign w:val="center"/>
          </w:tcPr>
          <w:p>
            <w:pPr>
              <w:spacing w:after="0"/>
            </w:pPr>
            <w:r/>
            <w:r>
              <w:rPr>
                <w:b w:val="0"/>
                <w:sz w:val="16"/>
              </w:rPr>
              <w:t>Change from Baseline in SBP</w:t>
            </w:r>
          </w:p>
        </w:tc>
        <w:tc>
          <w:tcPr>
            <w:tcW w:type="dxa" w:w="2484"/>
            <w:vAlign w:val="center"/>
          </w:tcPr>
          <w:p>
            <w:pPr>
              <w:spacing w:after="0"/>
            </w:pPr>
            <w:r/>
            <w:r>
              <w:rPr>
                <w:b w:val="0"/>
                <w:sz w:val="16"/>
              </w:rPr>
              <w:t>FAS</w:t>
            </w:r>
          </w:p>
        </w:tc>
        <w:tc>
          <w:tcPr>
            <w:tcW w:type="dxa" w:w="2484"/>
            <w:vAlign w:val="center"/>
          </w:tcPr>
          <w:p>
            <w:pPr>
              <w:spacing w:after="0"/>
            </w:pPr>
            <w:r/>
            <w:r>
              <w:rPr>
                <w:b w:val="0"/>
                <w:sz w:val="16"/>
              </w:rPr>
              <w:t>ADVS</w:t>
            </w:r>
          </w:p>
        </w:tc>
      </w:tr>
      <w:tr>
        <w:trPr>
          <w:trHeight w:hRule="atLeast"/>
        </w:trPr>
        <w:tc>
          <w:tcPr>
            <w:tcW w:type="dxa" w:w="2484"/>
            <w:vAlign w:val="center"/>
          </w:tcPr>
          <w:p>
            <w:pPr>
              <w:spacing w:after="0"/>
            </w:pPr>
            <w:r/>
            <w:r>
              <w:rPr>
                <w:b w:val="0"/>
                <w:sz w:val="16"/>
              </w:rPr>
              <w:t>14.2.3</w:t>
            </w:r>
          </w:p>
        </w:tc>
        <w:tc>
          <w:tcPr>
            <w:tcW w:type="dxa" w:w="2484"/>
            <w:vAlign w:val="center"/>
          </w:tcPr>
          <w:p>
            <w:pPr>
              <w:spacing w:after="0"/>
            </w:pPr>
            <w:r/>
            <w:r>
              <w:rPr>
                <w:b w:val="0"/>
                <w:sz w:val="16"/>
              </w:rPr>
              <w:t>Change from Baseline in DBP</w:t>
            </w:r>
          </w:p>
        </w:tc>
        <w:tc>
          <w:tcPr>
            <w:tcW w:type="dxa" w:w="2484"/>
            <w:vAlign w:val="center"/>
          </w:tcPr>
          <w:p>
            <w:pPr>
              <w:spacing w:after="0"/>
            </w:pPr>
            <w:r/>
            <w:r>
              <w:rPr>
                <w:b w:val="0"/>
                <w:sz w:val="16"/>
              </w:rPr>
              <w:t>FAS</w:t>
            </w:r>
          </w:p>
        </w:tc>
        <w:tc>
          <w:tcPr>
            <w:tcW w:type="dxa" w:w="2484"/>
            <w:vAlign w:val="center"/>
          </w:tcPr>
          <w:p>
            <w:pPr>
              <w:spacing w:after="0"/>
            </w:pPr>
            <w:r/>
            <w:r>
              <w:rPr>
                <w:b w:val="0"/>
                <w:sz w:val="16"/>
              </w:rPr>
              <w:t>ADVS</w:t>
            </w:r>
          </w:p>
        </w:tc>
      </w:tr>
      <w:tr>
        <w:trPr>
          <w:trHeight w:hRule="atLeast"/>
        </w:trPr>
        <w:tc>
          <w:tcPr>
            <w:tcW w:type="dxa" w:w="2484"/>
            <w:vAlign w:val="center"/>
          </w:tcPr>
          <w:p>
            <w:pPr>
              <w:spacing w:after="0"/>
            </w:pPr>
            <w:r/>
            <w:r>
              <w:rPr>
                <w:b w:val="0"/>
                <w:sz w:val="16"/>
              </w:rPr>
              <w:t>14.2.4</w:t>
            </w:r>
          </w:p>
        </w:tc>
        <w:tc>
          <w:tcPr>
            <w:tcW w:type="dxa" w:w="2484"/>
            <w:vAlign w:val="center"/>
          </w:tcPr>
          <w:p>
            <w:pPr>
              <w:spacing w:after="0"/>
            </w:pPr>
            <w:r/>
            <w:r>
              <w:rPr>
                <w:b w:val="0"/>
                <w:sz w:val="16"/>
              </w:rPr>
              <w:t>Pulse Summary</w:t>
            </w:r>
          </w:p>
        </w:tc>
        <w:tc>
          <w:tcPr>
            <w:tcW w:type="dxa" w:w="2484"/>
            <w:vAlign w:val="center"/>
          </w:tcPr>
          <w:p>
            <w:pPr>
              <w:spacing w:after="0"/>
            </w:pPr>
            <w:r/>
            <w:r>
              <w:rPr>
                <w:b w:val="0"/>
                <w:sz w:val="16"/>
              </w:rPr>
              <w:t>FAS</w:t>
            </w:r>
          </w:p>
        </w:tc>
        <w:tc>
          <w:tcPr>
            <w:tcW w:type="dxa" w:w="2484"/>
            <w:vAlign w:val="center"/>
          </w:tcPr>
          <w:p>
            <w:pPr>
              <w:spacing w:after="0"/>
            </w:pPr>
            <w:r/>
            <w:r>
              <w:rPr>
                <w:b w:val="0"/>
                <w:sz w:val="16"/>
              </w:rPr>
              <w:t>ADVS</w:t>
            </w:r>
          </w:p>
        </w:tc>
      </w:tr>
      <w:tr>
        <w:trPr>
          <w:trHeight w:hRule="atLeast"/>
        </w:trPr>
        <w:tc>
          <w:tcPr>
            <w:tcW w:type="dxa" w:w="2484"/>
            <w:vAlign w:val="center"/>
          </w:tcPr>
          <w:p>
            <w:pPr>
              <w:spacing w:after="0"/>
            </w:pPr>
            <w:r/>
            <w:r>
              <w:rPr>
                <w:b w:val="0"/>
                <w:sz w:val="16"/>
              </w:rPr>
              <w:t>14.3.1</w:t>
            </w:r>
          </w:p>
        </w:tc>
        <w:tc>
          <w:tcPr>
            <w:tcW w:type="dxa" w:w="2484"/>
            <w:vAlign w:val="center"/>
          </w:tcPr>
          <w:p>
            <w:pPr>
              <w:spacing w:after="0"/>
            </w:pPr>
            <w:r/>
            <w:r>
              <w:rPr>
                <w:b w:val="0"/>
                <w:sz w:val="16"/>
              </w:rPr>
              <w:t>Overall Summary of Treatment-Emergent Adverse Events</w:t>
            </w:r>
          </w:p>
        </w:tc>
        <w:tc>
          <w:tcPr>
            <w:tcW w:type="dxa" w:w="2484"/>
            <w:vAlign w:val="center"/>
          </w:tcPr>
          <w:p>
            <w:pPr>
              <w:spacing w:after="0"/>
            </w:pPr>
            <w:r/>
            <w:r>
              <w:rPr>
                <w:b w:val="0"/>
                <w:sz w:val="16"/>
              </w:rPr>
              <w:t>Safety</w:t>
            </w:r>
          </w:p>
        </w:tc>
        <w:tc>
          <w:tcPr>
            <w:tcW w:type="dxa" w:w="2484"/>
            <w:vAlign w:val="center"/>
          </w:tcPr>
          <w:p>
            <w:pPr>
              <w:spacing w:after="0"/>
            </w:pPr>
            <w:r/>
            <w:r>
              <w:rPr>
                <w:b w:val="0"/>
                <w:sz w:val="16"/>
              </w:rPr>
              <w:t>ADAE</w:t>
            </w:r>
          </w:p>
        </w:tc>
      </w:tr>
      <w:tr>
        <w:trPr>
          <w:trHeight w:hRule="atLeast"/>
        </w:trPr>
        <w:tc>
          <w:tcPr>
            <w:tcW w:type="dxa" w:w="2484"/>
            <w:vAlign w:val="center"/>
          </w:tcPr>
          <w:p>
            <w:pPr>
              <w:spacing w:after="0"/>
            </w:pPr>
            <w:r/>
            <w:r>
              <w:rPr>
                <w:b w:val="0"/>
                <w:sz w:val="16"/>
              </w:rPr>
              <w:t>14.3.2</w:t>
            </w:r>
          </w:p>
        </w:tc>
        <w:tc>
          <w:tcPr>
            <w:tcW w:type="dxa" w:w="2484"/>
            <w:vAlign w:val="center"/>
          </w:tcPr>
          <w:p>
            <w:pPr>
              <w:spacing w:after="0"/>
            </w:pPr>
            <w:r/>
            <w:r>
              <w:rPr>
                <w:b w:val="0"/>
                <w:sz w:val="16"/>
              </w:rPr>
              <w:t>Treatment-Emergent Adverse Events by Severity</w:t>
            </w:r>
          </w:p>
        </w:tc>
        <w:tc>
          <w:tcPr>
            <w:tcW w:type="dxa" w:w="2484"/>
            <w:vAlign w:val="center"/>
          </w:tcPr>
          <w:p>
            <w:pPr>
              <w:spacing w:after="0"/>
            </w:pPr>
            <w:r/>
            <w:r>
              <w:rPr>
                <w:b w:val="0"/>
                <w:sz w:val="16"/>
              </w:rPr>
              <w:t>Safety</w:t>
            </w:r>
          </w:p>
        </w:tc>
        <w:tc>
          <w:tcPr>
            <w:tcW w:type="dxa" w:w="2484"/>
            <w:vAlign w:val="center"/>
          </w:tcPr>
          <w:p>
            <w:pPr>
              <w:spacing w:after="0"/>
            </w:pPr>
            <w:r/>
            <w:r>
              <w:rPr>
                <w:b w:val="0"/>
                <w:sz w:val="16"/>
              </w:rPr>
              <w:t>ADAE</w:t>
            </w:r>
          </w:p>
        </w:tc>
      </w:tr>
      <w:tr>
        <w:trPr>
          <w:trHeight w:hRule="atLeast"/>
        </w:trPr>
        <w:tc>
          <w:tcPr>
            <w:tcW w:type="dxa" w:w="2484"/>
            <w:vAlign w:val="center"/>
          </w:tcPr>
          <w:p>
            <w:pPr>
              <w:spacing w:after="0"/>
            </w:pPr>
            <w:r/>
            <w:r>
              <w:rPr>
                <w:b w:val="0"/>
                <w:sz w:val="16"/>
              </w:rPr>
              <w:t>14.3.3</w:t>
            </w:r>
          </w:p>
        </w:tc>
        <w:tc>
          <w:tcPr>
            <w:tcW w:type="dxa" w:w="2484"/>
            <w:vAlign w:val="center"/>
          </w:tcPr>
          <w:p>
            <w:pPr>
              <w:spacing w:after="0"/>
            </w:pPr>
            <w:r/>
            <w:r>
              <w:rPr>
                <w:b w:val="0"/>
                <w:sz w:val="16"/>
              </w:rPr>
              <w:t>Treatment-Emergent Adverse Events by SOC and Preferred Term</w:t>
            </w:r>
          </w:p>
        </w:tc>
        <w:tc>
          <w:tcPr>
            <w:tcW w:type="dxa" w:w="2484"/>
            <w:vAlign w:val="center"/>
          </w:tcPr>
          <w:p>
            <w:pPr>
              <w:spacing w:after="0"/>
            </w:pPr>
            <w:r/>
            <w:r>
              <w:rPr>
                <w:b w:val="0"/>
                <w:sz w:val="16"/>
              </w:rPr>
              <w:t>Safety</w:t>
            </w:r>
          </w:p>
        </w:tc>
        <w:tc>
          <w:tcPr>
            <w:tcW w:type="dxa" w:w="2484"/>
            <w:vAlign w:val="center"/>
          </w:tcPr>
          <w:p>
            <w:pPr>
              <w:spacing w:after="0"/>
            </w:pPr>
            <w:r/>
            <w:r>
              <w:rPr>
                <w:b w:val="0"/>
                <w:sz w:val="16"/>
              </w:rPr>
              <w:t>ADAE</w:t>
            </w:r>
          </w:p>
        </w:tc>
      </w:tr>
      <w:tr>
        <w:trPr>
          <w:trHeight w:hRule="atLeast"/>
        </w:trPr>
        <w:tc>
          <w:tcPr>
            <w:tcW w:type="dxa" w:w="2484"/>
            <w:vAlign w:val="center"/>
          </w:tcPr>
          <w:p>
            <w:pPr>
              <w:spacing w:after="0"/>
            </w:pPr>
            <w:r/>
            <w:r>
              <w:rPr>
                <w:b w:val="0"/>
                <w:sz w:val="16"/>
              </w:rPr>
              <w:t>14.4.1</w:t>
            </w:r>
          </w:p>
        </w:tc>
        <w:tc>
          <w:tcPr>
            <w:tcW w:type="dxa" w:w="2484"/>
            <w:vAlign w:val="center"/>
          </w:tcPr>
          <w:p>
            <w:pPr>
              <w:spacing w:after="0"/>
            </w:pPr>
            <w:r/>
            <w:r>
              <w:rPr>
                <w:b w:val="0"/>
                <w:sz w:val="16"/>
              </w:rPr>
              <w:t>Laboratory Summary by Visit</w:t>
            </w:r>
          </w:p>
        </w:tc>
        <w:tc>
          <w:tcPr>
            <w:tcW w:type="dxa" w:w="2484"/>
            <w:vAlign w:val="center"/>
          </w:tcPr>
          <w:p>
            <w:pPr>
              <w:spacing w:after="0"/>
            </w:pPr>
            <w:r/>
            <w:r>
              <w:rPr>
                <w:b w:val="0"/>
                <w:sz w:val="16"/>
              </w:rPr>
              <w:t>Safety</w:t>
            </w:r>
          </w:p>
        </w:tc>
        <w:tc>
          <w:tcPr>
            <w:tcW w:type="dxa" w:w="2484"/>
            <w:vAlign w:val="center"/>
          </w:tcPr>
          <w:p>
            <w:pPr>
              <w:spacing w:after="0"/>
            </w:pPr>
            <w:r/>
            <w:r>
              <w:rPr>
                <w:b w:val="0"/>
                <w:sz w:val="16"/>
              </w:rPr>
              <w:t>ADLB</w:t>
            </w:r>
          </w:p>
        </w:tc>
      </w:tr>
      <w:tr>
        <w:trPr>
          <w:trHeight w:hRule="atLeast"/>
        </w:trPr>
        <w:tc>
          <w:tcPr>
            <w:tcW w:type="dxa" w:w="2484"/>
            <w:vAlign w:val="center"/>
          </w:tcPr>
          <w:p>
            <w:pPr>
              <w:spacing w:after="0"/>
            </w:pPr>
            <w:r/>
            <w:r>
              <w:rPr>
                <w:b w:val="0"/>
                <w:sz w:val="16"/>
              </w:rPr>
              <w:t>14.4.2</w:t>
            </w:r>
          </w:p>
        </w:tc>
        <w:tc>
          <w:tcPr>
            <w:tcW w:type="dxa" w:w="2484"/>
            <w:vAlign w:val="center"/>
          </w:tcPr>
          <w:p>
            <w:pPr>
              <w:spacing w:after="0"/>
            </w:pPr>
            <w:r/>
            <w:r>
              <w:rPr>
                <w:b w:val="0"/>
                <w:sz w:val="16"/>
              </w:rPr>
              <w:t>Laboratory Shift Table</w:t>
            </w:r>
          </w:p>
        </w:tc>
        <w:tc>
          <w:tcPr>
            <w:tcW w:type="dxa" w:w="2484"/>
            <w:vAlign w:val="center"/>
          </w:tcPr>
          <w:p>
            <w:pPr>
              <w:spacing w:after="0"/>
            </w:pPr>
            <w:r/>
            <w:r>
              <w:rPr>
                <w:b w:val="0"/>
                <w:sz w:val="16"/>
              </w:rPr>
              <w:t>Safety</w:t>
            </w:r>
          </w:p>
        </w:tc>
        <w:tc>
          <w:tcPr>
            <w:tcW w:type="dxa" w:w="2484"/>
            <w:vAlign w:val="center"/>
          </w:tcPr>
          <w:p>
            <w:pPr>
              <w:spacing w:after="0"/>
            </w:pPr>
            <w:r/>
            <w:r>
              <w:rPr>
                <w:b w:val="0"/>
                <w:sz w:val="16"/>
              </w:rPr>
              <w:t>ADLB</w:t>
            </w:r>
          </w:p>
        </w:tc>
      </w:tr>
    </w:tbl>
    <w:p>
      <w:pPr>
        <w:pStyle w:val="Heading2"/>
      </w:pPr>
      <w:r>
        <w:t>14.2 Planned Listings</w:t>
      </w:r>
    </w:p>
    <w:tbl>
      <w:tblPr>
        <w:tblStyle w:val="TableGrid"/>
        <w:tblW w:type="auto" w:w="0"/>
        <w:jc w:val="center"/>
        <w:tblLook w:firstColumn="1" w:firstRow="1" w:lastColumn="0" w:lastRow="0" w:noHBand="0" w:noVBand="1" w:val="04A0"/>
      </w:tblPr>
      <w:tblGrid>
        <w:gridCol w:w="2484"/>
        <w:gridCol w:w="2484"/>
        <w:gridCol w:w="2484"/>
        <w:gridCol w:w="2484"/>
      </w:tblGrid>
      <w:tr>
        <w:trPr>
          <w:trHeight w:hRule="atLeast"/>
          <w:tblHeader w:val="true"/>
        </w:trPr>
        <w:tc>
          <w:tcPr>
            <w:tcW w:type="dxa" w:w="2484"/>
            <w:vAlign w:val="center"/>
            <w:shd w:fill="B4C6E7"/>
          </w:tcPr>
          <w:p>
            <w:pPr>
              <w:spacing w:after="0"/>
            </w:pPr>
            <w:r/>
            <w:r>
              <w:rPr>
                <w:b/>
                <w:sz w:val="17"/>
              </w:rPr>
              <w:t>Number</w:t>
            </w:r>
          </w:p>
        </w:tc>
        <w:tc>
          <w:tcPr>
            <w:tcW w:type="dxa" w:w="2484"/>
            <w:vAlign w:val="center"/>
            <w:shd w:fill="B4C6E7"/>
          </w:tcPr>
          <w:p>
            <w:pPr>
              <w:spacing w:after="0"/>
            </w:pPr>
            <w:r/>
            <w:r>
              <w:rPr>
                <w:b/>
                <w:sz w:val="17"/>
              </w:rPr>
              <w:t>Title</w:t>
            </w:r>
          </w:p>
        </w:tc>
        <w:tc>
          <w:tcPr>
            <w:tcW w:type="dxa" w:w="2484"/>
            <w:vAlign w:val="center"/>
            <w:shd w:fill="B4C6E7"/>
          </w:tcPr>
          <w:p>
            <w:pPr>
              <w:spacing w:after="0"/>
            </w:pPr>
            <w:r/>
            <w:r>
              <w:rPr>
                <w:b/>
                <w:sz w:val="17"/>
              </w:rPr>
              <w:t>Population</w:t>
            </w:r>
          </w:p>
        </w:tc>
        <w:tc>
          <w:tcPr>
            <w:tcW w:type="dxa" w:w="2484"/>
            <w:vAlign w:val="center"/>
            <w:shd w:fill="B4C6E7"/>
          </w:tcPr>
          <w:p>
            <w:pPr>
              <w:spacing w:after="0"/>
            </w:pPr>
            <w:r/>
            <w:r>
              <w:rPr>
                <w:b/>
                <w:sz w:val="17"/>
              </w:rPr>
              <w:t>Source</w:t>
            </w:r>
          </w:p>
        </w:tc>
      </w:tr>
      <w:tr>
        <w:trPr>
          <w:trHeight w:hRule="atLeast"/>
        </w:trPr>
        <w:tc>
          <w:tcPr>
            <w:tcW w:type="dxa" w:w="2484"/>
            <w:vAlign w:val="center"/>
          </w:tcPr>
          <w:p>
            <w:pPr>
              <w:spacing w:after="0"/>
            </w:pPr>
            <w:r/>
            <w:r>
              <w:rPr>
                <w:b w:val="0"/>
                <w:sz w:val="16"/>
              </w:rPr>
              <w:t>16.2.1</w:t>
            </w:r>
          </w:p>
        </w:tc>
        <w:tc>
          <w:tcPr>
            <w:tcW w:type="dxa" w:w="2484"/>
            <w:vAlign w:val="center"/>
          </w:tcPr>
          <w:p>
            <w:pPr>
              <w:spacing w:after="0"/>
            </w:pPr>
            <w:r/>
            <w:r>
              <w:rPr>
                <w:b w:val="0"/>
                <w:sz w:val="16"/>
              </w:rPr>
              <w:t>Subject Demographic Listing</w:t>
            </w:r>
          </w:p>
        </w:tc>
        <w:tc>
          <w:tcPr>
            <w:tcW w:type="dxa" w:w="2484"/>
            <w:vAlign w:val="center"/>
          </w:tcPr>
          <w:p>
            <w:pPr>
              <w:spacing w:after="0"/>
            </w:pPr>
            <w:r/>
            <w:r>
              <w:rPr>
                <w:b w:val="0"/>
                <w:sz w:val="16"/>
              </w:rPr>
              <w:t>Safety</w:t>
            </w:r>
          </w:p>
        </w:tc>
        <w:tc>
          <w:tcPr>
            <w:tcW w:type="dxa" w:w="2484"/>
            <w:vAlign w:val="center"/>
          </w:tcPr>
          <w:p>
            <w:pPr>
              <w:spacing w:after="0"/>
            </w:pPr>
            <w:r/>
            <w:r>
              <w:rPr>
                <w:b w:val="0"/>
                <w:sz w:val="16"/>
              </w:rPr>
              <w:t>ADSL</w:t>
            </w:r>
          </w:p>
        </w:tc>
      </w:tr>
      <w:tr>
        <w:trPr>
          <w:trHeight w:hRule="atLeast"/>
        </w:trPr>
        <w:tc>
          <w:tcPr>
            <w:tcW w:type="dxa" w:w="2484"/>
            <w:vAlign w:val="center"/>
          </w:tcPr>
          <w:p>
            <w:pPr>
              <w:spacing w:after="0"/>
            </w:pPr>
            <w:r/>
            <w:r>
              <w:rPr>
                <w:b w:val="0"/>
                <w:sz w:val="16"/>
              </w:rPr>
              <w:t>16.2.2</w:t>
            </w:r>
          </w:p>
        </w:tc>
        <w:tc>
          <w:tcPr>
            <w:tcW w:type="dxa" w:w="2484"/>
            <w:vAlign w:val="center"/>
          </w:tcPr>
          <w:p>
            <w:pPr>
              <w:spacing w:after="0"/>
            </w:pPr>
            <w:r/>
            <w:r>
              <w:rPr>
                <w:b w:val="0"/>
                <w:sz w:val="16"/>
              </w:rPr>
              <w:t>Treatment Exposure Listing</w:t>
            </w:r>
          </w:p>
        </w:tc>
        <w:tc>
          <w:tcPr>
            <w:tcW w:type="dxa" w:w="2484"/>
            <w:vAlign w:val="center"/>
          </w:tcPr>
          <w:p>
            <w:pPr>
              <w:spacing w:after="0"/>
            </w:pPr>
            <w:r/>
            <w:r>
              <w:rPr>
                <w:b w:val="0"/>
                <w:sz w:val="16"/>
              </w:rPr>
              <w:t>Safety</w:t>
            </w:r>
          </w:p>
        </w:tc>
        <w:tc>
          <w:tcPr>
            <w:tcW w:type="dxa" w:w="2484"/>
            <w:vAlign w:val="center"/>
          </w:tcPr>
          <w:p>
            <w:pPr>
              <w:spacing w:after="0"/>
            </w:pPr>
            <w:r/>
            <w:r>
              <w:rPr>
                <w:b w:val="0"/>
                <w:sz w:val="16"/>
              </w:rPr>
              <w:t>ADSL / EX</w:t>
            </w:r>
          </w:p>
        </w:tc>
      </w:tr>
      <w:tr>
        <w:trPr>
          <w:trHeight w:hRule="atLeast"/>
        </w:trPr>
        <w:tc>
          <w:tcPr>
            <w:tcW w:type="dxa" w:w="2484"/>
            <w:vAlign w:val="center"/>
          </w:tcPr>
          <w:p>
            <w:pPr>
              <w:spacing w:after="0"/>
            </w:pPr>
            <w:r/>
            <w:r>
              <w:rPr>
                <w:b w:val="0"/>
                <w:sz w:val="16"/>
              </w:rPr>
              <w:t>16.2.3</w:t>
            </w:r>
          </w:p>
        </w:tc>
        <w:tc>
          <w:tcPr>
            <w:tcW w:type="dxa" w:w="2484"/>
            <w:vAlign w:val="center"/>
          </w:tcPr>
          <w:p>
            <w:pPr>
              <w:spacing w:after="0"/>
            </w:pPr>
            <w:r/>
            <w:r>
              <w:rPr>
                <w:b w:val="0"/>
                <w:sz w:val="16"/>
              </w:rPr>
              <w:t>Vital Signs Listing</w:t>
            </w:r>
          </w:p>
        </w:tc>
        <w:tc>
          <w:tcPr>
            <w:tcW w:type="dxa" w:w="2484"/>
            <w:vAlign w:val="center"/>
          </w:tcPr>
          <w:p>
            <w:pPr>
              <w:spacing w:after="0"/>
            </w:pPr>
            <w:r/>
            <w:r>
              <w:rPr>
                <w:b w:val="0"/>
                <w:sz w:val="16"/>
              </w:rPr>
              <w:t>Safety</w:t>
            </w:r>
          </w:p>
        </w:tc>
        <w:tc>
          <w:tcPr>
            <w:tcW w:type="dxa" w:w="2484"/>
            <w:vAlign w:val="center"/>
          </w:tcPr>
          <w:p>
            <w:pPr>
              <w:spacing w:after="0"/>
            </w:pPr>
            <w:r/>
            <w:r>
              <w:rPr>
                <w:b w:val="0"/>
                <w:sz w:val="16"/>
              </w:rPr>
              <w:t>ADVS</w:t>
            </w:r>
          </w:p>
        </w:tc>
      </w:tr>
      <w:tr>
        <w:trPr>
          <w:trHeight w:hRule="atLeast"/>
        </w:trPr>
        <w:tc>
          <w:tcPr>
            <w:tcW w:type="dxa" w:w="2484"/>
            <w:vAlign w:val="center"/>
          </w:tcPr>
          <w:p>
            <w:pPr>
              <w:spacing w:after="0"/>
            </w:pPr>
            <w:r/>
            <w:r>
              <w:rPr>
                <w:b w:val="0"/>
                <w:sz w:val="16"/>
              </w:rPr>
              <w:t>16.2.4</w:t>
            </w:r>
          </w:p>
        </w:tc>
        <w:tc>
          <w:tcPr>
            <w:tcW w:type="dxa" w:w="2484"/>
            <w:vAlign w:val="center"/>
          </w:tcPr>
          <w:p>
            <w:pPr>
              <w:spacing w:after="0"/>
            </w:pPr>
            <w:r/>
            <w:r>
              <w:rPr>
                <w:b w:val="0"/>
                <w:sz w:val="16"/>
              </w:rPr>
              <w:t>Adverse Event Listing</w:t>
            </w:r>
          </w:p>
        </w:tc>
        <w:tc>
          <w:tcPr>
            <w:tcW w:type="dxa" w:w="2484"/>
            <w:vAlign w:val="center"/>
          </w:tcPr>
          <w:p>
            <w:pPr>
              <w:spacing w:after="0"/>
            </w:pPr>
            <w:r/>
            <w:r>
              <w:rPr>
                <w:b w:val="0"/>
                <w:sz w:val="16"/>
              </w:rPr>
              <w:t>Safety</w:t>
            </w:r>
          </w:p>
        </w:tc>
        <w:tc>
          <w:tcPr>
            <w:tcW w:type="dxa" w:w="2484"/>
            <w:vAlign w:val="center"/>
          </w:tcPr>
          <w:p>
            <w:pPr>
              <w:spacing w:after="0"/>
            </w:pPr>
            <w:r/>
            <w:r>
              <w:rPr>
                <w:b w:val="0"/>
                <w:sz w:val="16"/>
              </w:rPr>
              <w:t>ADAE</w:t>
            </w:r>
          </w:p>
        </w:tc>
      </w:tr>
      <w:tr>
        <w:trPr>
          <w:trHeight w:hRule="atLeast"/>
        </w:trPr>
        <w:tc>
          <w:tcPr>
            <w:tcW w:type="dxa" w:w="2484"/>
            <w:vAlign w:val="center"/>
          </w:tcPr>
          <w:p>
            <w:pPr>
              <w:spacing w:after="0"/>
            </w:pPr>
            <w:r/>
            <w:r>
              <w:rPr>
                <w:b w:val="0"/>
                <w:sz w:val="16"/>
              </w:rPr>
              <w:t>16.2.5</w:t>
            </w:r>
          </w:p>
        </w:tc>
        <w:tc>
          <w:tcPr>
            <w:tcW w:type="dxa" w:w="2484"/>
            <w:vAlign w:val="center"/>
          </w:tcPr>
          <w:p>
            <w:pPr>
              <w:spacing w:after="0"/>
            </w:pPr>
            <w:r/>
            <w:r>
              <w:rPr>
                <w:b w:val="0"/>
                <w:sz w:val="16"/>
              </w:rPr>
              <w:t>Laboratory Results Listing</w:t>
            </w:r>
          </w:p>
        </w:tc>
        <w:tc>
          <w:tcPr>
            <w:tcW w:type="dxa" w:w="2484"/>
            <w:vAlign w:val="center"/>
          </w:tcPr>
          <w:p>
            <w:pPr>
              <w:spacing w:after="0"/>
            </w:pPr>
            <w:r/>
            <w:r>
              <w:rPr>
                <w:b w:val="0"/>
                <w:sz w:val="16"/>
              </w:rPr>
              <w:t>Safety</w:t>
            </w:r>
          </w:p>
        </w:tc>
        <w:tc>
          <w:tcPr>
            <w:tcW w:type="dxa" w:w="2484"/>
            <w:vAlign w:val="center"/>
          </w:tcPr>
          <w:p>
            <w:pPr>
              <w:spacing w:after="0"/>
            </w:pPr>
            <w:r/>
            <w:r>
              <w:rPr>
                <w:b w:val="0"/>
                <w:sz w:val="16"/>
              </w:rPr>
              <w:t>ADLB</w:t>
            </w:r>
          </w:p>
        </w:tc>
      </w:tr>
    </w:tbl>
    <w:p>
      <w:pPr>
        <w:pStyle w:val="Heading2"/>
      </w:pPr>
      <w:r>
        <w:t>14.3 Planned Figures</w:t>
      </w:r>
    </w:p>
    <w:tbl>
      <w:tblPr>
        <w:tblStyle w:val="TableGrid"/>
        <w:tblW w:type="auto" w:w="0"/>
        <w:jc w:val="center"/>
        <w:tblLook w:firstColumn="1" w:firstRow="1" w:lastColumn="0" w:lastRow="0" w:noHBand="0" w:noVBand="1" w:val="04A0"/>
      </w:tblPr>
      <w:tblGrid>
        <w:gridCol w:w="2484"/>
        <w:gridCol w:w="2484"/>
        <w:gridCol w:w="2484"/>
        <w:gridCol w:w="2484"/>
      </w:tblGrid>
      <w:tr>
        <w:trPr>
          <w:trHeight w:hRule="atLeast"/>
          <w:tblHeader w:val="true"/>
        </w:trPr>
        <w:tc>
          <w:tcPr>
            <w:tcW w:type="dxa" w:w="2484"/>
            <w:vAlign w:val="center"/>
            <w:shd w:fill="B4C6E7"/>
          </w:tcPr>
          <w:p>
            <w:pPr>
              <w:spacing w:after="0"/>
            </w:pPr>
            <w:r/>
            <w:r>
              <w:rPr>
                <w:b/>
                <w:sz w:val="17"/>
              </w:rPr>
              <w:t>Number</w:t>
            </w:r>
          </w:p>
        </w:tc>
        <w:tc>
          <w:tcPr>
            <w:tcW w:type="dxa" w:w="2484"/>
            <w:vAlign w:val="center"/>
            <w:shd w:fill="B4C6E7"/>
          </w:tcPr>
          <w:p>
            <w:pPr>
              <w:spacing w:after="0"/>
            </w:pPr>
            <w:r/>
            <w:r>
              <w:rPr>
                <w:b/>
                <w:sz w:val="17"/>
              </w:rPr>
              <w:t>Title</w:t>
            </w:r>
          </w:p>
        </w:tc>
        <w:tc>
          <w:tcPr>
            <w:tcW w:type="dxa" w:w="2484"/>
            <w:vAlign w:val="center"/>
            <w:shd w:fill="B4C6E7"/>
          </w:tcPr>
          <w:p>
            <w:pPr>
              <w:spacing w:after="0"/>
            </w:pPr>
            <w:r/>
            <w:r>
              <w:rPr>
                <w:b/>
                <w:sz w:val="17"/>
              </w:rPr>
              <w:t>Population</w:t>
            </w:r>
          </w:p>
        </w:tc>
        <w:tc>
          <w:tcPr>
            <w:tcW w:type="dxa" w:w="2484"/>
            <w:vAlign w:val="center"/>
            <w:shd w:fill="B4C6E7"/>
          </w:tcPr>
          <w:p>
            <w:pPr>
              <w:spacing w:after="0"/>
            </w:pPr>
            <w:r/>
            <w:r>
              <w:rPr>
                <w:b/>
                <w:sz w:val="17"/>
              </w:rPr>
              <w:t>Source</w:t>
            </w:r>
          </w:p>
        </w:tc>
      </w:tr>
      <w:tr>
        <w:trPr>
          <w:trHeight w:hRule="atLeast"/>
        </w:trPr>
        <w:tc>
          <w:tcPr>
            <w:tcW w:type="dxa" w:w="2484"/>
            <w:vAlign w:val="center"/>
          </w:tcPr>
          <w:p>
            <w:pPr>
              <w:spacing w:after="0"/>
            </w:pPr>
            <w:r/>
            <w:r>
              <w:rPr>
                <w:b w:val="0"/>
                <w:sz w:val="16"/>
              </w:rPr>
              <w:t>14.2.1</w:t>
            </w:r>
          </w:p>
        </w:tc>
        <w:tc>
          <w:tcPr>
            <w:tcW w:type="dxa" w:w="2484"/>
            <w:vAlign w:val="center"/>
          </w:tcPr>
          <w:p>
            <w:pPr>
              <w:spacing w:after="0"/>
            </w:pPr>
            <w:r/>
            <w:r>
              <w:rPr>
                <w:b w:val="0"/>
                <w:sz w:val="16"/>
              </w:rPr>
              <w:t>Mean SBP Over Time</w:t>
            </w:r>
          </w:p>
        </w:tc>
        <w:tc>
          <w:tcPr>
            <w:tcW w:type="dxa" w:w="2484"/>
            <w:vAlign w:val="center"/>
          </w:tcPr>
          <w:p>
            <w:pPr>
              <w:spacing w:after="0"/>
            </w:pPr>
            <w:r/>
            <w:r>
              <w:rPr>
                <w:b w:val="0"/>
                <w:sz w:val="16"/>
              </w:rPr>
              <w:t>FAS</w:t>
            </w:r>
          </w:p>
        </w:tc>
        <w:tc>
          <w:tcPr>
            <w:tcW w:type="dxa" w:w="2484"/>
            <w:vAlign w:val="center"/>
          </w:tcPr>
          <w:p>
            <w:pPr>
              <w:spacing w:after="0"/>
            </w:pPr>
            <w:r/>
            <w:r>
              <w:rPr>
                <w:b w:val="0"/>
                <w:sz w:val="16"/>
              </w:rPr>
              <w:t>ADVS</w:t>
            </w:r>
          </w:p>
        </w:tc>
      </w:tr>
      <w:tr>
        <w:trPr>
          <w:trHeight w:hRule="atLeast"/>
        </w:trPr>
        <w:tc>
          <w:tcPr>
            <w:tcW w:type="dxa" w:w="2484"/>
            <w:vAlign w:val="center"/>
          </w:tcPr>
          <w:p>
            <w:pPr>
              <w:spacing w:after="0"/>
            </w:pPr>
            <w:r/>
            <w:r>
              <w:rPr>
                <w:b w:val="0"/>
                <w:sz w:val="16"/>
              </w:rPr>
              <w:t>14.2.2</w:t>
            </w:r>
          </w:p>
        </w:tc>
        <w:tc>
          <w:tcPr>
            <w:tcW w:type="dxa" w:w="2484"/>
            <w:vAlign w:val="center"/>
          </w:tcPr>
          <w:p>
            <w:pPr>
              <w:spacing w:after="0"/>
            </w:pPr>
            <w:r/>
            <w:r>
              <w:rPr>
                <w:b w:val="0"/>
                <w:sz w:val="16"/>
              </w:rPr>
              <w:t>Mean DBP Over Time</w:t>
            </w:r>
          </w:p>
        </w:tc>
        <w:tc>
          <w:tcPr>
            <w:tcW w:type="dxa" w:w="2484"/>
            <w:vAlign w:val="center"/>
          </w:tcPr>
          <w:p>
            <w:pPr>
              <w:spacing w:after="0"/>
            </w:pPr>
            <w:r/>
            <w:r>
              <w:rPr>
                <w:b w:val="0"/>
                <w:sz w:val="16"/>
              </w:rPr>
              <w:t>FAS</w:t>
            </w:r>
          </w:p>
        </w:tc>
        <w:tc>
          <w:tcPr>
            <w:tcW w:type="dxa" w:w="2484"/>
            <w:vAlign w:val="center"/>
          </w:tcPr>
          <w:p>
            <w:pPr>
              <w:spacing w:after="0"/>
            </w:pPr>
            <w:r/>
            <w:r>
              <w:rPr>
                <w:b w:val="0"/>
                <w:sz w:val="16"/>
              </w:rPr>
              <w:t>ADVS</w:t>
            </w:r>
          </w:p>
        </w:tc>
      </w:tr>
      <w:tr>
        <w:trPr>
          <w:trHeight w:hRule="atLeast"/>
        </w:trPr>
        <w:tc>
          <w:tcPr>
            <w:tcW w:type="dxa" w:w="2484"/>
            <w:vAlign w:val="center"/>
          </w:tcPr>
          <w:p>
            <w:pPr>
              <w:spacing w:after="0"/>
            </w:pPr>
            <w:r/>
            <w:r>
              <w:rPr>
                <w:b w:val="0"/>
                <w:sz w:val="16"/>
              </w:rPr>
              <w:t>14.2.3</w:t>
            </w:r>
          </w:p>
        </w:tc>
        <w:tc>
          <w:tcPr>
            <w:tcW w:type="dxa" w:w="2484"/>
            <w:vAlign w:val="center"/>
          </w:tcPr>
          <w:p>
            <w:pPr>
              <w:spacing w:after="0"/>
            </w:pPr>
            <w:r/>
            <w:r>
              <w:rPr>
                <w:b w:val="0"/>
                <w:sz w:val="16"/>
              </w:rPr>
              <w:t>Mean Pulse Over Time</w:t>
            </w:r>
          </w:p>
        </w:tc>
        <w:tc>
          <w:tcPr>
            <w:tcW w:type="dxa" w:w="2484"/>
            <w:vAlign w:val="center"/>
          </w:tcPr>
          <w:p>
            <w:pPr>
              <w:spacing w:after="0"/>
            </w:pPr>
            <w:r/>
            <w:r>
              <w:rPr>
                <w:b w:val="0"/>
                <w:sz w:val="16"/>
              </w:rPr>
              <w:t>FAS</w:t>
            </w:r>
          </w:p>
        </w:tc>
        <w:tc>
          <w:tcPr>
            <w:tcW w:type="dxa" w:w="2484"/>
            <w:vAlign w:val="center"/>
          </w:tcPr>
          <w:p>
            <w:pPr>
              <w:spacing w:after="0"/>
            </w:pPr>
            <w:r/>
            <w:r>
              <w:rPr>
                <w:b w:val="0"/>
                <w:sz w:val="16"/>
              </w:rPr>
              <w:t>ADVS</w:t>
            </w:r>
          </w:p>
        </w:tc>
      </w:tr>
      <w:tr>
        <w:trPr>
          <w:trHeight w:hRule="atLeast"/>
        </w:trPr>
        <w:tc>
          <w:tcPr>
            <w:tcW w:type="dxa" w:w="2484"/>
            <w:vAlign w:val="center"/>
          </w:tcPr>
          <w:p>
            <w:pPr>
              <w:spacing w:after="0"/>
            </w:pPr>
            <w:r/>
            <w:r>
              <w:rPr>
                <w:b w:val="0"/>
                <w:sz w:val="16"/>
              </w:rPr>
              <w:t>14.3.1</w:t>
            </w:r>
          </w:p>
        </w:tc>
        <w:tc>
          <w:tcPr>
            <w:tcW w:type="dxa" w:w="2484"/>
            <w:vAlign w:val="center"/>
          </w:tcPr>
          <w:p>
            <w:pPr>
              <w:spacing w:after="0"/>
            </w:pPr>
            <w:r/>
            <w:r>
              <w:rPr>
                <w:b w:val="0"/>
                <w:sz w:val="16"/>
              </w:rPr>
              <w:t>Treatment-Emergent Adverse Events by Severity</w:t>
            </w:r>
          </w:p>
        </w:tc>
        <w:tc>
          <w:tcPr>
            <w:tcW w:type="dxa" w:w="2484"/>
            <w:vAlign w:val="center"/>
          </w:tcPr>
          <w:p>
            <w:pPr>
              <w:spacing w:after="0"/>
            </w:pPr>
            <w:r/>
            <w:r>
              <w:rPr>
                <w:b w:val="0"/>
                <w:sz w:val="16"/>
              </w:rPr>
              <w:t>Safety</w:t>
            </w:r>
          </w:p>
        </w:tc>
        <w:tc>
          <w:tcPr>
            <w:tcW w:type="dxa" w:w="2484"/>
            <w:vAlign w:val="center"/>
          </w:tcPr>
          <w:p>
            <w:pPr>
              <w:spacing w:after="0"/>
            </w:pPr>
            <w:r/>
            <w:r>
              <w:rPr>
                <w:b w:val="0"/>
                <w:sz w:val="16"/>
              </w:rPr>
              <w:t>ADAE</w:t>
            </w:r>
          </w:p>
        </w:tc>
      </w:tr>
      <w:tr>
        <w:trPr>
          <w:trHeight w:hRule="atLeast"/>
        </w:trPr>
        <w:tc>
          <w:tcPr>
            <w:tcW w:type="dxa" w:w="2484"/>
            <w:vAlign w:val="center"/>
          </w:tcPr>
          <w:p>
            <w:pPr>
              <w:spacing w:after="0"/>
            </w:pPr>
            <w:r/>
            <w:r>
              <w:rPr>
                <w:b w:val="0"/>
                <w:sz w:val="16"/>
              </w:rPr>
              <w:t>14.4.1</w:t>
            </w:r>
          </w:p>
        </w:tc>
        <w:tc>
          <w:tcPr>
            <w:tcW w:type="dxa" w:w="2484"/>
            <w:vAlign w:val="center"/>
          </w:tcPr>
          <w:p>
            <w:pPr>
              <w:spacing w:after="0"/>
            </w:pPr>
            <w:r/>
            <w:r>
              <w:rPr>
                <w:b w:val="0"/>
                <w:sz w:val="16"/>
              </w:rPr>
              <w:t>Selected Laboratory Trends Over Time</w:t>
            </w:r>
          </w:p>
        </w:tc>
        <w:tc>
          <w:tcPr>
            <w:tcW w:type="dxa" w:w="2484"/>
            <w:vAlign w:val="center"/>
          </w:tcPr>
          <w:p>
            <w:pPr>
              <w:spacing w:after="0"/>
            </w:pPr>
            <w:r/>
            <w:r>
              <w:rPr>
                <w:b w:val="0"/>
                <w:sz w:val="16"/>
              </w:rPr>
              <w:t>Safety</w:t>
            </w:r>
          </w:p>
        </w:tc>
        <w:tc>
          <w:tcPr>
            <w:tcW w:type="dxa" w:w="2484"/>
            <w:vAlign w:val="center"/>
          </w:tcPr>
          <w:p>
            <w:pPr>
              <w:spacing w:after="0"/>
            </w:pPr>
            <w:r/>
            <w:r>
              <w:rPr>
                <w:b w:val="0"/>
                <w:sz w:val="16"/>
              </w:rPr>
              <w:t>ADLB</w:t>
            </w:r>
          </w:p>
        </w:tc>
      </w:tr>
    </w:tbl>
    <w:p>
      <w:pPr>
        <w:pStyle w:val="Heading1"/>
      </w:pPr>
      <w:r>
        <w:t>15. Quality Control and Validation</w:t>
      </w:r>
    </w:p>
    <w:p>
      <w:pPr>
        <w:spacing w:after="100"/>
      </w:pPr>
      <w:r>
        <w:t>All key ADaM datasets and TLF outputs will undergo documented QC. Validation will be risk-based and proportional to the mock project scope.</w:t>
      </w:r>
    </w:p>
    <w:p>
      <w:pPr>
        <w:pStyle w:val="ListBullet"/>
        <w:spacing w:after="40"/>
      </w:pPr>
      <w:r>
        <w:t>Confirm expected subject counts by treatment and analysis population.</w:t>
      </w:r>
    </w:p>
    <w:p>
      <w:pPr>
        <w:pStyle w:val="ListBullet"/>
        <w:spacing w:after="40"/>
      </w:pPr>
      <w:r>
        <w:t>Check uniqueness of key variables in ADSL and analysis keys in BDS datasets.</w:t>
      </w:r>
    </w:p>
    <w:p>
      <w:pPr>
        <w:pStyle w:val="ListBullet"/>
        <w:spacing w:after="40"/>
      </w:pPr>
      <w:r>
        <w:t>Verify treatment dates, duration, baseline selection, and change-from-baseline calculations.</w:t>
      </w:r>
    </w:p>
    <w:p>
      <w:pPr>
        <w:pStyle w:val="ListBullet"/>
        <w:spacing w:after="40"/>
      </w:pPr>
      <w:r>
        <w:t>Verify percentages and denominators against source data.</w:t>
      </w:r>
    </w:p>
    <w:p>
      <w:pPr>
        <w:pStyle w:val="ListBullet"/>
        <w:spacing w:after="40"/>
      </w:pPr>
      <w:r>
        <w:t>Independently reproduce critical tables, especially the primary SBP table and overall AE summary.</w:t>
      </w:r>
    </w:p>
    <w:p>
      <w:pPr>
        <w:pStyle w:val="ListBullet"/>
        <w:spacing w:after="40"/>
      </w:pPr>
      <w:r>
        <w:t>Use PROC COMPARE for production and QC datasets or final reporting datasets.</w:t>
      </w:r>
    </w:p>
    <w:p>
      <w:pPr>
        <w:pStyle w:val="ListBullet"/>
        <w:spacing w:after="40"/>
      </w:pPr>
      <w:r>
        <w:t>Review titles, footnotes, pagination, decimal precision, and shell compliance.</w:t>
      </w:r>
    </w:p>
    <w:p>
      <w:pPr>
        <w:pStyle w:val="ListBullet"/>
        <w:spacing w:after="40"/>
      </w:pPr>
      <w:r>
        <w:t>Review SAS logs for errors, warnings, uninitialized variables, and unexpected notes.</w:t>
      </w:r>
    </w:p>
    <w:p>
      <w:pPr>
        <w:pStyle w:val="Heading1"/>
      </w:pPr>
      <w:r>
        <w:t>16. References</w:t>
      </w:r>
    </w:p>
    <w:p>
      <w:pPr>
        <w:pStyle w:val="ListBullet"/>
        <w:spacing w:after="40"/>
      </w:pPr>
      <w:r>
        <w:t>HTN001 Protocol, Version 1.0, dated 07-Jul-2026.</w:t>
      </w:r>
    </w:p>
    <w:p>
      <w:pPr>
        <w:pStyle w:val="ListBullet"/>
        <w:spacing w:after="40"/>
      </w:pPr>
      <w:r>
        <w:t>HTN001 Case Report Form, Version 1.0.</w:t>
      </w:r>
    </w:p>
    <w:p>
      <w:pPr>
        <w:pStyle w:val="ListBullet"/>
        <w:spacing w:after="40"/>
      </w:pPr>
      <w:r>
        <w:t>HTN001 Variable Specification and mock raw database.</w:t>
      </w:r>
    </w:p>
    <w:p>
      <w:pPr>
        <w:pStyle w:val="ListBullet"/>
        <w:spacing w:after="40"/>
      </w:pPr>
      <w:r>
        <w:t>CDISC SDTM and ADaM implementation principles used for the project.</w:t>
      </w:r>
    </w:p>
    <w:p>
      <w:pPr>
        <w:pStyle w:val="ListBullet"/>
        <w:spacing w:after="40"/>
      </w:pPr>
      <w:r>
        <w:t>SAS 9.4 documentation.</w:t>
      </w:r>
    </w:p>
    <w:p>
      <w:r>
        <w:br w:type="page"/>
      </w:r>
    </w:p>
    <w:p>
      <w:pPr>
        <w:pStyle w:val="Heading1"/>
      </w:pPr>
      <w:r>
        <w:t>Appendix A. Analysis Variable Requirements</w:t>
      </w:r>
    </w:p>
    <w:tbl>
      <w:tblPr>
        <w:tblStyle w:val="TableGrid"/>
        <w:tblW w:type="auto" w:w="0"/>
        <w:jc w:val="center"/>
        <w:tblLook w:firstColumn="1" w:firstRow="1" w:lastColumn="0" w:lastRow="0" w:noHBand="0" w:noVBand="1" w:val="04A0"/>
      </w:tblPr>
      <w:tblGrid>
        <w:gridCol w:w="3312"/>
        <w:gridCol w:w="3312"/>
        <w:gridCol w:w="3312"/>
      </w:tblGrid>
      <w:tr>
        <w:trPr>
          <w:trHeight w:hRule="atLeast"/>
          <w:tblHeader w:val="true"/>
        </w:trPr>
        <w:tc>
          <w:tcPr>
            <w:tcW w:type="dxa" w:w="3312"/>
            <w:vAlign w:val="center"/>
            <w:shd w:fill="B4C6E7"/>
          </w:tcPr>
          <w:p>
            <w:pPr>
              <w:spacing w:after="0"/>
            </w:pPr>
            <w:r/>
            <w:r>
              <w:rPr>
                <w:b/>
                <w:sz w:val="17"/>
              </w:rPr>
              <w:t>Dataset</w:t>
            </w:r>
          </w:p>
        </w:tc>
        <w:tc>
          <w:tcPr>
            <w:tcW w:type="dxa" w:w="3312"/>
            <w:vAlign w:val="center"/>
            <w:shd w:fill="B4C6E7"/>
          </w:tcPr>
          <w:p>
            <w:pPr>
              <w:spacing w:after="0"/>
            </w:pPr>
            <w:r/>
            <w:r>
              <w:rPr>
                <w:b/>
                <w:sz w:val="17"/>
              </w:rPr>
              <w:t>Variable(s)</w:t>
            </w:r>
          </w:p>
        </w:tc>
        <w:tc>
          <w:tcPr>
            <w:tcW w:type="dxa" w:w="3312"/>
            <w:vAlign w:val="center"/>
            <w:shd w:fill="B4C6E7"/>
          </w:tcPr>
          <w:p>
            <w:pPr>
              <w:spacing w:after="0"/>
            </w:pPr>
            <w:r/>
            <w:r>
              <w:rPr>
                <w:b/>
                <w:sz w:val="17"/>
              </w:rPr>
              <w:t>Purpose</w:t>
            </w:r>
          </w:p>
        </w:tc>
      </w:tr>
      <w:tr>
        <w:trPr>
          <w:trHeight w:hRule="atLeast"/>
        </w:trPr>
        <w:tc>
          <w:tcPr>
            <w:tcW w:type="dxa" w:w="3312"/>
            <w:vAlign w:val="center"/>
          </w:tcPr>
          <w:p>
            <w:pPr>
              <w:spacing w:after="0"/>
            </w:pPr>
            <w:r/>
            <w:r>
              <w:rPr>
                <w:b w:val="0"/>
                <w:sz w:val="16"/>
              </w:rPr>
              <w:t>ADSL</w:t>
            </w:r>
          </w:p>
        </w:tc>
        <w:tc>
          <w:tcPr>
            <w:tcW w:type="dxa" w:w="3312"/>
            <w:vAlign w:val="center"/>
          </w:tcPr>
          <w:p>
            <w:pPr>
              <w:spacing w:after="0"/>
            </w:pPr>
            <w:r/>
            <w:r>
              <w:rPr>
                <w:b w:val="0"/>
                <w:sz w:val="16"/>
              </w:rPr>
              <w:t>TRT01P / TRT01PN</w:t>
            </w:r>
          </w:p>
        </w:tc>
        <w:tc>
          <w:tcPr>
            <w:tcW w:type="dxa" w:w="3312"/>
            <w:vAlign w:val="center"/>
          </w:tcPr>
          <w:p>
            <w:pPr>
              <w:spacing w:after="0"/>
            </w:pPr>
            <w:r/>
            <w:r>
              <w:rPr>
                <w:b w:val="0"/>
                <w:sz w:val="16"/>
              </w:rPr>
              <w:t>Planned treatment and numeric code</w:t>
            </w:r>
          </w:p>
        </w:tc>
      </w:tr>
      <w:tr>
        <w:trPr>
          <w:trHeight w:hRule="atLeast"/>
        </w:trPr>
        <w:tc>
          <w:tcPr>
            <w:tcW w:type="dxa" w:w="3312"/>
            <w:vAlign w:val="center"/>
          </w:tcPr>
          <w:p>
            <w:pPr>
              <w:spacing w:after="0"/>
            </w:pPr>
            <w:r/>
            <w:r>
              <w:rPr>
                <w:b w:val="0"/>
                <w:sz w:val="16"/>
              </w:rPr>
              <w:t>ADSL</w:t>
            </w:r>
          </w:p>
        </w:tc>
        <w:tc>
          <w:tcPr>
            <w:tcW w:type="dxa" w:w="3312"/>
            <w:vAlign w:val="center"/>
          </w:tcPr>
          <w:p>
            <w:pPr>
              <w:spacing w:after="0"/>
            </w:pPr>
            <w:r/>
            <w:r>
              <w:rPr>
                <w:b w:val="0"/>
                <w:sz w:val="16"/>
              </w:rPr>
              <w:t>TRT01A / TRT01AN</w:t>
            </w:r>
          </w:p>
        </w:tc>
        <w:tc>
          <w:tcPr>
            <w:tcW w:type="dxa" w:w="3312"/>
            <w:vAlign w:val="center"/>
          </w:tcPr>
          <w:p>
            <w:pPr>
              <w:spacing w:after="0"/>
            </w:pPr>
            <w:r/>
            <w:r>
              <w:rPr>
                <w:b w:val="0"/>
                <w:sz w:val="16"/>
              </w:rPr>
              <w:t>Actual treatment and numeric code</w:t>
            </w:r>
          </w:p>
        </w:tc>
      </w:tr>
      <w:tr>
        <w:trPr>
          <w:trHeight w:hRule="atLeast"/>
        </w:trPr>
        <w:tc>
          <w:tcPr>
            <w:tcW w:type="dxa" w:w="3312"/>
            <w:vAlign w:val="center"/>
          </w:tcPr>
          <w:p>
            <w:pPr>
              <w:spacing w:after="0"/>
            </w:pPr>
            <w:r/>
            <w:r>
              <w:rPr>
                <w:b w:val="0"/>
                <w:sz w:val="16"/>
              </w:rPr>
              <w:t>ADSL</w:t>
            </w:r>
          </w:p>
        </w:tc>
        <w:tc>
          <w:tcPr>
            <w:tcW w:type="dxa" w:w="3312"/>
            <w:vAlign w:val="center"/>
          </w:tcPr>
          <w:p>
            <w:pPr>
              <w:spacing w:after="0"/>
            </w:pPr>
            <w:r/>
            <w:r>
              <w:rPr>
                <w:b w:val="0"/>
                <w:sz w:val="16"/>
              </w:rPr>
              <w:t>TRTSDT / TRTEDT</w:t>
            </w:r>
          </w:p>
        </w:tc>
        <w:tc>
          <w:tcPr>
            <w:tcW w:type="dxa" w:w="3312"/>
            <w:vAlign w:val="center"/>
          </w:tcPr>
          <w:p>
            <w:pPr>
              <w:spacing w:after="0"/>
            </w:pPr>
            <w:r/>
            <w:r>
              <w:rPr>
                <w:b w:val="0"/>
                <w:sz w:val="16"/>
              </w:rPr>
              <w:t>First and last treatment dates</w:t>
            </w:r>
          </w:p>
        </w:tc>
      </w:tr>
      <w:tr>
        <w:trPr>
          <w:trHeight w:hRule="atLeast"/>
        </w:trPr>
        <w:tc>
          <w:tcPr>
            <w:tcW w:type="dxa" w:w="3312"/>
            <w:vAlign w:val="center"/>
          </w:tcPr>
          <w:p>
            <w:pPr>
              <w:spacing w:after="0"/>
            </w:pPr>
            <w:r/>
            <w:r>
              <w:rPr>
                <w:b w:val="0"/>
                <w:sz w:val="16"/>
              </w:rPr>
              <w:t>ADSL</w:t>
            </w:r>
          </w:p>
        </w:tc>
        <w:tc>
          <w:tcPr>
            <w:tcW w:type="dxa" w:w="3312"/>
            <w:vAlign w:val="center"/>
          </w:tcPr>
          <w:p>
            <w:pPr>
              <w:spacing w:after="0"/>
            </w:pPr>
            <w:r/>
            <w:r>
              <w:rPr>
                <w:b w:val="0"/>
                <w:sz w:val="16"/>
              </w:rPr>
              <w:t>TRTDURD</w:t>
            </w:r>
          </w:p>
        </w:tc>
        <w:tc>
          <w:tcPr>
            <w:tcW w:type="dxa" w:w="3312"/>
            <w:vAlign w:val="center"/>
          </w:tcPr>
          <w:p>
            <w:pPr>
              <w:spacing w:after="0"/>
            </w:pPr>
            <w:r/>
            <w:r>
              <w:rPr>
                <w:b w:val="0"/>
                <w:sz w:val="16"/>
              </w:rPr>
              <w:t>Treatment duration in days</w:t>
            </w:r>
          </w:p>
        </w:tc>
      </w:tr>
      <w:tr>
        <w:trPr>
          <w:trHeight w:hRule="atLeast"/>
        </w:trPr>
        <w:tc>
          <w:tcPr>
            <w:tcW w:type="dxa" w:w="3312"/>
            <w:vAlign w:val="center"/>
          </w:tcPr>
          <w:p>
            <w:pPr>
              <w:spacing w:after="0"/>
            </w:pPr>
            <w:r/>
            <w:r>
              <w:rPr>
                <w:b w:val="0"/>
                <w:sz w:val="16"/>
              </w:rPr>
              <w:t>ADSL</w:t>
            </w:r>
          </w:p>
        </w:tc>
        <w:tc>
          <w:tcPr>
            <w:tcW w:type="dxa" w:w="3312"/>
            <w:vAlign w:val="center"/>
          </w:tcPr>
          <w:p>
            <w:pPr>
              <w:spacing w:after="0"/>
            </w:pPr>
            <w:r/>
            <w:r>
              <w:rPr>
                <w:b w:val="0"/>
                <w:sz w:val="16"/>
              </w:rPr>
              <w:t>SAFFL</w:t>
            </w:r>
          </w:p>
        </w:tc>
        <w:tc>
          <w:tcPr>
            <w:tcW w:type="dxa" w:w="3312"/>
            <w:vAlign w:val="center"/>
          </w:tcPr>
          <w:p>
            <w:pPr>
              <w:spacing w:after="0"/>
            </w:pPr>
            <w:r/>
            <w:r>
              <w:rPr>
                <w:b w:val="0"/>
                <w:sz w:val="16"/>
              </w:rPr>
              <w:t>Safety Population flag</w:t>
            </w:r>
          </w:p>
        </w:tc>
      </w:tr>
      <w:tr>
        <w:trPr>
          <w:trHeight w:hRule="atLeast"/>
        </w:trPr>
        <w:tc>
          <w:tcPr>
            <w:tcW w:type="dxa" w:w="3312"/>
            <w:vAlign w:val="center"/>
          </w:tcPr>
          <w:p>
            <w:pPr>
              <w:spacing w:after="0"/>
            </w:pPr>
            <w:r/>
            <w:r>
              <w:rPr>
                <w:b w:val="0"/>
                <w:sz w:val="16"/>
              </w:rPr>
              <w:t>ADSL</w:t>
            </w:r>
          </w:p>
        </w:tc>
        <w:tc>
          <w:tcPr>
            <w:tcW w:type="dxa" w:w="3312"/>
            <w:vAlign w:val="center"/>
          </w:tcPr>
          <w:p>
            <w:pPr>
              <w:spacing w:after="0"/>
            </w:pPr>
            <w:r/>
            <w:r>
              <w:rPr>
                <w:b w:val="0"/>
                <w:sz w:val="16"/>
              </w:rPr>
              <w:t>FASFL</w:t>
            </w:r>
          </w:p>
        </w:tc>
        <w:tc>
          <w:tcPr>
            <w:tcW w:type="dxa" w:w="3312"/>
            <w:vAlign w:val="center"/>
          </w:tcPr>
          <w:p>
            <w:pPr>
              <w:spacing w:after="0"/>
            </w:pPr>
            <w:r/>
            <w:r>
              <w:rPr>
                <w:b w:val="0"/>
                <w:sz w:val="16"/>
              </w:rPr>
              <w:t>Full Analysis Set flag</w:t>
            </w:r>
          </w:p>
        </w:tc>
      </w:tr>
      <w:tr>
        <w:trPr>
          <w:trHeight w:hRule="atLeast"/>
        </w:trPr>
        <w:tc>
          <w:tcPr>
            <w:tcW w:type="dxa" w:w="3312"/>
            <w:vAlign w:val="center"/>
          </w:tcPr>
          <w:p>
            <w:pPr>
              <w:spacing w:after="0"/>
            </w:pPr>
            <w:r/>
            <w:r>
              <w:rPr>
                <w:b w:val="0"/>
                <w:sz w:val="16"/>
              </w:rPr>
              <w:t>ADSL</w:t>
            </w:r>
          </w:p>
        </w:tc>
        <w:tc>
          <w:tcPr>
            <w:tcW w:type="dxa" w:w="3312"/>
            <w:vAlign w:val="center"/>
          </w:tcPr>
          <w:p>
            <w:pPr>
              <w:spacing w:after="0"/>
            </w:pPr>
            <w:r/>
            <w:r>
              <w:rPr>
                <w:b w:val="0"/>
                <w:sz w:val="16"/>
              </w:rPr>
              <w:t>PPSFL</w:t>
            </w:r>
          </w:p>
        </w:tc>
        <w:tc>
          <w:tcPr>
            <w:tcW w:type="dxa" w:w="3312"/>
            <w:vAlign w:val="center"/>
          </w:tcPr>
          <w:p>
            <w:pPr>
              <w:spacing w:after="0"/>
            </w:pPr>
            <w:r/>
            <w:r>
              <w:rPr>
                <w:b w:val="0"/>
                <w:sz w:val="16"/>
              </w:rPr>
              <w:t>Per-Protocol Set flag</w:t>
            </w:r>
          </w:p>
        </w:tc>
      </w:tr>
      <w:tr>
        <w:trPr>
          <w:trHeight w:hRule="atLeast"/>
        </w:trPr>
        <w:tc>
          <w:tcPr>
            <w:tcW w:type="dxa" w:w="3312"/>
            <w:vAlign w:val="center"/>
          </w:tcPr>
          <w:p>
            <w:pPr>
              <w:spacing w:after="0"/>
            </w:pPr>
            <w:r/>
            <w:r>
              <w:rPr>
                <w:b w:val="0"/>
                <w:sz w:val="16"/>
              </w:rPr>
              <w:t>ADSL</w:t>
            </w:r>
          </w:p>
        </w:tc>
        <w:tc>
          <w:tcPr>
            <w:tcW w:type="dxa" w:w="3312"/>
            <w:vAlign w:val="center"/>
          </w:tcPr>
          <w:p>
            <w:pPr>
              <w:spacing w:after="0"/>
            </w:pPr>
            <w:r/>
            <w:r>
              <w:rPr>
                <w:b w:val="0"/>
                <w:sz w:val="16"/>
              </w:rPr>
              <w:t>COMPFL</w:t>
            </w:r>
          </w:p>
        </w:tc>
        <w:tc>
          <w:tcPr>
            <w:tcW w:type="dxa" w:w="3312"/>
            <w:vAlign w:val="center"/>
          </w:tcPr>
          <w:p>
            <w:pPr>
              <w:spacing w:after="0"/>
            </w:pPr>
            <w:r/>
            <w:r>
              <w:rPr>
                <w:b w:val="0"/>
                <w:sz w:val="16"/>
              </w:rPr>
              <w:t>Study completion flag</w:t>
            </w:r>
          </w:p>
        </w:tc>
      </w:tr>
      <w:tr>
        <w:trPr>
          <w:trHeight w:hRule="atLeast"/>
        </w:trPr>
        <w:tc>
          <w:tcPr>
            <w:tcW w:type="dxa" w:w="3312"/>
            <w:vAlign w:val="center"/>
          </w:tcPr>
          <w:p>
            <w:pPr>
              <w:spacing w:after="0"/>
            </w:pPr>
            <w:r/>
            <w:r>
              <w:rPr>
                <w:b w:val="0"/>
                <w:sz w:val="16"/>
              </w:rPr>
              <w:t>ADSL</w:t>
            </w:r>
          </w:p>
        </w:tc>
        <w:tc>
          <w:tcPr>
            <w:tcW w:type="dxa" w:w="3312"/>
            <w:vAlign w:val="center"/>
          </w:tcPr>
          <w:p>
            <w:pPr>
              <w:spacing w:after="0"/>
            </w:pPr>
            <w:r/>
            <w:r>
              <w:rPr>
                <w:b w:val="0"/>
                <w:sz w:val="16"/>
              </w:rPr>
              <w:t>AGEGR1 / AGEGR1N</w:t>
            </w:r>
          </w:p>
        </w:tc>
        <w:tc>
          <w:tcPr>
            <w:tcW w:type="dxa" w:w="3312"/>
            <w:vAlign w:val="center"/>
          </w:tcPr>
          <w:p>
            <w:pPr>
              <w:spacing w:after="0"/>
            </w:pPr>
            <w:r/>
            <w:r>
              <w:rPr>
                <w:b w:val="0"/>
                <w:sz w:val="16"/>
              </w:rPr>
              <w:t>Age group and numeric order</w:t>
            </w:r>
          </w:p>
        </w:tc>
      </w:tr>
      <w:tr>
        <w:trPr>
          <w:trHeight w:hRule="atLeast"/>
        </w:trPr>
        <w:tc>
          <w:tcPr>
            <w:tcW w:type="dxa" w:w="3312"/>
            <w:vAlign w:val="center"/>
          </w:tcPr>
          <w:p>
            <w:pPr>
              <w:spacing w:after="0"/>
            </w:pPr>
            <w:r/>
            <w:r>
              <w:rPr>
                <w:b w:val="0"/>
                <w:sz w:val="16"/>
              </w:rPr>
              <w:t>ADVS</w:t>
            </w:r>
          </w:p>
        </w:tc>
        <w:tc>
          <w:tcPr>
            <w:tcW w:type="dxa" w:w="3312"/>
            <w:vAlign w:val="center"/>
          </w:tcPr>
          <w:p>
            <w:pPr>
              <w:spacing w:after="0"/>
            </w:pPr>
            <w:r/>
            <w:r>
              <w:rPr>
                <w:b w:val="0"/>
                <w:sz w:val="16"/>
              </w:rPr>
              <w:t>PARAM / PARAMCD</w:t>
            </w:r>
          </w:p>
        </w:tc>
        <w:tc>
          <w:tcPr>
            <w:tcW w:type="dxa" w:w="3312"/>
            <w:vAlign w:val="center"/>
          </w:tcPr>
          <w:p>
            <w:pPr>
              <w:spacing w:after="0"/>
            </w:pPr>
            <w:r/>
            <w:r>
              <w:rPr>
                <w:b w:val="0"/>
                <w:sz w:val="16"/>
              </w:rPr>
              <w:t>Analysis parameter</w:t>
            </w:r>
          </w:p>
        </w:tc>
      </w:tr>
      <w:tr>
        <w:trPr>
          <w:trHeight w:hRule="atLeast"/>
        </w:trPr>
        <w:tc>
          <w:tcPr>
            <w:tcW w:type="dxa" w:w="3312"/>
            <w:vAlign w:val="center"/>
          </w:tcPr>
          <w:p>
            <w:pPr>
              <w:spacing w:after="0"/>
            </w:pPr>
            <w:r/>
            <w:r>
              <w:rPr>
                <w:b w:val="0"/>
                <w:sz w:val="16"/>
              </w:rPr>
              <w:t>ADVS</w:t>
            </w:r>
          </w:p>
        </w:tc>
        <w:tc>
          <w:tcPr>
            <w:tcW w:type="dxa" w:w="3312"/>
            <w:vAlign w:val="center"/>
          </w:tcPr>
          <w:p>
            <w:pPr>
              <w:spacing w:after="0"/>
            </w:pPr>
            <w:r/>
            <w:r>
              <w:rPr>
                <w:b w:val="0"/>
                <w:sz w:val="16"/>
              </w:rPr>
              <w:t>AVAL</w:t>
            </w:r>
          </w:p>
        </w:tc>
        <w:tc>
          <w:tcPr>
            <w:tcW w:type="dxa" w:w="3312"/>
            <w:vAlign w:val="center"/>
          </w:tcPr>
          <w:p>
            <w:pPr>
              <w:spacing w:after="0"/>
            </w:pPr>
            <w:r/>
            <w:r>
              <w:rPr>
                <w:b w:val="0"/>
                <w:sz w:val="16"/>
              </w:rPr>
              <w:t>Analysis value</w:t>
            </w:r>
          </w:p>
        </w:tc>
      </w:tr>
      <w:tr>
        <w:trPr>
          <w:trHeight w:hRule="atLeast"/>
        </w:trPr>
        <w:tc>
          <w:tcPr>
            <w:tcW w:type="dxa" w:w="3312"/>
            <w:vAlign w:val="center"/>
          </w:tcPr>
          <w:p>
            <w:pPr>
              <w:spacing w:after="0"/>
            </w:pPr>
            <w:r/>
            <w:r>
              <w:rPr>
                <w:b w:val="0"/>
                <w:sz w:val="16"/>
              </w:rPr>
              <w:t>ADVS</w:t>
            </w:r>
          </w:p>
        </w:tc>
        <w:tc>
          <w:tcPr>
            <w:tcW w:type="dxa" w:w="3312"/>
            <w:vAlign w:val="center"/>
          </w:tcPr>
          <w:p>
            <w:pPr>
              <w:spacing w:after="0"/>
            </w:pPr>
            <w:r/>
            <w:r>
              <w:rPr>
                <w:b w:val="0"/>
                <w:sz w:val="16"/>
              </w:rPr>
              <w:t>BASE</w:t>
            </w:r>
          </w:p>
        </w:tc>
        <w:tc>
          <w:tcPr>
            <w:tcW w:type="dxa" w:w="3312"/>
            <w:vAlign w:val="center"/>
          </w:tcPr>
          <w:p>
            <w:pPr>
              <w:spacing w:after="0"/>
            </w:pPr>
            <w:r/>
            <w:r>
              <w:rPr>
                <w:b w:val="0"/>
                <w:sz w:val="16"/>
              </w:rPr>
              <w:t>Baseline value</w:t>
            </w:r>
          </w:p>
        </w:tc>
      </w:tr>
      <w:tr>
        <w:trPr>
          <w:trHeight w:hRule="atLeast"/>
        </w:trPr>
        <w:tc>
          <w:tcPr>
            <w:tcW w:type="dxa" w:w="3312"/>
            <w:vAlign w:val="center"/>
          </w:tcPr>
          <w:p>
            <w:pPr>
              <w:spacing w:after="0"/>
            </w:pPr>
            <w:r/>
            <w:r>
              <w:rPr>
                <w:b w:val="0"/>
                <w:sz w:val="16"/>
              </w:rPr>
              <w:t>ADVS</w:t>
            </w:r>
          </w:p>
        </w:tc>
        <w:tc>
          <w:tcPr>
            <w:tcW w:type="dxa" w:w="3312"/>
            <w:vAlign w:val="center"/>
          </w:tcPr>
          <w:p>
            <w:pPr>
              <w:spacing w:after="0"/>
            </w:pPr>
            <w:r/>
            <w:r>
              <w:rPr>
                <w:b w:val="0"/>
                <w:sz w:val="16"/>
              </w:rPr>
              <w:t>CHG</w:t>
            </w:r>
          </w:p>
        </w:tc>
        <w:tc>
          <w:tcPr>
            <w:tcW w:type="dxa" w:w="3312"/>
            <w:vAlign w:val="center"/>
          </w:tcPr>
          <w:p>
            <w:pPr>
              <w:spacing w:after="0"/>
            </w:pPr>
            <w:r/>
            <w:r>
              <w:rPr>
                <w:b w:val="0"/>
                <w:sz w:val="16"/>
              </w:rPr>
              <w:t>Change from baseline</w:t>
            </w:r>
          </w:p>
        </w:tc>
      </w:tr>
      <w:tr>
        <w:trPr>
          <w:trHeight w:hRule="atLeast"/>
        </w:trPr>
        <w:tc>
          <w:tcPr>
            <w:tcW w:type="dxa" w:w="3312"/>
            <w:vAlign w:val="center"/>
          </w:tcPr>
          <w:p>
            <w:pPr>
              <w:spacing w:after="0"/>
            </w:pPr>
            <w:r/>
            <w:r>
              <w:rPr>
                <w:b w:val="0"/>
                <w:sz w:val="16"/>
              </w:rPr>
              <w:t>ADVS</w:t>
            </w:r>
          </w:p>
        </w:tc>
        <w:tc>
          <w:tcPr>
            <w:tcW w:type="dxa" w:w="3312"/>
            <w:vAlign w:val="center"/>
          </w:tcPr>
          <w:p>
            <w:pPr>
              <w:spacing w:after="0"/>
            </w:pPr>
            <w:r/>
            <w:r>
              <w:rPr>
                <w:b w:val="0"/>
                <w:sz w:val="16"/>
              </w:rPr>
              <w:t>AVISIT / AVISITN</w:t>
            </w:r>
          </w:p>
        </w:tc>
        <w:tc>
          <w:tcPr>
            <w:tcW w:type="dxa" w:w="3312"/>
            <w:vAlign w:val="center"/>
          </w:tcPr>
          <w:p>
            <w:pPr>
              <w:spacing w:after="0"/>
            </w:pPr>
            <w:r/>
            <w:r>
              <w:rPr>
                <w:b w:val="0"/>
                <w:sz w:val="16"/>
              </w:rPr>
              <w:t>Analysis visit and order</w:t>
            </w:r>
          </w:p>
        </w:tc>
      </w:tr>
      <w:tr>
        <w:trPr>
          <w:trHeight w:hRule="atLeast"/>
        </w:trPr>
        <w:tc>
          <w:tcPr>
            <w:tcW w:type="dxa" w:w="3312"/>
            <w:vAlign w:val="center"/>
          </w:tcPr>
          <w:p>
            <w:pPr>
              <w:spacing w:after="0"/>
            </w:pPr>
            <w:r/>
            <w:r>
              <w:rPr>
                <w:b w:val="0"/>
                <w:sz w:val="16"/>
              </w:rPr>
              <w:t>ADVS</w:t>
            </w:r>
          </w:p>
        </w:tc>
        <w:tc>
          <w:tcPr>
            <w:tcW w:type="dxa" w:w="3312"/>
            <w:vAlign w:val="center"/>
          </w:tcPr>
          <w:p>
            <w:pPr>
              <w:spacing w:after="0"/>
            </w:pPr>
            <w:r/>
            <w:r>
              <w:rPr>
                <w:b w:val="0"/>
                <w:sz w:val="16"/>
              </w:rPr>
              <w:t>ABLFL</w:t>
            </w:r>
          </w:p>
        </w:tc>
        <w:tc>
          <w:tcPr>
            <w:tcW w:type="dxa" w:w="3312"/>
            <w:vAlign w:val="center"/>
          </w:tcPr>
          <w:p>
            <w:pPr>
              <w:spacing w:after="0"/>
            </w:pPr>
            <w:r/>
            <w:r>
              <w:rPr>
                <w:b w:val="0"/>
                <w:sz w:val="16"/>
              </w:rPr>
              <w:t>Baseline record flag</w:t>
            </w:r>
          </w:p>
        </w:tc>
      </w:tr>
      <w:tr>
        <w:trPr>
          <w:trHeight w:hRule="atLeast"/>
        </w:trPr>
        <w:tc>
          <w:tcPr>
            <w:tcW w:type="dxa" w:w="3312"/>
            <w:vAlign w:val="center"/>
          </w:tcPr>
          <w:p>
            <w:pPr>
              <w:spacing w:after="0"/>
            </w:pPr>
            <w:r/>
            <w:r>
              <w:rPr>
                <w:b w:val="0"/>
                <w:sz w:val="16"/>
              </w:rPr>
              <w:t>ADAE</w:t>
            </w:r>
          </w:p>
        </w:tc>
        <w:tc>
          <w:tcPr>
            <w:tcW w:type="dxa" w:w="3312"/>
            <w:vAlign w:val="center"/>
          </w:tcPr>
          <w:p>
            <w:pPr>
              <w:spacing w:after="0"/>
            </w:pPr>
            <w:r/>
            <w:r>
              <w:rPr>
                <w:b w:val="0"/>
                <w:sz w:val="16"/>
              </w:rPr>
              <w:t>TRTEMFL / TEAEFL</w:t>
            </w:r>
          </w:p>
        </w:tc>
        <w:tc>
          <w:tcPr>
            <w:tcW w:type="dxa" w:w="3312"/>
            <w:vAlign w:val="center"/>
          </w:tcPr>
          <w:p>
            <w:pPr>
              <w:spacing w:after="0"/>
            </w:pPr>
            <w:r/>
            <w:r>
              <w:rPr>
                <w:b w:val="0"/>
                <w:sz w:val="16"/>
              </w:rPr>
              <w:t>Treatment-emergent AE flag</w:t>
            </w:r>
          </w:p>
        </w:tc>
      </w:tr>
      <w:tr>
        <w:trPr>
          <w:trHeight w:hRule="atLeast"/>
        </w:trPr>
        <w:tc>
          <w:tcPr>
            <w:tcW w:type="dxa" w:w="3312"/>
            <w:vAlign w:val="center"/>
          </w:tcPr>
          <w:p>
            <w:pPr>
              <w:spacing w:after="0"/>
            </w:pPr>
            <w:r/>
            <w:r>
              <w:rPr>
                <w:b w:val="0"/>
                <w:sz w:val="16"/>
              </w:rPr>
              <w:t>ADAE</w:t>
            </w:r>
          </w:p>
        </w:tc>
        <w:tc>
          <w:tcPr>
            <w:tcW w:type="dxa" w:w="3312"/>
            <w:vAlign w:val="center"/>
          </w:tcPr>
          <w:p>
            <w:pPr>
              <w:spacing w:after="0"/>
            </w:pPr>
            <w:r/>
            <w:r>
              <w:rPr>
                <w:b w:val="0"/>
                <w:sz w:val="16"/>
              </w:rPr>
              <w:t>AESTDT / AEENDT</w:t>
            </w:r>
          </w:p>
        </w:tc>
        <w:tc>
          <w:tcPr>
            <w:tcW w:type="dxa" w:w="3312"/>
            <w:vAlign w:val="center"/>
          </w:tcPr>
          <w:p>
            <w:pPr>
              <w:spacing w:after="0"/>
            </w:pPr>
            <w:r/>
            <w:r>
              <w:rPr>
                <w:b w:val="0"/>
                <w:sz w:val="16"/>
              </w:rPr>
              <w:t>Analysis start and end dates</w:t>
            </w:r>
          </w:p>
        </w:tc>
      </w:tr>
      <w:tr>
        <w:trPr>
          <w:trHeight w:hRule="atLeast"/>
        </w:trPr>
        <w:tc>
          <w:tcPr>
            <w:tcW w:type="dxa" w:w="3312"/>
            <w:vAlign w:val="center"/>
          </w:tcPr>
          <w:p>
            <w:pPr>
              <w:spacing w:after="0"/>
            </w:pPr>
            <w:r/>
            <w:r>
              <w:rPr>
                <w:b w:val="0"/>
                <w:sz w:val="16"/>
              </w:rPr>
              <w:t>ADAE</w:t>
            </w:r>
          </w:p>
        </w:tc>
        <w:tc>
          <w:tcPr>
            <w:tcW w:type="dxa" w:w="3312"/>
            <w:vAlign w:val="center"/>
          </w:tcPr>
          <w:p>
            <w:pPr>
              <w:spacing w:after="0"/>
            </w:pPr>
            <w:r/>
            <w:r>
              <w:rPr>
                <w:b w:val="0"/>
                <w:sz w:val="16"/>
              </w:rPr>
              <w:t>AESEV / AESER / AEREL</w:t>
            </w:r>
          </w:p>
        </w:tc>
        <w:tc>
          <w:tcPr>
            <w:tcW w:type="dxa" w:w="3312"/>
            <w:vAlign w:val="center"/>
          </w:tcPr>
          <w:p>
            <w:pPr>
              <w:spacing w:after="0"/>
            </w:pPr>
            <w:r/>
            <w:r>
              <w:rPr>
                <w:b w:val="0"/>
                <w:sz w:val="16"/>
              </w:rPr>
              <w:t>Severity, seriousness, and relationship</w:t>
            </w:r>
          </w:p>
        </w:tc>
      </w:tr>
      <w:tr>
        <w:trPr>
          <w:trHeight w:hRule="atLeast"/>
        </w:trPr>
        <w:tc>
          <w:tcPr>
            <w:tcW w:type="dxa" w:w="3312"/>
            <w:vAlign w:val="center"/>
          </w:tcPr>
          <w:p>
            <w:pPr>
              <w:spacing w:after="0"/>
            </w:pPr>
            <w:r/>
            <w:r>
              <w:rPr>
                <w:b w:val="0"/>
                <w:sz w:val="16"/>
              </w:rPr>
              <w:t>ADLB</w:t>
            </w:r>
          </w:p>
        </w:tc>
        <w:tc>
          <w:tcPr>
            <w:tcW w:type="dxa" w:w="3312"/>
            <w:vAlign w:val="center"/>
          </w:tcPr>
          <w:p>
            <w:pPr>
              <w:spacing w:after="0"/>
            </w:pPr>
            <w:r/>
            <w:r>
              <w:rPr>
                <w:b w:val="0"/>
                <w:sz w:val="16"/>
              </w:rPr>
              <w:t>AVAL / BASE / CHG</w:t>
            </w:r>
          </w:p>
        </w:tc>
        <w:tc>
          <w:tcPr>
            <w:tcW w:type="dxa" w:w="3312"/>
            <w:vAlign w:val="center"/>
          </w:tcPr>
          <w:p>
            <w:pPr>
              <w:spacing w:after="0"/>
            </w:pPr>
            <w:r/>
            <w:r>
              <w:rPr>
                <w:b w:val="0"/>
                <w:sz w:val="16"/>
              </w:rPr>
              <w:t>Laboratory analysis value and change</w:t>
            </w:r>
          </w:p>
        </w:tc>
      </w:tr>
      <w:tr>
        <w:trPr>
          <w:trHeight w:hRule="atLeast"/>
        </w:trPr>
        <w:tc>
          <w:tcPr>
            <w:tcW w:type="dxa" w:w="3312"/>
            <w:vAlign w:val="center"/>
          </w:tcPr>
          <w:p>
            <w:pPr>
              <w:spacing w:after="0"/>
            </w:pPr>
            <w:r/>
            <w:r>
              <w:rPr>
                <w:b w:val="0"/>
                <w:sz w:val="16"/>
              </w:rPr>
              <w:t>ADLB</w:t>
            </w:r>
          </w:p>
        </w:tc>
        <w:tc>
          <w:tcPr>
            <w:tcW w:type="dxa" w:w="3312"/>
            <w:vAlign w:val="center"/>
          </w:tcPr>
          <w:p>
            <w:pPr>
              <w:spacing w:after="0"/>
            </w:pPr>
            <w:r/>
            <w:r>
              <w:rPr>
                <w:b w:val="0"/>
                <w:sz w:val="16"/>
              </w:rPr>
              <w:t>ANRIND</w:t>
            </w:r>
          </w:p>
        </w:tc>
        <w:tc>
          <w:tcPr>
            <w:tcW w:type="dxa" w:w="3312"/>
            <w:vAlign w:val="center"/>
          </w:tcPr>
          <w:p>
            <w:pPr>
              <w:spacing w:after="0"/>
            </w:pPr>
            <w:r/>
            <w:r>
              <w:rPr>
                <w:b w:val="0"/>
                <w:sz w:val="16"/>
              </w:rPr>
              <w:t>Normal range indicator</w:t>
            </w:r>
          </w:p>
        </w:tc>
      </w:tr>
    </w:tbl>
    <w:p>
      <w:pPr>
        <w:pStyle w:val="Heading1"/>
      </w:pPr>
      <w:r>
        <w:t>Appendix B. TLF Output Index</w:t>
      </w:r>
    </w:p>
    <w:p>
      <w:pPr>
        <w:spacing w:after="100"/>
      </w:pPr>
      <w:r>
        <w:t>Recommended program naming convention:</w:t>
      </w:r>
    </w:p>
    <w:p>
      <w:pPr>
        <w:pStyle w:val="ListBullet"/>
        <w:spacing w:after="40"/>
      </w:pPr>
      <w:r>
        <w:t>t_14_1_1_disposition.sas</w:t>
      </w:r>
    </w:p>
    <w:p>
      <w:pPr>
        <w:pStyle w:val="ListBullet"/>
        <w:spacing w:after="40"/>
      </w:pPr>
      <w:r>
        <w:t>t_14_1_2_demography.sas</w:t>
      </w:r>
    </w:p>
    <w:p>
      <w:pPr>
        <w:pStyle w:val="ListBullet"/>
        <w:spacing w:after="40"/>
      </w:pPr>
      <w:r>
        <w:t>t_14_1_3_exposure.sas</w:t>
      </w:r>
    </w:p>
    <w:p>
      <w:pPr>
        <w:pStyle w:val="ListBullet"/>
        <w:spacing w:after="40"/>
      </w:pPr>
      <w:r>
        <w:t>t_14_2_2_sbp_change.sas</w:t>
      </w:r>
    </w:p>
    <w:p>
      <w:pPr>
        <w:pStyle w:val="ListBullet"/>
        <w:spacing w:after="40"/>
      </w:pPr>
      <w:r>
        <w:t>t_14_3_1_ae_summary.sas</w:t>
      </w:r>
    </w:p>
    <w:p>
      <w:pPr>
        <w:pStyle w:val="ListBullet"/>
        <w:spacing w:after="40"/>
      </w:pPr>
      <w:r>
        <w:t>l_16_2_1_subjects.sas</w:t>
      </w:r>
    </w:p>
    <w:p>
      <w:pPr>
        <w:pStyle w:val="ListBullet"/>
        <w:spacing w:after="40"/>
      </w:pPr>
      <w:r>
        <w:t>f_14_2_1_sbp_profile.sas</w:t>
      </w:r>
    </w:p>
    <w:p>
      <w:pPr>
        <w:spacing w:after="100"/>
      </w:pPr>
      <w:r>
        <w:t>Recommended output formats: RTF for tables and listings; RTF or PDF for figures; optional XLSX export for review only.</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 Clinical SAS Portfolio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HTN001 Statistical Analysis Plan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