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eastAsia="Times New Roman"/>
          <w:rFonts w:ascii="Times New Roman" w:hAnsi="Times New Roman"/>
          <w:b/>
          <w:i w:val="0"/>
          <w:sz w:val="48"/>
        </w:rPr>
        <w:t>FinChat: A Governed Messaging System with AI-Powered Fraud Detection, Blockchain Proof-of-Conversation, and Token Governance</w:t>
      </w:r>
    </w:p>
    <w:p>
      <w:pPr>
        <w:jc w:val="center"/>
        <w:spacing w:before="60" w:after="0"/>
      </w:pPr>
      <w:r>
        <w:rPr>
          <w:rFonts w:eastAsia="Times New Roman"/>
          <w:rFonts w:ascii="Times New Roman" w:hAnsi="Times New Roman"/>
          <w:b w:val="0"/>
          <w:i w:val="0"/>
          <w:sz w:val="24"/>
        </w:rPr>
        <w:t>Shanmugavel R</w:t>
      </w:r>
    </w:p>
    <w:p>
      <w:pPr>
        <w:jc w:val="center"/>
        <w:spacing w:before="0" w:after="0"/>
      </w:pPr>
      <w:r>
        <w:rPr>
          <w:rFonts w:eastAsia="Times New Roman"/>
          <w:rFonts w:ascii="Times New Roman" w:hAnsi="Times New Roman"/>
          <w:b w:val="0"/>
          <w:i/>
          <w:sz w:val="24"/>
        </w:rPr>
        <w:t>KCG College of Technology</w:t>
      </w:r>
    </w:p>
    <w:p>
      <w:pPr>
        <w:jc w:val="center"/>
        <w:spacing w:before="0" w:after="0"/>
      </w:pPr>
      <w:r>
        <w:rPr>
          <w:rFonts w:eastAsia="Times New Roman"/>
          <w:rFonts w:ascii="Times New Roman" w:hAnsi="Times New Roman"/>
          <w:b w:val="0"/>
          <w:i/>
          <w:sz w:val="24"/>
        </w:rPr>
        <w:t>Chennai, India</w:t>
      </w:r>
    </w:p>
    <w:p>
      <w:pPr>
        <w:jc w:val="center"/>
        <w:spacing w:before="0" w:after="0"/>
      </w:pPr>
      <w:r>
        <w:rPr>
          <w:rFonts w:eastAsia="Times New Roman"/>
          <w:rFonts w:ascii="Times New Roman" w:hAnsi="Times New Roman"/>
          <w:b w:val="0"/>
          <w:i/>
          <w:sz w:val="24"/>
        </w:rPr>
        <w:t>shanmugavel@example.com</w:t>
      </w:r>
    </w:p>
    <w:p/>
    <w:p>
      <w:pPr>
        <w:jc w:val="both"/>
        <w:spacing w:before="0" w:after="0" w:line="240" w:lineRule="auto"/>
      </w:pPr>
      <w:r>
        <w:rPr>
          <w:rFonts w:eastAsia="Times New Roman"/>
          <w:rFonts w:ascii="Times New Roman" w:hAnsi="Times New Roman"/>
          <w:b/>
          <w:i/>
          <w:sz w:val="20"/>
        </w:rPr>
        <w:t>Abstract</w:t>
      </w:r>
      <w:r>
        <w:rPr>
          <w:rFonts w:eastAsia="Times New Roman"/>
          <w:rFonts w:ascii="Times New Roman" w:hAnsi="Times New Roman"/>
          <w:b/>
          <w:i/>
          <w:sz w:val="20"/>
        </w:rPr>
        <w:t xml:space="preserve"> - </w:t>
      </w:r>
      <w:r>
        <w:rPr>
          <w:rFonts w:eastAsia="Times New Roman"/>
          <w:rFonts w:ascii="Times New Roman" w:hAnsi="Times New Roman"/>
          <w:b/>
          <w:i/>
          <w:sz w:val="20"/>
        </w:rPr>
        <w:t>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token-based user governance into a single cohesive platform. The system employs the Qwen 2.5 3B large language model running locally via Ollama for zero-latency message analysis, a commitment-based Zero-Knowledge Proof scheme for auditable administrative actions, and AI personas that covertly monitor conversations for policy violations. We describe the architecture, implementation, and integration of these components, demonstrating that a unified approach to governed messaging is both technically feasible and operationally practical for small-to-medium enterprise deployments.</w:t>
      </w:r>
    </w:p>
    <w:p/>
    <w:p>
      <w:pPr>
        <w:jc w:val="both"/>
        <w:spacing w:before="0" w:after="0" w:line="240" w:lineRule="auto"/>
      </w:pPr>
      <w:r>
        <w:rPr>
          <w:rFonts w:eastAsia="Times New Roman"/>
          <w:rFonts w:ascii="Times New Roman" w:hAnsi="Times New Roman"/>
          <w:b/>
          <w:i/>
          <w:sz w:val="20"/>
        </w:rPr>
        <w:t>Index Terms</w:t>
      </w:r>
      <w:r>
        <w:rPr>
          <w:rFonts w:eastAsia="Times New Roman"/>
          <w:rFonts w:ascii="Times New Roman" w:hAnsi="Times New Roman"/>
          <w:b/>
          <w:i/>
          <w:sz w:val="20"/>
        </w:rPr>
        <w:t xml:space="preserve"> - </w:t>
      </w:r>
      <w:r>
        <w:rPr>
          <w:rFonts w:eastAsia="Times New Roman"/>
          <w:rFonts w:ascii="Times New Roman" w:hAnsi="Times New Roman"/>
          <w:b/>
          <w:i/>
          <w:sz w:val="20"/>
        </w:rPr>
        <w:t>Blockchain messaging, fraud detection, hash chaining, token governance</w:t>
      </w:r>
    </w:p>
    <w:p>
      <w:pPr>
        <w:jc w:val="left"/>
        <w:spacing w:before="240" w:after="120"/>
      </w:pPr>
      <w:r>
        <w:rPr>
          <w:rFonts w:eastAsia="Times New Roman"/>
          <w:rFonts w:ascii="Times New Roman" w:hAnsi="Times New Roman"/>
          <w:b/>
          <w:i w:val="0"/>
          <w:sz w:val="20"/>
          <w:smallCaps w:val="true"/>
        </w:rPr>
        <w:t>INTRODUCTION</w:t>
      </w:r>
    </w:p>
    <w:p>
      <w:pPr>
        <w:ind w:firstLine="245"/>
        <w:jc w:val="both"/>
        <w:spacing w:before="0" w:after="0" w:line="240" w:lineRule="auto"/>
      </w:pPr>
      <w:r>
        <w:rPr>
          <w:rFonts w:eastAsia="Times New Roman"/>
          <w:rFonts w:ascii="Times New Roman" w:hAnsi="Times New Roman"/>
          <w:b w:val="0"/>
          <w:i w:val="0"/>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pPr>
        <w:ind w:firstLine="245"/>
        <w:jc w:val="both"/>
        <w:spacing w:before="0" w:after="0" w:line="240" w:lineRule="auto"/>
      </w:pPr>
      <w:r>
        <w:rPr>
          <w:rFonts w:eastAsia="Times New Roman"/>
          <w:rFonts w:ascii="Times New Roman" w:hAnsi="Times New Roman"/>
          <w:b w:val="0"/>
          <w:i w:val="0"/>
          <w:sz w:val="20"/>
        </w:rPr>
        <w:t>FinChat addresses these limitations by integrating five core capabilities into a single governed messaging system: (1) real-time AI-powered fraud detection using the Qwen 2.5 3B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pPr>
        <w:ind w:firstLine="245"/>
        <w:jc w:val="both"/>
        <w:spacing w:before="0" w:after="0" w:line="240" w:lineRule="auto"/>
      </w:pPr>
      <w:r>
        <w:rPr>
          <w:rFonts w:eastAsia="Times New Roman"/>
          <w:rFonts w:ascii="Times New Roman" w:hAnsi="Times New Roman"/>
          <w:b w:val="0"/>
          <w:i w:val="0"/>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pPr>
        <w:jc w:val="left"/>
        <w:spacing w:before="240" w:after="120"/>
      </w:pPr>
      <w:r>
        <w:rPr>
          <w:rFonts w:eastAsia="Times New Roman"/>
          <w:rFonts w:ascii="Times New Roman" w:hAnsi="Times New Roman"/>
          <w:b/>
          <w:i w:val="0"/>
          <w:sz w:val="20"/>
          <w:smallCaps w:val="true"/>
        </w:rPr>
        <w:t>SYSTEM ARCHITECTURE</w:t>
      </w:r>
    </w:p>
    <w:p>
      <w:pPr>
        <w:ind w:firstLine="245"/>
        <w:jc w:val="both"/>
        <w:spacing w:before="0" w:after="0" w:line="240" w:lineRule="auto"/>
      </w:pPr>
      <w:r>
        <w:rPr>
          <w:rFonts w:eastAsia="Times New Roman"/>
          <w:rFonts w:ascii="Times New Roman" w:hAnsi="Times New Roman"/>
          <w:b w:val="0"/>
          <w:i w:val="0"/>
          <w:sz w:val="20"/>
        </w:rPr>
        <w:t>FinChat follows a client-server architecture with a clear separation between the frontend presentation layer and the backend service layer. The system is designed for local deployment with optional Docker containerization for portability.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Frontend Layer</w:t>
      </w:r>
    </w:p>
    <w:p>
      <w:pPr>
        <w:ind w:firstLine="245"/>
        <w:jc w:val="both"/>
        <w:spacing w:before="0" w:after="0" w:line="240" w:lineRule="auto"/>
      </w:pPr>
      <w:r>
        <w:rPr>
          <w:rFonts w:eastAsia="Times New Roman"/>
          <w:rFonts w:ascii="Times New Roman" w:hAnsi="Times New Roman"/>
          <w:b w:val="0"/>
          <w:i w:val="0"/>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Backend Layer</w:t>
      </w:r>
    </w:p>
    <w:p>
      <w:pPr>
        <w:ind w:firstLine="245"/>
        <w:jc w:val="both"/>
        <w:spacing w:before="0" w:after="0" w:line="240" w:lineRule="auto"/>
      </w:pPr>
      <w:r>
        <w:rPr>
          <w:rFonts w:eastAsia="Times New Roman"/>
          <w:rFonts w:ascii="Times New Roman" w:hAnsi="Times New Roman"/>
          <w:b w:val="0"/>
          <w:i w:val="0"/>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Data Layer</w:t>
      </w:r>
    </w:p>
    <w:p>
      <w:pPr>
        <w:ind w:firstLine="245"/>
        <w:jc w:val="both"/>
        <w:spacing w:before="0" w:after="0" w:line="240" w:lineRule="auto"/>
      </w:pPr>
      <w:r>
        <w:rPr>
          <w:rFonts w:eastAsia="Times New Roman"/>
          <w:rFonts w:ascii="Times New Roman" w:hAnsi="Times New Roman"/>
          <w:b w:val="0"/>
          <w:i w:val="0"/>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pPr>
        <w:jc w:val="left"/>
        <w:spacing w:before="240" w:after="120"/>
      </w:pPr>
      <w:r>
        <w:rPr>
          <w:rFonts w:eastAsia="Times New Roman"/>
          <w:rFonts w:ascii="Times New Roman" w:hAnsi="Times New Roman"/>
          <w:b/>
          <w:i w:val="0"/>
          <w:sz w:val="20"/>
          <w:smallCaps w:val="true"/>
        </w:rPr>
        <w:t>AI-POWERED FRAUD DETECTION</w:t>
      </w:r>
    </w:p>
    <w:p>
      <w:pPr>
        <w:ind w:firstLine="245"/>
        <w:jc w:val="both"/>
        <w:spacing w:before="0" w:after="0" w:line="240" w:lineRule="auto"/>
      </w:pPr>
      <w:r>
        <w:rPr>
          <w:rFonts w:eastAsia="Times New Roman"/>
          <w:rFonts w:ascii="Times New Roman" w:hAnsi="Times New Roman"/>
          <w:b w:val="0"/>
          <w:i w:val="0"/>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Qwen 2.5 Integration</w:t>
      </w:r>
    </w:p>
    <w:p>
      <w:pPr>
        <w:ind w:firstLine="245"/>
        <w:jc w:val="both"/>
        <w:spacing w:before="0" w:after="0" w:line="240" w:lineRule="auto"/>
      </w:pPr>
      <w:r>
        <w:rPr>
          <w:rFonts w:eastAsia="Times New Roman"/>
          <w:rFonts w:ascii="Times New Roman" w:hAnsi="Times New Roman"/>
          <w:b w:val="0"/>
          <w:i w:val="0"/>
          <w:sz w:val="20"/>
        </w:rPr>
        <w:t>The primary detection engine leverages the Qwen 2.5 3B parameter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Fallback Simulation Engine</w:t>
      </w:r>
    </w:p>
    <w:p>
      <w:pPr>
        <w:ind w:firstLine="245"/>
        <w:jc w:val="both"/>
        <w:spacing w:before="0" w:after="0" w:line="240" w:lineRule="auto"/>
      </w:pPr>
      <w:r>
        <w:rPr>
          <w:rFonts w:eastAsia="Times New Roman"/>
          <w:rFonts w:ascii="Times New Roman" w:hAnsi="Times New Roman"/>
          <w:b w:val="0"/>
          <w:i w:val="0"/>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Token Penalty System</w:t>
      </w:r>
    </w:p>
    <w:p>
      <w:pPr>
        <w:ind w:firstLine="245"/>
        <w:jc w:val="both"/>
        <w:spacing w:before="0" w:after="0" w:line="240" w:lineRule="auto"/>
      </w:pPr>
      <w:r>
        <w:rPr>
          <w:rFonts w:eastAsia="Times New Roman"/>
          <w:rFonts w:ascii="Times New Roman" w:hAnsi="Times New Roman"/>
          <w:b w:val="0"/>
          <w:i w:val="0"/>
          <w:sz w:val="20"/>
        </w:rPr>
        <w:t>When fraud is detected, the system applies automatic token penalties proportional to the risk level: HIGH-risk messages incur a 20-token penalty, MEDIUM-risk messages incur a 10-token penalty, and LOW-risk messages incur no penalty. 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pPr>
        <w:jc w:val="left"/>
        <w:spacing w:before="240" w:after="120"/>
      </w:pPr>
      <w:r>
        <w:rPr>
          <w:rFonts w:eastAsia="Times New Roman"/>
          <w:rFonts w:ascii="Times New Roman" w:hAnsi="Times New Roman"/>
          <w:b/>
          <w:i w:val="0"/>
          <w:sz w:val="20"/>
          <w:smallCaps w:val="true"/>
        </w:rPr>
        <w:t>CRYPTOGRAPHIC PROOF-OF-CONVERSATION</w:t>
      </w:r>
    </w:p>
    <w:p>
      <w:pPr>
        <w:ind w:firstLine="245"/>
        <w:jc w:val="both"/>
        <w:spacing w:before="0" w:after="0" w:line="240" w:lineRule="auto"/>
      </w:pPr>
      <w:r>
        <w:rPr>
          <w:rFonts w:eastAsia="Times New Roman"/>
          <w:rFonts w:ascii="Times New Roman" w:hAnsi="Times New Roman"/>
          <w:b w:val="0"/>
          <w:i w:val="0"/>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Hash Chain Construction</w:t>
      </w:r>
    </w:p>
    <w:p>
      <w:pPr>
        <w:ind w:firstLine="245"/>
        <w:jc w:val="both"/>
        <w:spacing w:before="0" w:after="0" w:line="240" w:lineRule="auto"/>
      </w:pPr>
      <w:r>
        <w:rPr>
          <w:rFonts w:eastAsia="Times New Roman"/>
          <w:rFonts w:ascii="Times New Roman" w:hAnsi="Times New Roman"/>
          <w:b w:val="0"/>
          <w:i w:val="0"/>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Chain Verification</w:t>
      </w:r>
    </w:p>
    <w:p>
      <w:pPr>
        <w:ind w:firstLine="245"/>
        <w:jc w:val="both"/>
        <w:spacing w:before="0" w:after="0" w:line="240" w:lineRule="auto"/>
      </w:pPr>
      <w:r>
        <w:rPr>
          <w:rFonts w:eastAsia="Times New Roman"/>
          <w:rFonts w:ascii="Times New Roman" w:hAnsi="Times New Roman"/>
          <w:b w:val="0"/>
          <w:i w:val="0"/>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IPFS and Solana Anchoring</w:t>
      </w:r>
    </w:p>
    <w:p>
      <w:pPr>
        <w:ind w:firstLine="245"/>
        <w:jc w:val="both"/>
        <w:spacing w:before="0" w:after="0" w:line="240" w:lineRule="auto"/>
      </w:pPr>
      <w:r>
        <w:rPr>
          <w:rFonts w:eastAsia="Times New Roman"/>
          <w:rFonts w:ascii="Times New Roman" w:hAnsi="Times New Roman"/>
          <w:b w:val="0"/>
          <w:i w:val="0"/>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The proof_chain table stores IPFS CIDs, URLs, Solana transaction signatures, and slot numbers alongside the cryptographic proof data.</w:t>
      </w:r>
    </w:p>
    <w:p>
      <w:pPr>
        <w:jc w:val="left"/>
        <w:spacing w:before="240" w:after="120"/>
      </w:pPr>
      <w:r>
        <w:rPr>
          <w:rFonts w:eastAsia="Times New Roman"/>
          <w:rFonts w:ascii="Times New Roman" w:hAnsi="Times New Roman"/>
          <w:b/>
          <w:i w:val="0"/>
          <w:sz w:val="20"/>
          <w:smallCaps w:val="true"/>
        </w:rPr>
        <w:t>ZERO-KNOWLEDGE PROOF FOR ADMINISTRATIVE ACTIONS</w:t>
      </w:r>
    </w:p>
    <w:p>
      <w:pPr>
        <w:ind w:firstLine="245"/>
        <w:jc w:val="both"/>
        <w:spacing w:before="0" w:after="0" w:line="240" w:lineRule="auto"/>
      </w:pPr>
      <w:r>
        <w:rPr>
          <w:rFonts w:eastAsia="Times New Roman"/>
          <w:rFonts w:ascii="Times New Roman" w:hAnsi="Times New Roman"/>
          <w:b w:val="0"/>
          <w:i w:val="0"/>
          <w:sz w:val="20"/>
        </w:rPr>
        <w:t>Administrative actions such as unfreezing user accounts require accountability without exposing sensitive operational details. FinChat implements a commitment-based Zero-Knowledge Proof (ZKP) scheme using SHA-256 to ensure that admin actions are auditable while preserving the zero-knowledge property.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Commitment Scheme</w:t>
      </w:r>
    </w:p>
    <w:p>
      <w:pPr>
        <w:ind w:firstLine="245"/>
        <w:jc w:val="both"/>
        <w:spacing w:before="0" w:after="0" w:line="240" w:lineRule="auto"/>
      </w:pPr>
      <w:r>
        <w:rPr>
          <w:rFonts w:eastAsia="Times New Roman"/>
          <w:rFonts w:ascii="Times New Roman" w:hAnsi="Times New Roman"/>
          <w:b w:val="0"/>
          <w:i w:val="0"/>
          <w:sz w:val="20"/>
        </w:rPr>
        <w:t>When an administrator performs an unblock action, the system generates a cryptographic commitment: C = SHA-256(adminId | userId | action | nonce | timestamp), where the nonce is a 256-bit random value generated using crypto.randomBytes(32). The commitment hash and public inputs (adminId, userId, action, timestamp, reason) are stored in the zkp_proofs table, while the nonce hash (not the raw nonce) is stored for future verification. The raw nonce is returned exclusively to the administrator who initiated the action.</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Verification Protocol</w:t>
      </w:r>
    </w:p>
    <w:p>
      <w:pPr>
        <w:ind w:firstLine="245"/>
        <w:jc w:val="both"/>
        <w:spacing w:before="0" w:after="0" w:line="240" w:lineRule="auto"/>
      </w:pPr>
      <w:r>
        <w:rPr>
          <w:rFonts w:eastAsia="Times New Roman"/>
          <w:rFonts w:ascii="Times New Roman" w:hAnsi="Times New Roman"/>
          <w:b w:val="0"/>
          <w:i w:val="0"/>
          <w:sz w:val="20"/>
        </w:rPr>
        <w:t>The verification system supports two modes: partial verification, which confirms that a commitment exists and its metadata is consistent with the stored public inputs; and full verification (challenge-response), where the administrator provides the nonce, the system reconstructs the commitment hash, and compares it against the stored commitment. Full verification proves that the administrator who claims to have performed the action indeed possesses the secret nonce, without revealing the nonce to the verifier during partial checks.</w:t>
      </w:r>
    </w:p>
    <w:p>
      <w:pPr>
        <w:jc w:val="left"/>
        <w:spacing w:before="240" w:after="120"/>
      </w:pPr>
      <w:r>
        <w:rPr>
          <w:rFonts w:eastAsia="Times New Roman"/>
          <w:rFonts w:ascii="Times New Roman" w:hAnsi="Times New Roman"/>
          <w:b/>
          <w:i w:val="0"/>
          <w:sz w:val="20"/>
          <w:smallCaps w:val="true"/>
        </w:rPr>
        <w:t>AI PERSONA CHAT AND COVERT MONITORING</w:t>
      </w:r>
    </w:p>
    <w:p>
      <w:pPr>
        <w:ind w:firstLine="245"/>
        <w:jc w:val="both"/>
        <w:spacing w:before="0" w:after="0" w:line="240" w:lineRule="auto"/>
      </w:pPr>
      <w:r>
        <w:rPr>
          <w:rFonts w:eastAsia="Times New Roman"/>
          <w:rFonts w:ascii="Times New Roman" w:hAnsi="Times New Roman"/>
          <w:b w:val="0"/>
          <w:i w:val="0"/>
          <w:sz w:val="20"/>
        </w:rPr>
        <w:t>FinChat includes an AI persona system that serves dual purposes: providing engaging conversational agents and enabling covert fraud monitoring.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hidden monitoring directives.</w:t>
      </w:r>
    </w:p>
    <w:p>
      <w:pPr>
        <w:ind w:firstLine="245"/>
        <w:jc w:val="both"/>
        <w:spacing w:before="0" w:after="0" w:line="240" w:lineRule="auto"/>
      </w:pPr>
      <w:r>
        <w:rPr>
          <w:rFonts w:eastAsia="Times New Roman"/>
          <w:rFonts w:ascii="Times New Roman" w:hAnsi="Times New Roman"/>
          <w:b w:val="0"/>
          <w:i w:val="0"/>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fraudulent behavior patterns in user messages.</w:t>
      </w:r>
    </w:p>
    <w:p>
      <w:pPr>
        <w:jc w:val="left"/>
        <w:spacing w:before="240" w:after="120"/>
      </w:pPr>
      <w:r>
        <w:rPr>
          <w:rFonts w:eastAsia="Times New Roman"/>
          <w:rFonts w:ascii="Times New Roman" w:hAnsi="Times New Roman"/>
          <w:b/>
          <w:i w:val="0"/>
          <w:sz w:val="20"/>
          <w:smallCaps w:val="true"/>
        </w:rPr>
        <w:t>IMPLEMENTATION DETAILS</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Technology Stack</w:t>
      </w:r>
    </w:p>
    <w:p>
      <w:pPr>
        <w:ind w:firstLine="245"/>
        <w:jc w:val="both"/>
        <w:spacing w:before="0" w:after="0" w:line="240" w:lineRule="auto"/>
      </w:pPr>
      <w:r>
        <w:rPr>
          <w:rFonts w:eastAsia="Times New Roman"/>
          <w:rFonts w:ascii="Times New Roman" w:hAnsi="Times New Roman"/>
          <w:b w:val="0"/>
          <w:i w:val="0"/>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3B) communicating over a local HTTP API. IPFS integration uses the Pinata SDK, and Solana integration uses @solana/web3.js targeting the devnet cluster. The frontend is implemented as static HTML/CSS/JavaScript without framework dependencies.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Deployment Options</w:t>
      </w:r>
    </w:p>
    <w:p>
      <w:pPr>
        <w:ind w:firstLine="245"/>
        <w:jc w:val="both"/>
        <w:spacing w:before="0" w:after="0" w:line="240" w:lineRule="auto"/>
      </w:pPr>
      <w:r>
        <w:rPr>
          <w:rFonts w:eastAsia="Times New Roman"/>
          <w:rFonts w:ascii="Times New Roman" w:hAnsi="Times New Roman"/>
          <w:b w:val="0"/>
          <w:i w:val="0"/>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Security Considerations</w:t>
      </w:r>
    </w:p>
    <w:p>
      <w:pPr>
        <w:ind w:firstLine="245"/>
        <w:jc w:val="both"/>
        <w:spacing w:before="0" w:after="0" w:line="240" w:lineRule="auto"/>
      </w:pPr>
      <w:r>
        <w:rPr>
          <w:rFonts w:eastAsia="Times New Roman"/>
          <w:rFonts w:ascii="Times New Roman" w:hAnsi="Times New Roman"/>
          <w:b w:val="0"/>
          <w:i w:val="0"/>
          <w:sz w:val="20"/>
        </w:rPr>
        <w:t>All passwords are hashed using bcrypt before storage. JWT tokens are signed with a configurable secret and include expiration timestamps. Session management tracks IP addresses and enforces token expiry. The SQLite database uses foreign key constraints and busy timeout configuration to prevent data corruption under concurrent access. Message content processed by the AI model never leaves the local network, as Ollama runs entirely on the host machine.</w:t>
      </w:r>
    </w:p>
    <w:p>
      <w:pPr>
        <w:jc w:val="left"/>
        <w:spacing w:before="240" w:after="120"/>
      </w:pPr>
      <w:r>
        <w:rPr>
          <w:rFonts w:eastAsia="Times New Roman"/>
          <w:rFonts w:ascii="Times New Roman" w:hAnsi="Times New Roman"/>
          <w:b/>
          <w:i w:val="0"/>
          <w:sz w:val="20"/>
          <w:smallCaps w:val="true"/>
        </w:rPr>
        <w:t>RESULTS AND DISCUSSION</w:t>
      </w:r>
    </w:p>
    <w:p>
      <w:pPr>
        <w:ind w:firstLine="245"/>
        <w:jc w:val="both"/>
        <w:spacing w:before="0" w:after="0" w:line="240" w:lineRule="auto"/>
      </w:pPr>
      <w:r>
        <w:rPr>
          <w:rFonts w:eastAsia="Times New Roman"/>
          <w:rFonts w:ascii="Times New Roman" w:hAnsi="Times New Roman"/>
          <w:b w:val="0"/>
          <w:i w:val="0"/>
          <w:sz w:val="20"/>
        </w:rPr>
        <w:t>The FinChat prototype (v0.2) has been tested in a local development environment with simulated multi-user scenarios. The proof-of-conversation hash chain has been verified to detect content tampering with 100% accuracy across test cases involving message modification, deletion, and reordering. The AI fraud detection system using Qwen 2.5 3B correctly identifies common phishing patterns including credential harvesting, money transfer fraud, and social engineering attempts, with the fallback regex engine providing baseline coverage when the AI model is unavailable.</w:t>
      </w:r>
    </w:p>
    <w:p>
      <w:pPr>
        <w:ind w:firstLine="245"/>
        <w:jc w:val="both"/>
        <w:spacing w:before="0" w:after="0" w:line="240" w:lineRule="auto"/>
      </w:pPr>
      <w:r>
        <w:rPr>
          <w:rFonts w:eastAsia="Times New Roman"/>
          <w:rFonts w:ascii="Times New Roman" w:hAnsi="Times New Roman"/>
          <w:b w:val="0"/>
          <w:i w:val="0"/>
          <w:sz w:val="20"/>
        </w:rPr>
        <w:t>The ZKP-based administrative action system has been validated through a complete freeze-unblock-verify cycle, confirming that commitment generation, partial verification, and full challenge-response verification operate correctly. Token governance operates atomically with fraud detection, ensuring that penalties and account freezes are applied within the same transaction as the fraud log entry.</w:t>
      </w:r>
    </w:p>
    <w:p>
      <w:pPr>
        <w:ind w:firstLine="245"/>
        <w:jc w:val="both"/>
        <w:spacing w:before="0" w:after="0" w:line="240" w:lineRule="auto"/>
      </w:pPr>
      <w:r>
        <w:rPr>
          <w:rFonts w:eastAsia="Times New Roman"/>
          <w:rFonts w:ascii="Times New Roman" w:hAnsi="Times New Roman"/>
          <w:b w:val="0"/>
          <w:i w:val="0"/>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pPr>
        <w:jc w:val="left"/>
        <w:spacing w:before="240" w:after="120"/>
      </w:pPr>
      <w:r>
        <w:rPr>
          <w:rFonts w:eastAsia="Times New Roman"/>
          <w:rFonts w:ascii="Times New Roman" w:hAnsi="Times New Roman"/>
          <w:b/>
          <w:i w:val="0"/>
          <w:sz w:val="20"/>
          <w:smallCaps w:val="true"/>
        </w:rPr>
        <w:t>CONCLUSION</w:t>
      </w:r>
    </w:p>
    <w:p>
      <w:pPr>
        <w:ind w:firstLine="245"/>
        <w:jc w:val="both"/>
        <w:spacing w:before="0" w:after="0" w:line="240" w:lineRule="auto"/>
      </w:pPr>
      <w:r>
        <w:rPr>
          <w:rFonts w:eastAsia="Times New Roman"/>
          <w:rFonts w:ascii="Times New Roman" w:hAnsi="Times New Roman"/>
          <w:b w:val="0"/>
          <w:i w:val="0"/>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pPr>
        <w:jc w:val="left"/>
        <w:spacing w:before="240" w:after="120"/>
      </w:pPr>
      <w:r>
        <w:rPr>
          <w:rFonts w:eastAsia="Times New Roman"/>
          <w:rFonts w:ascii="Times New Roman" w:hAnsi="Times New Roman"/>
          <w:b/>
          <w:i w:val="0"/>
          <w:sz w:val="20"/>
          <w:smallCaps w:val="true"/>
        </w:rPr>
        <w:t>REFERENCES</w:t>
      </w:r>
    </w:p>
    <w:p>
      <w:pPr>
        <w:jc w:val="both"/>
        <w:spacing w:before="0" w:after="60" w:line="240" w:lineRule="auto"/>
      </w:pPr>
      <w:r>
        <w:rPr>
          <w:rFonts w:eastAsia="Times New Roman"/>
          <w:rFonts w:ascii="Times New Roman" w:hAnsi="Times New Roman"/>
          <w:b w:val="0"/>
          <w:i w:val="0"/>
          <w:sz w:val="18"/>
        </w:rPr>
        <w:t>[1] Anti-Phishing Working Group, "Phishing Activity Trends Report," APWG, 2023.</w:t>
      </w:r>
    </w:p>
    <w:p>
      <w:pPr>
        <w:jc w:val="both"/>
        <w:spacing w:before="0" w:after="60" w:line="240" w:lineRule="auto"/>
      </w:pPr>
      <w:r>
        <w:rPr>
          <w:rFonts w:eastAsia="Times New Roman"/>
          <w:rFonts w:ascii="Times New Roman" w:hAnsi="Times New Roman"/>
          <w:b w:val="0"/>
          <w:i w:val="0"/>
          <w:sz w:val="18"/>
        </w:rPr>
        <w:t>[2] A. Vaswani et al., "Attention is all you need," in Proc. Advances in Neural Information Processing Systems (NeurIPS), 2017, pp. 5998-6008.</w:t>
      </w:r>
    </w:p>
    <w:p>
      <w:pPr>
        <w:jc w:val="both"/>
        <w:spacing w:before="0" w:after="60" w:line="240" w:lineRule="auto"/>
      </w:pPr>
      <w:r>
        <w:rPr>
          <w:rFonts w:eastAsia="Times New Roman"/>
          <w:rFonts w:ascii="Times New Roman" w:hAnsi="Times New Roman"/>
          <w:b w:val="0"/>
          <w:i w:val="0"/>
          <w:sz w:val="18"/>
        </w:rPr>
        <w:t>[3] S. Nakamoto, "Bitcoin: A peer-to-peer electronic cash system," 2008. [Online]. Available: https://bitcoin.org/bitcoin.pdf</w:t>
      </w:r>
    </w:p>
    <w:p>
      <w:pPr>
        <w:jc w:val="both"/>
        <w:spacing w:before="0" w:after="60" w:line="240" w:lineRule="auto"/>
      </w:pPr>
      <w:r>
        <w:rPr>
          <w:rFonts w:eastAsia="Times New Roman"/>
          <w:rFonts w:ascii="Times New Roman" w:hAnsi="Times New Roman"/>
          <w:b w:val="0"/>
          <w:i w:val="0"/>
          <w:sz w:val="18"/>
        </w:rPr>
        <w:t>[4] J. Benet, "IPFS - Content addressed, versioned, P2P file system," 2014. [Online]. Available: https://ipfs.io/ipfs/QmR7GSQM93Cx5eAg6a6yRzNde1FQv7uL6X1o4k7zrJa3LX/ipfs.draft3.pdf</w:t>
      </w:r>
    </w:p>
    <w:p>
      <w:pPr>
        <w:jc w:val="both"/>
        <w:spacing w:before="0" w:after="60" w:line="240" w:lineRule="auto"/>
      </w:pPr>
      <w:r>
        <w:rPr>
          <w:rFonts w:eastAsia="Times New Roman"/>
          <w:rFonts w:ascii="Times New Roman" w:hAnsi="Times New Roman"/>
          <w:b w:val="0"/>
          <w:i w:val="0"/>
          <w:sz w:val="18"/>
        </w:rPr>
        <w:t>[5] A. Yakovenko, "Solana: A new architecture for a high performance blockchain," Solana Labs, 2018.</w:t>
      </w:r>
    </w:p>
    <w:p>
      <w:pPr>
        <w:jc w:val="both"/>
        <w:spacing w:before="0" w:after="60" w:line="240" w:lineRule="auto"/>
      </w:pPr>
      <w:r>
        <w:rPr>
          <w:rFonts w:eastAsia="Times New Roman"/>
          <w:rFonts w:ascii="Times New Roman" w:hAnsi="Times New Roman"/>
          <w:b w:val="0"/>
          <w:i w:val="0"/>
          <w:sz w:val="18"/>
        </w:rPr>
        <w:t>[6] Alibaba Cloud, "Qwen2.5 technical report," 2024. [Online]. Available: https://qwenlm.github.io/blog/qwen2.5/</w:t>
      </w:r>
    </w:p>
    <w:p>
      <w:pPr>
        <w:jc w:val="both"/>
        <w:spacing w:before="0" w:after="60" w:line="240" w:lineRule="auto"/>
      </w:pPr>
      <w:r>
        <w:rPr>
          <w:rFonts w:eastAsia="Times New Roman"/>
          <w:rFonts w:ascii="Times New Roman" w:hAnsi="Times New Roman"/>
          <w:b w:val="0"/>
          <w:i w:val="0"/>
          <w:sz w:val="18"/>
        </w:rPr>
        <w:t>[7] M. Blum, P. Feldman, and S. Micali, "Non-interactive zero-knowledge and its applications," in Proc. 20th Annual ACM Symp. on Theory of Computing (STOC), 1988, pp. 103-112.</w:t>
      </w:r>
    </w:p>
    <w:p>
      <w:pPr>
        <w:jc w:val="left"/>
        <w:spacing w:before="240" w:after="120"/>
      </w:pPr>
      <w:r>
        <w:rPr>
          <w:rFonts w:eastAsia="Times New Roman"/>
          <w:rFonts w:ascii="Times New Roman" w:hAnsi="Times New Roman"/>
          <w:b/>
          <w:i w:val="0"/>
          <w:sz w:val="20"/>
          <w:smallCaps w:val="true"/>
        </w:rPr>
        <w:t>ABOUT THE AUTHORS</w:t>
      </w:r>
    </w:p>
    <w:p>
      <w:pPr>
        <w:jc w:val="both"/>
        <w:spacing w:before="240" w:after="0" w:line="240" w:lineRule="auto"/>
      </w:pPr>
      <w:r>
        <w:rPr>
          <w:rFonts w:eastAsia="Times New Roman"/>
          <w:rFonts w:ascii="Times New Roman" w:hAnsi="Times New Roman"/>
          <w:b/>
          <w:i w:val="0"/>
          <w:sz w:val="20"/>
        </w:rPr>
        <w:t>Shanmugavel R</w:t>
      </w:r>
      <w:r>
        <w:rPr>
          <w:rFonts w:eastAsia="Times New Roman"/>
          <w:rFonts w:ascii="Times New Roman" w:hAnsi="Times New Roman"/>
          <w:b w:val="0"/>
          <w:i w:val="0"/>
          <w:sz w:val="20"/>
        </w:rPr>
        <w:t xml:space="preserve"> is a student at KCG College of Technology, Chennai, India. His research interests include blockchain technology, artificial intelligence, and secure enterprise communication systems.</w:t>
      </w:r>
    </w:p>
    <w:sectPr w:rsidR="00FC693F" w:rsidRPr="0006063C"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