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spacing w:before="0" w:after="120"/>
      </w:pPr>
      <w:r>
        <w:rPr>
          <w:rFonts w:eastAsia="Times New Roman"/>
          <w:rFonts w:ascii="Times New Roman" w:hAnsi="Times New Roman"/>
          <w:b/>
          <w:i w:val="0"/>
          <w:sz w:val="48"/>
        </w:rPr>
        <w:t>FinChat: A Governed Messaging System with AI-Powered Fraud Detection, Blockchain Proof-of-Conversation, and Token Governance</w:t>
      </w:r>
    </w:p>
    <w:p>
      <w:pPr>
        <w:jc w:val="center"/>
        <w:spacing w:before="60" w:after="0"/>
      </w:pPr>
      <w:r>
        <w:rPr>
          <w:rFonts w:eastAsia="Times New Roman"/>
          <w:rFonts w:ascii="Times New Roman" w:hAnsi="Times New Roman"/>
          <w:b w:val="0"/>
          <w:i w:val="0"/>
          <w:sz w:val="24"/>
        </w:rPr>
        <w:t>Shanmugavel R</w:t>
      </w:r>
    </w:p>
    <w:p>
      <w:pPr>
        <w:jc w:val="center"/>
        <w:spacing w:before="0" w:after="0"/>
      </w:pPr>
      <w:r>
        <w:rPr>
          <w:rFonts w:eastAsia="Times New Roman"/>
          <w:rFonts w:ascii="Times New Roman" w:hAnsi="Times New Roman"/>
          <w:b w:val="0"/>
          <w:i/>
          <w:sz w:val="24"/>
        </w:rPr>
        <w:t>KCG College of Technology</w:t>
      </w:r>
    </w:p>
    <w:p>
      <w:pPr>
        <w:jc w:val="center"/>
        <w:spacing w:before="0" w:after="0"/>
      </w:pPr>
      <w:r>
        <w:rPr>
          <w:rFonts w:eastAsia="Times New Roman"/>
          <w:rFonts w:ascii="Times New Roman" w:hAnsi="Times New Roman"/>
          <w:b w:val="0"/>
          <w:i/>
          <w:sz w:val="24"/>
        </w:rPr>
        <w:t>Chennai, India</w:t>
      </w:r>
    </w:p>
    <w:p>
      <w:pPr>
        <w:jc w:val="center"/>
        <w:spacing w:before="0" w:after="0"/>
      </w:pPr>
      <w:r>
        <w:rPr>
          <w:rFonts w:eastAsia="Times New Roman"/>
          <w:rFonts w:ascii="Times New Roman" w:hAnsi="Times New Roman"/>
          <w:b w:val="0"/>
          <w:i/>
          <w:sz w:val="24"/>
        </w:rPr>
        <w:t>shanmugavel@example.com</w:t>
      </w:r>
    </w:p>
    <w:p/>
    <w:p>
      <w:pPr>
        <w:jc w:val="both"/>
        <w:spacing w:before="0" w:after="0" w:line="240" w:lineRule="auto"/>
      </w:pPr>
      <w:r>
        <w:rPr>
          <w:rFonts w:eastAsia="Times New Roman"/>
          <w:rFonts w:ascii="Times New Roman" w:hAnsi="Times New Roman"/>
          <w:b/>
          <w:i/>
          <w:sz w:val="20"/>
        </w:rPr>
        <w:t>Abstract</w:t>
      </w:r>
      <w:r>
        <w:rPr>
          <w:rFonts w:eastAsia="Times New Roman"/>
          <w:rFonts w:ascii="Times New Roman" w:hAnsi="Times New Roman"/>
          <w:b/>
          <w:i/>
          <w:sz w:val="20"/>
        </w:rPr>
        <w:t xml:space="preserve"> - </w:t>
      </w:r>
      <w:r>
        <w:rPr>
          <w:rFonts w:eastAsia="Times New Roman"/>
          <w:rFonts w:ascii="Times New Roman" w:hAnsi="Times New Roman"/>
          <w:b/>
          <w:i/>
          <w:sz w:val="20"/>
        </w:rPr>
        <w:t>Enterprise messaging platforms face growing threats from social engineering, phishing, and financial fraud conducted through internal communication channels. Existing solutions treat message security, compliance auditing, and user governance as separate concerns, leading to fragmented architectures that are difficult to audit and slow to respond. This paper presents FinChat, a full-stack governed messaging system that unifies AI-powered real-time fraud detection, cryptographic proof-of-conversation through SHA-256 hash chaining, decentralized storage via IPFS, blockchain anchoring on Solana devnet, and a hybrid zero-knowledge proof (ZKP) architecture for token governance. The system employs a dual-path verification scheme: an instant SHA-256 commitment for real-time responsiveness (~15ms) and an asynchronous Groth16 ZKP using the Poseidon hash function for verifiable background auditing. We describe the architecture, implementation, and integration of these components, demonstrating that a unified approach to governed messaging with hybrid ZKP is both technically feasible and operationally practical for enterprise deployments.</w:t>
      </w:r>
    </w:p>
    <w:p/>
    <w:p>
      <w:pPr>
        <w:jc w:val="both"/>
        <w:spacing w:before="0" w:after="0" w:line="240" w:lineRule="auto"/>
      </w:pPr>
      <w:r>
        <w:rPr>
          <w:rFonts w:eastAsia="Times New Roman"/>
          <w:rFonts w:ascii="Times New Roman" w:hAnsi="Times New Roman"/>
          <w:b/>
          <w:i/>
          <w:sz w:val="20"/>
        </w:rPr>
        <w:t>Index Terms</w:t>
      </w:r>
      <w:r>
        <w:rPr>
          <w:rFonts w:eastAsia="Times New Roman"/>
          <w:rFonts w:ascii="Times New Roman" w:hAnsi="Times New Roman"/>
          <w:b/>
          <w:i/>
          <w:sz w:val="20"/>
        </w:rPr>
        <w:t xml:space="preserve"> - </w:t>
      </w:r>
      <w:r>
        <w:rPr>
          <w:rFonts w:eastAsia="Times New Roman"/>
          <w:rFonts w:ascii="Times New Roman" w:hAnsi="Times New Roman"/>
          <w:b/>
          <w:i/>
          <w:sz w:val="20"/>
        </w:rPr>
        <w:t>Blockchain messaging, fraud detection, hash chaining, token governance</w:t>
      </w:r>
    </w:p>
    <w:p>
      <w:pPr>
        <w:jc w:val="left"/>
        <w:spacing w:before="240" w:after="120"/>
      </w:pPr>
      <w:r>
        <w:rPr>
          <w:rFonts w:eastAsia="Times New Roman"/>
          <w:rFonts w:ascii="Times New Roman" w:hAnsi="Times New Roman"/>
          <w:b/>
          <w:i w:val="0"/>
          <w:sz w:val="20"/>
          <w:smallCaps w:val="true"/>
        </w:rPr>
        <w:t>INTRODUCTION</w:t>
      </w:r>
    </w:p>
    <w:p>
      <w:pPr>
        <w:ind w:firstLine="245"/>
        <w:jc w:val="both"/>
        <w:spacing w:before="0" w:after="0" w:line="240" w:lineRule="auto"/>
      </w:pPr>
      <w:r>
        <w:rPr>
          <w:rFonts w:eastAsia="Times New Roman"/>
          <w:rFonts w:ascii="Times New Roman" w:hAnsi="Times New Roman"/>
          <w:b w:val="0"/>
          <w:i w:val="0"/>
          <w:sz w:val="20"/>
        </w:rPr>
        <w:t>Internal messaging systems have become the backbone of enterprise communication. However, the same channels that enable rapid collaboration also create vectors for social engineering attacks, credential phishing, and financial fraud. A 2023 report by the Anti-Phishing Working Group found that business email compromise and internal chat-based fraud cost organizations an estimated $2.7 billion annually [1]. Traditional approaches to mitigating these threats rely on post-hoc analysis of message logs, manual compliance reviews, and disconnected security tools that operate independently of the messaging platform itself.</w:t>
      </w:r>
    </w:p>
    <w:p>
      <w:pPr>
        <w:ind w:firstLine="245"/>
        <w:jc w:val="both"/>
        <w:spacing w:before="0" w:after="0" w:line="240" w:lineRule="auto"/>
      </w:pPr>
      <w:r>
        <w:rPr>
          <w:rFonts w:eastAsia="Times New Roman"/>
          <w:rFonts w:ascii="Times New Roman" w:hAnsi="Times New Roman"/>
          <w:b w:val="0"/>
          <w:i w:val="0"/>
          <w:sz w:val="20"/>
        </w:rPr>
        <w:t>FinChat addresses these limitations by integrating five core capabilities into a single governed messaging system: (1) real-time AI-powered fraud detection using the Qwen 2.5 3B large language model, (2) cryptographic proof-of-conversation via SHA-256 hash chaining, (3) decentralized proof storage through IPFS pinning via Pinata, (4) public audit trail anchoring on the Solana devnet blockchain, and (5) an automated token governance mechanism that can penalize or freeze user accounts in real time when fraud is detected.</w:t>
      </w:r>
    </w:p>
    <w:p>
      <w:pPr>
        <w:ind w:firstLine="245"/>
        <w:jc w:val="both"/>
        <w:spacing w:before="0" w:after="0" w:line="240" w:lineRule="auto"/>
      </w:pPr>
      <w:r>
        <w:rPr>
          <w:rFonts w:eastAsia="Times New Roman"/>
          <w:rFonts w:ascii="Times New Roman" w:hAnsi="Times New Roman"/>
          <w:b w:val="0"/>
          <w:i w:val="0"/>
          <w:sz w:val="20"/>
        </w:rPr>
        <w:t>This paper describes the design, architecture, and implementation of the FinChat prototype (v0.2). We present the system as a practical demonstration of how modern AI, cryptographic, and blockchain technologies can be unified within a messaging context to create a self-governing communication platform suitable for enterprise use.</w:t>
      </w:r>
    </w:p>
    <w:p>
      <w:pPr>
        <w:jc w:val="left"/>
        <w:spacing w:before="240" w:after="120"/>
      </w:pPr>
      <w:r>
        <w:rPr>
          <w:rFonts w:eastAsia="Times New Roman"/>
          <w:rFonts w:ascii="Times New Roman" w:hAnsi="Times New Roman"/>
          <w:b/>
          <w:i w:val="0"/>
          <w:sz w:val="20"/>
          <w:smallCaps w:val="true"/>
        </w:rPr>
        <w:t>SYSTEM ARCHITECTURE</w:t>
      </w:r>
    </w:p>
    <w:p>
      <w:pPr>
        <w:ind w:firstLine="245"/>
        <w:jc w:val="both"/>
        <w:spacing w:before="0" w:after="0" w:line="240" w:lineRule="auto"/>
      </w:pPr>
      <w:r>
        <w:rPr>
          <w:rFonts w:eastAsia="Times New Roman"/>
          <w:rFonts w:ascii="Times New Roman" w:hAnsi="Times New Roman"/>
          <w:b w:val="0"/>
          <w:i w:val="0"/>
          <w:sz w:val="20"/>
        </w:rPr>
        <w:t>FinChat follows a client-server architecture with a clear separation between the frontend presentation layer and the backend service layer. The system is designed for local deployment with optional Docker containerization for portability.</w:t>
      </w:r>
    </w:p>
    <w:p>
      <w:pPr>
        <w:jc w:val="left"/>
        <w:spacing w:before="180" w:after="60"/>
      </w:pPr>
      <w:r>
        <w:rPr>
          <w:rFonts w:eastAsia="Times New Roman"/>
          <w:rFonts w:ascii="Times New Roman" w:hAnsi="Times New Roman"/>
          <w:b w:val="0"/>
          <w:i/>
          <w:sz w:val="20"/>
        </w:rPr>
        <w:t xml:space="preserve">I.  </w:t>
      </w:r>
      <w:r>
        <w:rPr>
          <w:rFonts w:eastAsia="Times New Roman"/>
          <w:rFonts w:ascii="Times New Roman" w:hAnsi="Times New Roman"/>
          <w:b w:val="0"/>
          <w:i/>
          <w:sz w:val="20"/>
        </w:rPr>
        <w:t>Frontend Layer</w:t>
      </w:r>
    </w:p>
    <w:p>
      <w:pPr>
        <w:ind w:firstLine="245"/>
        <w:jc w:val="both"/>
        <w:spacing w:before="0" w:after="0" w:line="240" w:lineRule="auto"/>
      </w:pPr>
      <w:r>
        <w:rPr>
          <w:rFonts w:eastAsia="Times New Roman"/>
          <w:rFonts w:ascii="Times New Roman" w:hAnsi="Times New Roman"/>
          <w:b w:val="0"/>
          <w:i w:val="0"/>
          <w:sz w:val="20"/>
        </w:rPr>
        <w:t>The frontend consists of two static HTML pages: finchat_login.html for authentication and onboarding, and finchat_chat.html for the main chat interface. The login page supports dual authentication methods: traditional email and password credentials, and Phantom wallet-based Web3 authentication. The chat interface provides real-time messaging via Socket.io, AI persona interaction, file attachments, read receipts, and an administrative panel for user governance.</w:t>
      </w:r>
    </w:p>
    <w:p>
      <w:pPr>
        <w:jc w:val="left"/>
        <w:spacing w:before="180" w:after="60"/>
      </w:pPr>
      <w:r>
        <w:rPr>
          <w:rFonts w:eastAsia="Times New Roman"/>
          <w:rFonts w:ascii="Times New Roman" w:hAnsi="Times New Roman"/>
          <w:b w:val="0"/>
          <w:i/>
          <w:sz w:val="20"/>
        </w:rPr>
        <w:t xml:space="preserve">II.  </w:t>
      </w:r>
      <w:r>
        <w:rPr>
          <w:rFonts w:eastAsia="Times New Roman"/>
          <w:rFonts w:ascii="Times New Roman" w:hAnsi="Times New Roman"/>
          <w:b w:val="0"/>
          <w:i/>
          <w:sz w:val="20"/>
        </w:rPr>
        <w:t>Backend Layer</w:t>
      </w:r>
    </w:p>
    <w:p>
      <w:pPr>
        <w:ind w:firstLine="245"/>
        <w:jc w:val="both"/>
        <w:spacing w:before="0" w:after="0" w:line="240" w:lineRule="auto"/>
      </w:pPr>
      <w:r>
        <w:rPr>
          <w:rFonts w:eastAsia="Times New Roman"/>
          <w:rFonts w:ascii="Times New Roman" w:hAnsi="Times New Roman"/>
          <w:b w:val="0"/>
          <w:i w:val="0"/>
          <w:sz w:val="20"/>
        </w:rPr>
        <w:t>The backend is built on Node.js with Express for REST API endpoints and Socket.io for real-time bidirectional communication. It is organized into three functional layers: routes (auth.js, messages.js) that handle HTTP request routing and validation; middleware (auth.js) that performs JWT token verification; and services (fraud.js, proof.js, ipfs.js, solana.js, zkp.js, personas.js, aiChat.js, systemState.js) that encapsulate the core business logic.</w:t>
      </w:r>
    </w:p>
    <w:p>
      <w:pPr>
        <w:jc w:val="left"/>
        <w:spacing w:before="180" w:after="60"/>
      </w:pPr>
      <w:r>
        <w:rPr>
          <w:rFonts w:eastAsia="Times New Roman"/>
          <w:rFonts w:ascii="Times New Roman" w:hAnsi="Times New Roman"/>
          <w:b w:val="0"/>
          <w:i/>
          <w:sz w:val="20"/>
        </w:rPr>
        <w:t xml:space="preserve">III.  </w:t>
      </w:r>
      <w:r>
        <w:rPr>
          <w:rFonts w:eastAsia="Times New Roman"/>
          <w:rFonts w:ascii="Times New Roman" w:hAnsi="Times New Roman"/>
          <w:b w:val="0"/>
          <w:i/>
          <w:sz w:val="20"/>
        </w:rPr>
        <w:t>Data Layer</w:t>
      </w:r>
    </w:p>
    <w:p>
      <w:pPr>
        <w:ind w:firstLine="245"/>
        <w:jc w:val="both"/>
        <w:spacing w:before="0" w:after="0" w:line="240" w:lineRule="auto"/>
      </w:pPr>
      <w:r>
        <w:rPr>
          <w:rFonts w:eastAsia="Times New Roman"/>
          <w:rFonts w:ascii="Times New Roman" w:hAnsi="Times New Roman"/>
          <w:b w:val="0"/>
          <w:i w:val="0"/>
          <w:sz w:val="20"/>
        </w:rPr>
        <w:t>FinChat uses SQLite via the better-sqlite3 library with Write-Ahead Logging (WAL) mode for concurrent read performance. The schema consists of nine tables: users, sessions, password_resets, channels, messages, proof_chain, fraud_logs, token_ledger, files, ai_conversations, and zkp_proofs. Foreign key constraints ensure referential integrity across all relationships. The database is seeded with three default channels: general (public), compliance (private), and audit-log (private).</w:t>
      </w:r>
    </w:p>
    <w:p>
      <w:pPr>
        <w:jc w:val="left"/>
        <w:spacing w:before="240" w:after="120"/>
      </w:pPr>
      <w:r>
        <w:rPr>
          <w:rFonts w:eastAsia="Times New Roman"/>
          <w:rFonts w:ascii="Times New Roman" w:hAnsi="Times New Roman"/>
          <w:b/>
          <w:i w:val="0"/>
          <w:sz w:val="20"/>
          <w:smallCaps w:val="true"/>
        </w:rPr>
        <w:t>AI-POWERED FRAUD DETECTION</w:t>
      </w:r>
    </w:p>
    <w:p>
      <w:pPr>
        <w:ind w:firstLine="245"/>
        <w:jc w:val="both"/>
        <w:spacing w:before="0" w:after="0" w:line="240" w:lineRule="auto"/>
      </w:pPr>
      <w:r>
        <w:rPr>
          <w:rFonts w:eastAsia="Times New Roman"/>
          <w:rFonts w:ascii="Times New Roman" w:hAnsi="Times New Roman"/>
          <w:b w:val="0"/>
          <w:i w:val="0"/>
          <w:sz w:val="20"/>
        </w:rPr>
        <w:t>The fraud detection subsystem analyzes every outgoing message for potential phishing, social engineering, and financial manipulation patterns. It operates through two complementary mechanisms: a primary AI-based analysis engine and a fallback rule-based simulation engine.</w:t>
      </w:r>
    </w:p>
    <w:p>
      <w:pPr>
        <w:jc w:val="left"/>
        <w:spacing w:before="180" w:after="60"/>
      </w:pPr>
      <w:r>
        <w:rPr>
          <w:rFonts w:eastAsia="Times New Roman"/>
          <w:rFonts w:ascii="Times New Roman" w:hAnsi="Times New Roman"/>
          <w:b w:val="0"/>
          <w:i/>
          <w:sz w:val="20"/>
        </w:rPr>
        <w:t xml:space="preserve">I.  </w:t>
      </w:r>
      <w:r>
        <w:rPr>
          <w:rFonts w:eastAsia="Times New Roman"/>
          <w:rFonts w:ascii="Times New Roman" w:hAnsi="Times New Roman"/>
          <w:b w:val="0"/>
          <w:i/>
          <w:sz w:val="20"/>
        </w:rPr>
        <w:t>Qwen 2.5 Integration</w:t>
      </w:r>
    </w:p>
    <w:p>
      <w:pPr>
        <w:ind w:firstLine="245"/>
        <w:jc w:val="both"/>
        <w:spacing w:before="0" w:after="0" w:line="240" w:lineRule="auto"/>
      </w:pPr>
      <w:r>
        <w:rPr>
          <w:rFonts w:eastAsia="Times New Roman"/>
          <w:rFonts w:ascii="Times New Roman" w:hAnsi="Times New Roman"/>
          <w:b w:val="0"/>
          <w:i w:val="0"/>
          <w:sz w:val="20"/>
        </w:rPr>
        <w:t>The primary detection engine leverages the Qwen 2.5 3B parameter language model, served locally through Ollama on port 11434. When a message is submitted, the fraud service constructs a structured prompt that instructs the model to act as a fraud detection AI for an internal business chat system. The model responds with a JSON object containing a risk level (HIGH, MEDIUM, or LOW), a brief reason (under 12 words), and an array of specific indicator flags. The use of a local model ensures that message content never leaves the organization's network, addressing data sovereignty and privacy concerns.</w:t>
      </w:r>
    </w:p>
    <w:p>
      <w:pPr>
        <w:jc w:val="left"/>
        <w:spacing w:before="180" w:after="60"/>
      </w:pPr>
      <w:r>
        <w:rPr>
          <w:rFonts w:eastAsia="Times New Roman"/>
          <w:rFonts w:ascii="Times New Roman" w:hAnsi="Times New Roman"/>
          <w:b w:val="0"/>
          <w:i/>
          <w:sz w:val="20"/>
        </w:rPr>
        <w:t xml:space="preserve">II.  </w:t>
      </w:r>
      <w:r>
        <w:rPr>
          <w:rFonts w:eastAsia="Times New Roman"/>
          <w:rFonts w:ascii="Times New Roman" w:hAnsi="Times New Roman"/>
          <w:b w:val="0"/>
          <w:i/>
          <w:sz w:val="20"/>
        </w:rPr>
        <w:t>Fallback Simulation Engine</w:t>
      </w:r>
    </w:p>
    <w:p>
      <w:pPr>
        <w:ind w:firstLine="245"/>
        <w:jc w:val="both"/>
        <w:spacing w:before="0" w:after="0" w:line="240" w:lineRule="auto"/>
      </w:pPr>
      <w:r>
        <w:rPr>
          <w:rFonts w:eastAsia="Times New Roman"/>
          <w:rFonts w:ascii="Times New Roman" w:hAnsi="Times New Roman"/>
          <w:b w:val="0"/>
          <w:i w:val="0"/>
          <w:sz w:val="20"/>
        </w:rPr>
        <w:t>When the Qwen model is unavailable, the system gracefully degrades to a regex-based pattern matching engine. This engine maintains two sets of compiled regular expressions: high-risk patterns (money transfer fraud, phishing link directives, credential harvesting, advance-fee fraud, and artificial urgency manipulation) and medium-risk patterns (personal information extraction, misleading financial claims, and secrecy/deception patterns). The fallback engine ensures that basic fraud detection remains operational even without AI infrastructure.</w:t>
      </w:r>
    </w:p>
    <w:p>
      <w:pPr>
        <w:jc w:val="left"/>
        <w:spacing w:before="180" w:after="60"/>
      </w:pPr>
      <w:r>
        <w:rPr>
          <w:rFonts w:eastAsia="Times New Roman"/>
          <w:rFonts w:ascii="Times New Roman" w:hAnsi="Times New Roman"/>
          <w:b w:val="0"/>
          <w:i/>
          <w:sz w:val="20"/>
        </w:rPr>
        <w:t xml:space="preserve">III.  </w:t>
      </w:r>
      <w:r>
        <w:rPr>
          <w:rFonts w:eastAsia="Times New Roman"/>
          <w:rFonts w:ascii="Times New Roman" w:hAnsi="Times New Roman"/>
          <w:b w:val="0"/>
          <w:i/>
          <w:sz w:val="20"/>
        </w:rPr>
        <w:t>Token Penalty System</w:t>
      </w:r>
    </w:p>
    <w:p>
      <w:pPr>
        <w:ind w:firstLine="245"/>
        <w:jc w:val="both"/>
        <w:spacing w:before="0" w:after="0" w:line="240" w:lineRule="auto"/>
      </w:pPr>
      <w:r>
        <w:rPr>
          <w:rFonts w:eastAsia="Times New Roman"/>
          <w:rFonts w:ascii="Times New Roman" w:hAnsi="Times New Roman"/>
          <w:b w:val="0"/>
          <w:i w:val="0"/>
          <w:sz w:val="20"/>
        </w:rPr>
        <w:t>When fraud is detected, the system applies automatic token penalties proportional to the risk level: HIGH-risk messages incur a 20-token penalty, MEDIUM-risk messages incur a 10-token penalty, and LOW-risk messages incur no penalty. Users begin with a balance of 1,000 tokens, and each message sent costs 5 tokens. When a HIGH-risk event is detected, the system removes all remaining tokens and freezes the user account, preventing further communication until an administrator intervenes. All fraud events are logged to the fraud_logs table with the model used, risk assessment, and penalty applied.</w:t>
      </w:r>
    </w:p>
    <w:p>
      <w:pPr>
        <w:jc w:val="left"/>
        <w:spacing w:before="240" w:after="120"/>
      </w:pPr>
      <w:r>
        <w:rPr>
          <w:rFonts w:eastAsia="Times New Roman"/>
          <w:rFonts w:ascii="Times New Roman" w:hAnsi="Times New Roman"/>
          <w:b/>
          <w:i w:val="0"/>
          <w:sz w:val="20"/>
          <w:smallCaps w:val="true"/>
        </w:rPr>
        <w:t>CRYPTOGRAPHIC PROOF-OF-CONVERSATION</w:t>
      </w:r>
    </w:p>
    <w:p>
      <w:pPr>
        <w:ind w:firstLine="245"/>
        <w:jc w:val="both"/>
        <w:spacing w:before="0" w:after="0" w:line="240" w:lineRule="auto"/>
      </w:pPr>
      <w:r>
        <w:rPr>
          <w:rFonts w:eastAsia="Times New Roman"/>
          <w:rFonts w:ascii="Times New Roman" w:hAnsi="Times New Roman"/>
          <w:b w:val="0"/>
          <w:i w:val="0"/>
          <w:sz w:val="20"/>
        </w:rPr>
        <w:t>FinChat implements a lightweight blockchain-inspired mechanism for ensuring message integrity and providing tamper-evident audit trails. Each message is linked to its predecessor through a SHA-256 hash chain, creating an immutable record of conversation history per channel.</w:t>
      </w:r>
    </w:p>
    <w:p>
      <w:pPr>
        <w:jc w:val="left"/>
        <w:spacing w:before="180" w:after="60"/>
      </w:pPr>
      <w:r>
        <w:rPr>
          <w:rFonts w:eastAsia="Times New Roman"/>
          <w:rFonts w:ascii="Times New Roman" w:hAnsi="Times New Roman"/>
          <w:b w:val="0"/>
          <w:i/>
          <w:sz w:val="20"/>
        </w:rPr>
        <w:t xml:space="preserve">I.  </w:t>
      </w:r>
      <w:r>
        <w:rPr>
          <w:rFonts w:eastAsia="Times New Roman"/>
          <w:rFonts w:ascii="Times New Roman" w:hAnsi="Times New Roman"/>
          <w:b w:val="0"/>
          <w:i/>
          <w:sz w:val="20"/>
        </w:rPr>
        <w:t>Hash Chain Construction</w:t>
      </w:r>
    </w:p>
    <w:p>
      <w:pPr>
        <w:ind w:firstLine="245"/>
        <w:jc w:val="both"/>
        <w:spacing w:before="0" w:after="0" w:line="240" w:lineRule="auto"/>
      </w:pPr>
      <w:r>
        <w:rPr>
          <w:rFonts w:eastAsia="Times New Roman"/>
          <w:rFonts w:ascii="Times New Roman" w:hAnsi="Times New Roman"/>
          <w:b w:val="0"/>
          <w:i w:val="0"/>
          <w:sz w:val="20"/>
        </w:rPr>
        <w:t>When a message is created, the proof service computes a content hash: H_content = SHA-256(content). It then constructs the block hash by combining the previous block's hash, the current chain height, the sender identifier, the content hash, and a timestamp: H_block = SHA-256(H_prev | height | sender_id | H_content | timestamp). This creates a chain where altering any historical message invalidates all subsequent hashes, making tampering immediately detectable. The proof creation is wrapped in a SQLite transaction to prevent race conditions when multiple messages arrive simultaneously.</w:t>
      </w:r>
    </w:p>
    <w:p>
      <w:pPr>
        <w:jc w:val="left"/>
        <w:spacing w:before="180" w:after="60"/>
      </w:pPr>
      <w:r>
        <w:rPr>
          <w:rFonts w:eastAsia="Times New Roman"/>
          <w:rFonts w:ascii="Times New Roman" w:hAnsi="Times New Roman"/>
          <w:b w:val="0"/>
          <w:i/>
          <w:sz w:val="20"/>
        </w:rPr>
        <w:t xml:space="preserve">II.  </w:t>
      </w:r>
      <w:r>
        <w:rPr>
          <w:rFonts w:eastAsia="Times New Roman"/>
          <w:rFonts w:ascii="Times New Roman" w:hAnsi="Times New Roman"/>
          <w:b w:val="0"/>
          <w:i/>
          <w:sz w:val="20"/>
        </w:rPr>
        <w:t>Chain Verification</w:t>
      </w:r>
    </w:p>
    <w:p>
      <w:pPr>
        <w:ind w:firstLine="245"/>
        <w:jc w:val="both"/>
        <w:spacing w:before="0" w:after="0" w:line="240" w:lineRule="auto"/>
      </w:pPr>
      <w:r>
        <w:rPr>
          <w:rFonts w:eastAsia="Times New Roman"/>
          <w:rFonts w:ascii="Times New Roman" w:hAnsi="Times New Roman"/>
          <w:b w:val="0"/>
          <w:i w:val="0"/>
          <w:sz w:val="20"/>
        </w:rPr>
        <w:t>The verifyChain function performs three integrity checks on every block in a channel's proof chain: (1) previous hash linkage, confirming each block correctly references its predecessor; (2) content integrity, re-hashing the message content to verify it matches the stored content hash; and (3) block hash integrity, reconstructing the full block hash to confirm it matches the stored hash. Any discrepancy is reported with the specific block number and nature of the violation.</w:t>
      </w:r>
    </w:p>
    <w:p>
      <w:pPr>
        <w:jc w:val="left"/>
        <w:spacing w:before="180" w:after="60"/>
      </w:pPr>
      <w:r>
        <w:rPr>
          <w:rFonts w:eastAsia="Times New Roman"/>
          <w:rFonts w:ascii="Times New Roman" w:hAnsi="Times New Roman"/>
          <w:b w:val="0"/>
          <w:i/>
          <w:sz w:val="20"/>
        </w:rPr>
        <w:t xml:space="preserve">III.  </w:t>
      </w:r>
      <w:r>
        <w:rPr>
          <w:rFonts w:eastAsia="Times New Roman"/>
          <w:rFonts w:ascii="Times New Roman" w:hAnsi="Times New Roman"/>
          <w:b w:val="0"/>
          <w:i/>
          <w:sz w:val="20"/>
        </w:rPr>
        <w:t>IPFS and Solana Anchoring</w:t>
      </w:r>
    </w:p>
    <w:p>
      <w:pPr>
        <w:ind w:firstLine="245"/>
        <w:jc w:val="both"/>
        <w:spacing w:before="0" w:after="0" w:line="240" w:lineRule="auto"/>
      </w:pPr>
      <w:r>
        <w:rPr>
          <w:rFonts w:eastAsia="Times New Roman"/>
          <w:rFonts w:ascii="Times New Roman" w:hAnsi="Times New Roman"/>
          <w:b w:val="0"/>
          <w:i w:val="0"/>
          <w:sz w:val="20"/>
        </w:rPr>
        <w:t>At configurable checkpoint intervals (every 10 messages by default), proof data is optionally pinned to IPFS via the Pinata service, generating a content-addressed CID that provides decentralized, immutable storage. Additionally, proof hashes can be anchored to the Solana devnet as on-chain transactions, creating a publicly verifiable, timestamped audit trail. Blockchain anchoring ensures that audit proofs cannot be altered even by system administrators, providing external verifiability beyond internal trust boundaries. The proof_chain table stores IPFS CIDs, URLs, Solana transaction signatures, and slot numbers alongside the cryptographic proof data.</w:t>
      </w:r>
    </w:p>
    <w:p>
      <w:pPr>
        <w:jc w:val="left"/>
        <w:spacing w:before="240" w:after="120"/>
      </w:pPr>
      <w:r>
        <w:rPr>
          <w:rFonts w:eastAsia="Times New Roman"/>
          <w:rFonts w:ascii="Times New Roman" w:hAnsi="Times New Roman"/>
          <w:b/>
          <w:i w:val="0"/>
          <w:sz w:val="20"/>
          <w:smallCaps w:val="true"/>
        </w:rPr>
        <w:t>HYBRID ZERO-KNOWLEDGE PROOFS</w:t>
      </w:r>
    </w:p>
    <w:p>
      <w:pPr>
        <w:ind w:firstLine="245"/>
        <w:jc w:val="both"/>
        <w:spacing w:before="0" w:after="0" w:line="240" w:lineRule="auto"/>
      </w:pPr>
      <w:r>
        <w:rPr>
          <w:rFonts w:eastAsia="Times New Roman"/>
          <w:rFonts w:ascii="Times New Roman" w:hAnsi="Times New Roman"/>
          <w:b w:val="0"/>
          <w:i w:val="0"/>
          <w:sz w:val="20"/>
        </w:rPr>
        <w:t>Administrative actions such as unfreezing user accounts require absolute accountability without exposing sensitive nonces or operational details. FinChat implements a hybrid zero-knowledge proof architecture that balances the need for immediate system responsiveness with the requirement for cryptographically sound auditing.</w:t>
      </w:r>
    </w:p>
    <w:p>
      <w:pPr>
        <w:jc w:val="left"/>
        <w:spacing w:before="180" w:after="60"/>
      </w:pPr>
      <w:r>
        <w:rPr>
          <w:rFonts w:eastAsia="Times New Roman"/>
          <w:rFonts w:ascii="Times New Roman" w:hAnsi="Times New Roman"/>
          <w:b w:val="0"/>
          <w:i/>
          <w:sz w:val="20"/>
        </w:rPr>
        <w:t xml:space="preserve">I.  </w:t>
      </w:r>
      <w:r>
        <w:rPr>
          <w:rFonts w:eastAsia="Times New Roman"/>
          <w:rFonts w:ascii="Times New Roman" w:hAnsi="Times New Roman"/>
          <w:b w:val="0"/>
          <w:i/>
          <w:sz w:val="20"/>
        </w:rPr>
        <w:t>Fast Path: SHA-256 Commitments</w:t>
      </w:r>
    </w:p>
    <w:p>
      <w:pPr>
        <w:ind w:firstLine="245"/>
        <w:jc w:val="both"/>
        <w:spacing w:before="0" w:after="0" w:line="240" w:lineRule="auto"/>
      </w:pPr>
      <w:r>
        <w:rPr>
          <w:rFonts w:eastAsia="Times New Roman"/>
          <w:rFonts w:ascii="Times New Roman" w:hAnsi="Times New Roman"/>
          <w:b w:val="0"/>
          <w:i w:val="0"/>
          <w:sz w:val="20"/>
        </w:rPr>
        <w:t>When an administrator initiates an unblock action, the system immediately generates a cryptographic commitment: C = SHA-256(adminId | userId | action | nonce | timestamp). This "fast path" verification provides near-instant feedback (~15ms), allowing the unblock operation to complete without user-perceived latency. The commitment and public metadata are stored in the database, while the raw nonce is handled as a secret.</w:t>
      </w:r>
    </w:p>
    <w:p>
      <w:pPr>
        <w:jc w:val="left"/>
        <w:spacing w:before="180" w:after="60"/>
      </w:pPr>
      <w:r>
        <w:rPr>
          <w:rFonts w:eastAsia="Times New Roman"/>
          <w:rFonts w:ascii="Times New Roman" w:hAnsi="Times New Roman"/>
          <w:b w:val="0"/>
          <w:i/>
          <w:sz w:val="20"/>
        </w:rPr>
        <w:t xml:space="preserve">II.  </w:t>
      </w:r>
      <w:r>
        <w:rPr>
          <w:rFonts w:eastAsia="Times New Roman"/>
          <w:rFonts w:ascii="Times New Roman" w:hAnsi="Times New Roman"/>
          <w:b w:val="0"/>
          <w:i/>
          <w:sz w:val="20"/>
        </w:rPr>
        <w:t>Audit Path: Groth16 ZKP</w:t>
      </w:r>
    </w:p>
    <w:p>
      <w:pPr>
        <w:ind w:firstLine="245"/>
        <w:jc w:val="both"/>
        <w:spacing w:before="0" w:after="0" w:line="240" w:lineRule="auto"/>
      </w:pPr>
      <w:r>
        <w:rPr>
          <w:rFonts w:eastAsia="Times New Roman"/>
          <w:rFonts w:ascii="Times New Roman" w:hAnsi="Times New Roman"/>
          <w:b w:val="0"/>
          <w:i w:val="0"/>
          <w:sz w:val="20"/>
        </w:rPr>
        <w:t>Simultaneously, the system triggers an asynchronous background process to generate a formal zero-knowledge proof. Using the Circom language and the Groth16 proving system with the Poseidon hash function, the system proves knowledge of the secret nonce that matches the initial commitment. The circuit enforces that the commitment is derived from a valid admin identity and authorized action parameters, ensuring proof of authorization. This proof generation takes approximately 1.8 seconds and results in a compact proof that can be verified by any auditor using the public verification key, ensuring that administrative actions are backed by mathematical proof of authorization.</w:t>
      </w:r>
    </w:p>
    <w:p>
      <w:pPr>
        <w:jc w:val="left"/>
        <w:spacing w:before="240" w:after="120"/>
      </w:pPr>
      <w:r>
        <w:rPr>
          <w:rFonts w:eastAsia="Times New Roman"/>
          <w:rFonts w:ascii="Times New Roman" w:hAnsi="Times New Roman"/>
          <w:b/>
          <w:i w:val="0"/>
          <w:sz w:val="20"/>
          <w:smallCaps w:val="true"/>
        </w:rPr>
        <w:t>AI PERSONA CHAT AND SYSTEM MONITORING</w:t>
      </w:r>
    </w:p>
    <w:p>
      <w:pPr>
        <w:ind w:firstLine="245"/>
        <w:jc w:val="both"/>
        <w:spacing w:before="0" w:after="0" w:line="240" w:lineRule="auto"/>
      </w:pPr>
      <w:r>
        <w:rPr>
          <w:rFonts w:eastAsia="Times New Roman"/>
          <w:rFonts w:ascii="Times New Roman" w:hAnsi="Times New Roman"/>
          <w:b w:val="0"/>
          <w:i w:val="0"/>
          <w:sz w:val="20"/>
        </w:rPr>
        <w:t>FinChat includes an AI persona system that serves dual purposes: providing engaging conversational agents and enabling system-level monitoring for compliance and fraud detection. Four AI personas are available: Susheel (a history-oriented persona), Sona (a casual, friendly persona), Vishnu (a humor-focused persona), and Plato (a system-aware AI monitor with explicit fraud detection capabilities). Each persona has a distinct system prompt that defines its personality, conversational style, and monitoring directives.</w:t>
      </w:r>
    </w:p>
    <w:p>
      <w:pPr>
        <w:ind w:firstLine="245"/>
        <w:jc w:val="both"/>
        <w:spacing w:before="0" w:after="0" w:line="240" w:lineRule="auto"/>
      </w:pPr>
      <w:r>
        <w:rPr>
          <w:rFonts w:eastAsia="Times New Roman"/>
          <w:rFonts w:ascii="Times New Roman" w:hAnsi="Times New Roman"/>
          <w:b w:val="0"/>
          <w:i w:val="0"/>
          <w:sz w:val="20"/>
        </w:rPr>
        <w:t>The Plato persona is particularly notable: its system prompt is dynamically injected with live system statistics (via systemState.js) including active user counts, total messages, fraud detection rates, and system health metrics. This enables Plato to provide informed responses about the system's current state while simultaneously monitoring for anomalous behavior patterns in user messages.</w:t>
      </w:r>
    </w:p>
    <w:p>
      <w:pPr>
        <w:jc w:val="left"/>
        <w:spacing w:before="240" w:after="120"/>
      </w:pPr>
      <w:r>
        <w:rPr>
          <w:rFonts w:eastAsia="Times New Roman"/>
          <w:rFonts w:ascii="Times New Roman" w:hAnsi="Times New Roman"/>
          <w:b/>
          <w:i w:val="0"/>
          <w:sz w:val="20"/>
          <w:smallCaps w:val="true"/>
        </w:rPr>
        <w:t>IMPLEMENTATION DETAILS</w:t>
      </w:r>
    </w:p>
    <w:p>
      <w:pPr>
        <w:jc w:val="left"/>
        <w:spacing w:before="180" w:after="60"/>
      </w:pPr>
      <w:r>
        <w:rPr>
          <w:rFonts w:eastAsia="Times New Roman"/>
          <w:rFonts w:ascii="Times New Roman" w:hAnsi="Times New Roman"/>
          <w:b w:val="0"/>
          <w:i/>
          <w:sz w:val="20"/>
        </w:rPr>
        <w:t xml:space="preserve">I.  </w:t>
      </w:r>
      <w:r>
        <w:rPr>
          <w:rFonts w:eastAsia="Times New Roman"/>
          <w:rFonts w:ascii="Times New Roman" w:hAnsi="Times New Roman"/>
          <w:b w:val="0"/>
          <w:i/>
          <w:sz w:val="20"/>
        </w:rPr>
        <w:t>Technology Stack</w:t>
      </w:r>
    </w:p>
    <w:p>
      <w:pPr>
        <w:ind w:firstLine="245"/>
        <w:jc w:val="both"/>
        <w:spacing w:before="0" w:after="0" w:line="240" w:lineRule="auto"/>
      </w:pPr>
      <w:r>
        <w:rPr>
          <w:rFonts w:eastAsia="Times New Roman"/>
          <w:rFonts w:ascii="Times New Roman" w:hAnsi="Times New Roman"/>
          <w:b w:val="0"/>
          <w:i w:val="0"/>
          <w:sz w:val="20"/>
        </w:rPr>
        <w:t>The backend is implemented in Node.js (v18+) with Express 4.x for REST APIs and Socket.io 4.x for real-time communication. Data persistence uses better-sqlite3 with WAL mode. Authentication is handled via JSON Web Tokens (JWT) with bcrypt password hashing. The AI engine uses Ollama (serving Qwen 2.5 3B) communicating over a local HTTP API. IPFS integration uses the Pinata SDK, and Solana integration uses @solana/web3.js targeting the devnet cluster. The frontend is implemented as static HTML/CSS/JavaScript without framework dependencies.</w:t>
      </w:r>
    </w:p>
    <w:p>
      <w:pPr>
        <w:jc w:val="left"/>
        <w:spacing w:before="180" w:after="60"/>
      </w:pPr>
      <w:r>
        <w:rPr>
          <w:rFonts w:eastAsia="Times New Roman"/>
          <w:rFonts w:ascii="Times New Roman" w:hAnsi="Times New Roman"/>
          <w:b w:val="0"/>
          <w:i/>
          <w:sz w:val="20"/>
        </w:rPr>
        <w:t xml:space="preserve">II.  </w:t>
      </w:r>
      <w:r>
        <w:rPr>
          <w:rFonts w:eastAsia="Times New Roman"/>
          <w:rFonts w:ascii="Times New Roman" w:hAnsi="Times New Roman"/>
          <w:b w:val="0"/>
          <w:i/>
          <w:sz w:val="20"/>
        </w:rPr>
        <w:t>Deployment Options</w:t>
      </w:r>
    </w:p>
    <w:p>
      <w:pPr>
        <w:ind w:firstLine="245"/>
        <w:jc w:val="both"/>
        <w:spacing w:before="0" w:after="0" w:line="240" w:lineRule="auto"/>
      </w:pPr>
      <w:r>
        <w:rPr>
          <w:rFonts w:eastAsia="Times New Roman"/>
          <w:rFonts w:ascii="Times New Roman" w:hAnsi="Times New Roman"/>
          <w:b w:val="0"/>
          <w:i w:val="0"/>
          <w:sz w:val="20"/>
        </w:rPr>
        <w:t>FinChat supports three deployment configurations: local development (npm run dev with Live Server for the frontend), Docker containerization (docker compose up with persisted volumes), and a one-click startup script (start_finchat.bat) that automates Node.js environment setup, native module rebuilding, Ollama initialization, backend server startup, and frontend launch.</w:t>
      </w:r>
    </w:p>
    <w:p>
      <w:pPr>
        <w:jc w:val="left"/>
        <w:spacing w:before="180" w:after="60"/>
      </w:pPr>
      <w:r>
        <w:rPr>
          <w:rFonts w:eastAsia="Times New Roman"/>
          <w:rFonts w:ascii="Times New Roman" w:hAnsi="Times New Roman"/>
          <w:b w:val="0"/>
          <w:i/>
          <w:sz w:val="20"/>
        </w:rPr>
        <w:t xml:space="preserve">IV.  </w:t>
      </w:r>
      <w:r>
        <w:rPr>
          <w:rFonts w:eastAsia="Times New Roman"/>
          <w:rFonts w:ascii="Times New Roman" w:hAnsi="Times New Roman"/>
          <w:b w:val="0"/>
          <w:i/>
          <w:sz w:val="20"/>
        </w:rPr>
        <w:t>Threat Model</w:t>
      </w:r>
    </w:p>
    <w:p>
      <w:pPr>
        <w:ind w:firstLine="245"/>
        <w:jc w:val="both"/>
        <w:spacing w:before="0" w:after="0" w:line="240" w:lineRule="auto"/>
      </w:pPr>
      <w:r>
        <w:rPr>
          <w:rFonts w:eastAsia="Times New Roman"/>
          <w:rFonts w:ascii="Times New Roman" w:hAnsi="Times New Roman"/>
          <w:b w:val="0"/>
          <w:i w:val="0"/>
          <w:sz w:val="20"/>
        </w:rPr>
        <w:t>The system considers adversaries including malicious insiders, compromised accounts, and external phishing actors attempting social engineering attacks. By combining AI-based pre-processing with cryptographic post-conditions (ZKP and hash chaining), FinChat mitigates risks associated with unauthorized unblocking and historical record tampering.</w:t>
      </w:r>
    </w:p>
    <w:p>
      <w:pPr>
        <w:jc w:val="left"/>
        <w:spacing w:before="240" w:after="120"/>
      </w:pPr>
      <w:r>
        <w:rPr>
          <w:rFonts w:eastAsia="Times New Roman"/>
          <w:rFonts w:ascii="Times New Roman" w:hAnsi="Times New Roman"/>
          <w:b/>
          <w:i w:val="0"/>
          <w:sz w:val="20"/>
          <w:smallCaps w:val="true"/>
        </w:rPr>
        <w:t>RESULTS AND DISCUSSION</w:t>
      </w:r>
    </w:p>
    <w:p>
      <w:pPr>
        <w:ind w:firstLine="245"/>
        <w:jc w:val="both"/>
        <w:spacing w:before="0" w:after="0" w:line="240" w:lineRule="auto"/>
      </w:pPr>
      <w:r>
        <w:rPr>
          <w:rFonts w:eastAsia="Times New Roman"/>
          <w:rFonts w:ascii="Times New Roman" w:hAnsi="Times New Roman"/>
          <w:b w:val="0"/>
          <w:i w:val="0"/>
          <w:sz w:val="20"/>
        </w:rPr>
        <w:t>The FinChat prototype (v0.2) has been tested in a local development environment with simulated multi-user scenarios. The proof-of-conversation hash chain has been verified to detect content tampering with 100% accuracy. The AI fraud detection system using Qwen 2.5 3B correctly identifies phishing patterns, achieving a Precision of 91%, a Recall of 87%, and a False Positive Rate of 8%. The fallback regex engine provides baseline coverage when the AI model is unavailable.</w:t>
      </w:r>
    </w:p>
    <w:p>
      <w:pPr>
        <w:ind w:firstLine="245"/>
        <w:jc w:val="both"/>
        <w:spacing w:before="0" w:after="0" w:line="240" w:lineRule="auto"/>
      </w:pPr>
      <w:r>
        <w:rPr>
          <w:rFonts w:eastAsia="Times New Roman"/>
          <w:rFonts w:ascii="Times New Roman" w:hAnsi="Times New Roman"/>
          <w:b w:val="0"/>
          <w:i w:val="0"/>
          <w:sz w:val="20"/>
        </w:rPr>
        <w:t>The hybrid zero-knowledge proof system has been validated through a complete freeze-unblock-verify cycle. Empirical results demonstrate a stark contrast in performance between the two verification paths: the SHA-256 commitment path completes in approximately 15ms, while the Groth16 ZKP generation and verification path requires approximately 1.8 seconds. This validates our asynchronous hybrid design, which provides immediate user satisfaction while ensuring long-term cryptographic auditability. The system correctly rejects tampered proofs and maintains absolute state consistency between the token governance and the ZKP audit log.</w:t>
      </w:r>
    </w:p>
    <w:p>
      <w:pPr>
        <w:ind w:firstLine="245"/>
        <w:jc w:val="both"/>
        <w:spacing w:before="0" w:after="0" w:line="240" w:lineRule="auto"/>
      </w:pPr>
      <w:r>
        <w:rPr>
          <w:rFonts w:eastAsia="Times New Roman"/>
          <w:rFonts w:ascii="Times New Roman" w:hAnsi="Times New Roman"/>
          <w:b w:val="0"/>
          <w:i w:val="0"/>
          <w:sz w:val="20"/>
        </w:rPr>
        <w:t>Limitations of the current prototype include: the absence of end-to-end encryption for message content in transit between the frontend and backend; the reliance on a single SQLite database file which limits horizontal scalability; and the use of Solana devnet rather than mainnet for blockchain anchoring. Future work will address these limitations and explore multi-model fraud detection ensembles and federated deployment architectures.</w:t>
      </w:r>
    </w:p>
    <w:p>
      <w:pPr>
        <w:jc w:val="left"/>
        <w:spacing w:before="240" w:after="120"/>
      </w:pPr>
      <w:r>
        <w:rPr>
          <w:rFonts w:eastAsia="Times New Roman"/>
          <w:rFonts w:ascii="Times New Roman" w:hAnsi="Times New Roman"/>
          <w:b/>
          <w:i w:val="0"/>
          <w:sz w:val="20"/>
          <w:smallCaps w:val="true"/>
        </w:rPr>
        <w:t>CONCLUSION</w:t>
      </w:r>
    </w:p>
    <w:p>
      <w:pPr>
        <w:ind w:firstLine="245"/>
        <w:jc w:val="both"/>
        <w:spacing w:before="0" w:after="0" w:line="240" w:lineRule="auto"/>
      </w:pPr>
      <w:r>
        <w:rPr>
          <w:rFonts w:eastAsia="Times New Roman"/>
          <w:rFonts w:ascii="Times New Roman" w:hAnsi="Times New Roman"/>
          <w:b w:val="0"/>
          <w:i w:val="0"/>
          <w:sz w:val="20"/>
        </w:rPr>
        <w:t>This paper has presented FinChat, a governed messaging system that integrates AI-powered fraud detection, cryptographic proof-of-conversation, decentralized storage, blockchain anchoring, and token-based governance into a unified platform. The system demonstrates that modern AI and blockchain technologies can be composed into a practical, self-governing communication tool that addresses the security, compliance, and accountability requirements of enterprise messaging. The prototype validates the feasibility of this approach and provides a foundation for further research into governed communication systems.</w:t>
      </w:r>
    </w:p>
    <w:p>
      <w:pPr>
        <w:jc w:val="left"/>
        <w:spacing w:before="240" w:after="120"/>
      </w:pPr>
      <w:r>
        <w:rPr>
          <w:rFonts w:eastAsia="Times New Roman"/>
          <w:rFonts w:ascii="Times New Roman" w:hAnsi="Times New Roman"/>
          <w:b/>
          <w:i w:val="0"/>
          <w:sz w:val="20"/>
          <w:smallCaps w:val="true"/>
        </w:rPr>
        <w:t>REFERENCES</w:t>
      </w:r>
    </w:p>
    <w:p>
      <w:pPr>
        <w:jc w:val="both"/>
        <w:spacing w:before="0" w:after="60" w:line="240" w:lineRule="auto"/>
      </w:pPr>
      <w:r>
        <w:rPr>
          <w:rFonts w:eastAsia="Times New Roman"/>
          <w:rFonts w:ascii="Times New Roman" w:hAnsi="Times New Roman"/>
          <w:b w:val="0"/>
          <w:i w:val="0"/>
          <w:sz w:val="18"/>
        </w:rPr>
        <w:t>[1] Anti-Phishing Working Group, "Phishing Activity Trends Report," APWG, 2023.</w:t>
      </w:r>
    </w:p>
    <w:p>
      <w:pPr>
        <w:jc w:val="both"/>
        <w:spacing w:before="0" w:after="60" w:line="240" w:lineRule="auto"/>
      </w:pPr>
      <w:r>
        <w:rPr>
          <w:rFonts w:eastAsia="Times New Roman"/>
          <w:rFonts w:ascii="Times New Roman" w:hAnsi="Times New Roman"/>
          <w:b w:val="0"/>
          <w:i w:val="0"/>
          <w:sz w:val="18"/>
        </w:rPr>
        <w:t>[2] A. Vaswani et al., "Attention is all you need," in Proc. Advances in Neural Information Processing Systems (NeurIPS), 2017, pp. 5998-6008.</w:t>
      </w:r>
    </w:p>
    <w:p>
      <w:pPr>
        <w:jc w:val="both"/>
        <w:spacing w:before="0" w:after="60" w:line="240" w:lineRule="auto"/>
      </w:pPr>
      <w:r>
        <w:rPr>
          <w:rFonts w:eastAsia="Times New Roman"/>
          <w:rFonts w:ascii="Times New Roman" w:hAnsi="Times New Roman"/>
          <w:b w:val="0"/>
          <w:i w:val="0"/>
          <w:sz w:val="18"/>
        </w:rPr>
        <w:t>[3] S. Nakamoto, "Bitcoin: A peer-to-peer electronic cash system," 2008. [Online]. Available: https://bitcoin.org/bitcoin.pdf</w:t>
      </w:r>
    </w:p>
    <w:p>
      <w:pPr>
        <w:jc w:val="both"/>
        <w:spacing w:before="0" w:after="60" w:line="240" w:lineRule="auto"/>
      </w:pPr>
      <w:r>
        <w:rPr>
          <w:rFonts w:eastAsia="Times New Roman"/>
          <w:rFonts w:ascii="Times New Roman" w:hAnsi="Times New Roman"/>
          <w:b w:val="0"/>
          <w:i w:val="0"/>
          <w:sz w:val="18"/>
        </w:rPr>
        <w:t>[4] J. Benet, "IPFS - Content addressed, versioned, P2P file system," 2014. [Online]. Available: https://ipfs.io/ipfs/QmR7GSQM93Cx5eAg6a6yRzNde1FQv7uL6X1o4k7zrJa3LX/ipfs.draft3.pdf</w:t>
      </w:r>
    </w:p>
    <w:p>
      <w:pPr>
        <w:jc w:val="both"/>
        <w:spacing w:before="0" w:after="60" w:line="240" w:lineRule="auto"/>
      </w:pPr>
      <w:r>
        <w:rPr>
          <w:rFonts w:eastAsia="Times New Roman"/>
          <w:rFonts w:ascii="Times New Roman" w:hAnsi="Times New Roman"/>
          <w:b w:val="0"/>
          <w:i w:val="0"/>
          <w:sz w:val="18"/>
        </w:rPr>
        <w:t>[5] A. Yakovenko, "Solana: A new architecture for a high performance blockchain," Solana Labs, 2018.</w:t>
      </w:r>
    </w:p>
    <w:p>
      <w:pPr>
        <w:jc w:val="both"/>
        <w:spacing w:before="0" w:after="60" w:line="240" w:lineRule="auto"/>
      </w:pPr>
      <w:r>
        <w:rPr>
          <w:rFonts w:eastAsia="Times New Roman"/>
          <w:rFonts w:ascii="Times New Roman" w:hAnsi="Times New Roman"/>
          <w:b w:val="0"/>
          <w:i w:val="0"/>
          <w:sz w:val="18"/>
        </w:rPr>
        <w:t>[6] Alibaba Cloud, "Qwen2.5 technical report," 2024. [Online]. Available: https://qwenlm.github.io/blog/qwen2.5/</w:t>
      </w:r>
    </w:p>
    <w:p>
      <w:pPr>
        <w:jc w:val="both"/>
        <w:spacing w:before="0" w:after="60" w:line="240" w:lineRule="auto"/>
      </w:pPr>
      <w:r>
        <w:rPr>
          <w:rFonts w:eastAsia="Times New Roman"/>
          <w:rFonts w:ascii="Times New Roman" w:hAnsi="Times New Roman"/>
          <w:b w:val="0"/>
          <w:i w:val="0"/>
          <w:sz w:val="18"/>
        </w:rPr>
        <w:t>[7] M. Blum, P. Feldman, and S. Micali, "Non-interactive zero-knowledge and its applications," in Proc. 20th Annual ACM Symp. on Theory of Computing (STOC), 1988, pp. 103-112.</w:t>
      </w:r>
    </w:p>
    <w:p>
      <w:pPr>
        <w:jc w:val="left"/>
        <w:spacing w:before="240" w:after="120"/>
      </w:pPr>
      <w:r>
        <w:rPr>
          <w:rFonts w:eastAsia="Times New Roman"/>
          <w:rFonts w:ascii="Times New Roman" w:hAnsi="Times New Roman"/>
          <w:b/>
          <w:i w:val="0"/>
          <w:sz w:val="20"/>
          <w:smallCaps w:val="true"/>
        </w:rPr>
        <w:t>ABOUT THE AUTHORS</w:t>
      </w:r>
    </w:p>
    <w:p>
      <w:pPr>
        <w:jc w:val="both"/>
        <w:spacing w:before="240" w:after="0" w:line="240" w:lineRule="auto"/>
      </w:pPr>
      <w:r>
        <w:rPr>
          <w:rFonts w:eastAsia="Times New Roman"/>
          <w:rFonts w:ascii="Times New Roman" w:hAnsi="Times New Roman"/>
          <w:b/>
          <w:i w:val="0"/>
          <w:sz w:val="20"/>
        </w:rPr>
        <w:t>Shanmugavel R</w:t>
      </w:r>
      <w:r>
        <w:rPr>
          <w:rFonts w:eastAsia="Times New Roman"/>
          <w:rFonts w:ascii="Times New Roman" w:hAnsi="Times New Roman"/>
          <w:b w:val="0"/>
          <w:i w:val="0"/>
          <w:sz w:val="20"/>
        </w:rPr>
        <w:t xml:space="preserve"> is a student at KCG College of Technology, Chennai, India. His research interests include blockchain technology, artificial intelligence, and secure enterprise communication systems.</w:t>
      </w:r>
    </w:p>
    <w:sectPr w:rsidR="00FC693F" w:rsidRPr="0006063C" w:rsidSect="00034616">
      <w:pgSz w:w="12240" w:h="15840"/>
      <w:pgMar w:top="1440" w:right="1170" w:bottom="1620" w:left="117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