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 w:eastAsia="Noto Sans CJK SC"/>
          <w:b/>
          <w:color w:val="0B2545"/>
          <w:sz w:val="44"/>
        </w:rPr>
        <w:t>研启智阅：医学文献综述科研智能体</w:t>
      </w:r>
    </w:p>
    <w:p>
      <w:pPr>
        <w:spacing w:after="280"/>
        <w:jc w:val="center"/>
      </w:pPr>
      <w:r>
        <w:rPr>
          <w:rFonts w:ascii="Calibri" w:hAnsi="Calibri" w:eastAsia="Noto Sans CJK SC"/>
          <w:b w:val="0"/>
          <w:color w:val="595959"/>
          <w:sz w:val="23"/>
        </w:rPr>
        <w:t>面向医学科研服务的“检索—筛选—导出”可追溯智能工作台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参赛方向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技术研发与智能开发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项目阶段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可运行 MVP，已完成真实文献检索与两类课题闭环验证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 xml:space="preserve">一句话概述  </w:t>
            </w:r>
            <w:r>
              <w:rPr>
                <w:rFonts w:ascii="Calibri" w:hAnsi="Calibri" w:eastAsia="Noto Sans CJK SC"/>
                <w:b w:val="0"/>
                <w:color w:val="000000"/>
                <w:sz w:val="21"/>
              </w:rPr>
              <w:t>将医学文献综述从“人工检索、手工筛选、零散记录”升级为由智能体驱动、以项目数据为底座、可人工复核和可导出的科研工作流。</w:t>
            </w:r>
          </w:p>
        </w:tc>
      </w:tr>
    </w:tbl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一、解决的业务痛点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临床科研人员常需在多个数据库中反复试错检索式，难以系统保留检索策略与版本。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题录导入、重复文献识别、标题摘要初筛与 PRISMA 统计依赖手工表格，过程难追溯。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通用对话式 AI 只能给出文字建议，不能把文献、筛选决定和科研过程沉淀为可复用项目资产。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二、方案与技术路线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以 OpenCode 为智能体宿主，采用“主智能体编排 + 检索/筛选子智能体 + 医学科研 Skills + MCP 领域工具 + FastAPI/SQLite 业务引擎”的混合架构。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明确问题</w:t>
              <w:br/>
              <w:t>PICO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双库检索</w:t>
              <w:br/>
              <w:t>生成题录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导入去重</w:t>
              <w:br/>
              <w:t>建立项目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AI 初筛</w:t>
              <w:br/>
              <w:t>人工复核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PRISMA</w:t>
              <w:br/>
              <w:t>导出工作包</w:t>
            </w:r>
          </w:p>
        </w:tc>
      </w:tr>
    </w:tbl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三、已完成能力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能力模块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当前实现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形成的价值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科研问题结构化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将自然语言课题拆解为研究问题、PICO 与纳排标准。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统一科研问题表达，降低立题与检索门槛。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真实双库检索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通过 PubMed E-utilities 与 Europe PMC API 获取真实题录与摘要。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避免仅依赖模型记忆，保留外部 ID、DOI 与来源。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多智能体与 Skills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主智能体调用检索/筛选子智能体；关键科研 Skills 已强制执行并可从会话记录核验。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将专业方法固化为可复用、可验证的步骤。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项目化科研闭环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支持导入、去重、筛选决定、PRISMA 统计、审计日志和 JSON/Markdown 导出。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把一次对话沉淀为可追溯的科研项目资产。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人工复核边界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筛选结果支持 include、exclude、human_review；摘要信息不足时保留人工复核。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避免将 AI 建议误当作最终科研结论。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四、真实验证情况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验证课题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题录导入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筛选结果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闭环结果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SGLT2 抑制剂与 2 型糖尿病患者心衰住院风险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 篇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纳入 1 / 排除 1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已导出项目工作包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AI 眼底影像筛查糖尿病视网膜病变诊断准确性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3 篇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纳入 2 / 人工复核 1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已导出项目工作包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工程验证：后端自动化测试 15 项通过；MCP 服务已验证连接；项目记录包含检索策略、题录、筛选决定、PRISMA 计数和审计日志。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五、创新点与推广价值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从“对话式回答”升级为“项目化科研工作流”：每一步都对应可调用工具和可保存业务数据。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将医疗科研 Skills 从提示词附件变为可验证执行环节：检索与筛选子智能体需返回实际 Skill 回执。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坚持人机协同：AI 负责高频重复劳动，模糊文献进入 human_review，不替代科研人员最终判断。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架构可复用：后续可扩展至全文证据提取、偏倚风险评价、医学统计和课题标书等科研服务智能体。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六、当前边界与下一步计划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当前版本已完成题录与摘要层面的检索、筛选和导出，尚未将全文 PDF 解析、基线/效应指标抽取、NOS/Cochrane 偏倚风险评价、PRISMA 图形和投稿级综述写作表述为已实现能力。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下一阶段将建设结构化证据提取表、全文证据定位、人工确认节点、运行审计 Trace 与科研任务评测集，使 MVP 逐步具备面向科研服务场景的稳定交付能力。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b w:val="0"/>
        <w:color w:val="595959"/>
        <w:sz w:val="17"/>
      </w:rPr>
      <w:t>医学文献综述科研智能体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b w:val="0"/>
        <w:color w:val="595959"/>
        <w:sz w:val="17"/>
      </w:rPr>
      <w:t>“智行合e・全员AI秀”AI应用技能大赛 | 项目简介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