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color w:val="64748B"/>
          <w:sz w:val="16"/>
        </w:rPr>
        <w:t>CÓDIGO: DUTIC-OPD-SOA-27701-2026</w:t>
        <w:br/>
        <w:t>VERSIÓN: 2.0 (REVISIÓN FINAL DE AUDITORÍA)</w:t>
        <w:br/>
        <w:t>CLASIFICACIÓN: CONFIDENCIAL / USO INSTITUCIONAL EXCLUSIVO</w:t>
      </w:r>
    </w:p>
    <w:p>
      <w:pPr>
        <w:spacing w:before="160" w:after="40"/>
        <w:jc w:val="center"/>
      </w:pPr>
      <w:r>
        <w:rPr>
          <w:rFonts w:ascii="Calibri" w:hAnsi="Calibri"/>
          <w:b/>
          <w:color w:val="0F172A"/>
          <w:sz w:val="26"/>
        </w:rPr>
        <w:t>UNIVERSIDAD NACIONAL DE SAN AGUSTÍN DE AREQUIPA</w:t>
        <w:br/>
      </w:r>
      <w:r>
        <w:rPr>
          <w:rFonts w:ascii="Calibri" w:hAnsi="Calibri"/>
          <w:b/>
          <w:color w:val="1E3A8A"/>
          <w:sz w:val="32"/>
        </w:rPr>
        <w:t>DECLARACIÓN DE APLICABILIDAD DE CONTROLES DE PRIVACIDAD (SoA)</w:t>
        <w:br/>
      </w:r>
    </w:p>
    <w:p>
      <w:pPr>
        <w:spacing w:after="280"/>
        <w:jc w:val="center"/>
      </w:pPr>
      <w:r>
        <w:rPr>
          <w:rFonts w:ascii="Calibri" w:hAnsi="Calibri"/>
          <w:i/>
          <w:color w:val="475569"/>
          <w:sz w:val="20"/>
        </w:rPr>
        <w:t>Sistema de Gestión de Información de Privacidad (PIMS) — ISO/IEC 27701:2025</w:t>
        <w:br/>
        <w:t>En concordancia con la Ley N° 29733 de Protección de Datos Personales del Perú y la Directiva DIR-OTIC-004-UNSA</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1F5F9"/>
          </w:tcPr>
          <w:p>
            <w:pPr>
              <w:spacing w:before="60" w:after="60"/>
              <w:jc w:val="left"/>
            </w:pPr>
            <w:r>
              <w:rPr>
                <w:rFonts w:ascii="Calibri" w:hAnsi="Calibri"/>
                <w:b/>
                <w:color w:val="1E293B"/>
                <w:sz w:val="17"/>
              </w:rPr>
              <w:t>Entidad Titular:</w:t>
            </w:r>
          </w:p>
        </w:tc>
        <w:tc>
          <w:tcPr>
            <w:tcW w:type="dxa" w:w="2520"/>
          </w:tcPr>
          <w:p>
            <w:pPr>
              <w:spacing w:before="60" w:after="60"/>
              <w:jc w:val="left"/>
            </w:pPr>
            <w:r>
              <w:rPr>
                <w:rFonts w:ascii="Calibri" w:hAnsi="Calibri"/>
                <w:b w:val="0"/>
                <w:color w:val="333333"/>
                <w:sz w:val="17"/>
              </w:rPr>
              <w:t>Universidad Nacional de San Agustín de Arequipa (UNSA)</w:t>
            </w:r>
          </w:p>
        </w:tc>
        <w:tc>
          <w:tcPr>
            <w:tcW w:type="dxa" w:w="2520"/>
            <w:shd w:fill="F1F5F9"/>
          </w:tcPr>
          <w:p>
            <w:pPr>
              <w:spacing w:before="60" w:after="60"/>
              <w:jc w:val="left"/>
            </w:pPr>
            <w:r>
              <w:rPr>
                <w:rFonts w:ascii="Calibri" w:hAnsi="Calibri"/>
                <w:b/>
                <w:color w:val="1E293B"/>
                <w:sz w:val="17"/>
              </w:rPr>
              <w:t>Fecha de Evaluación:</w:t>
            </w:r>
          </w:p>
        </w:tc>
        <w:tc>
          <w:tcPr>
            <w:tcW w:type="dxa" w:w="2520"/>
          </w:tcPr>
          <w:p>
            <w:pPr>
              <w:spacing w:before="60" w:after="60"/>
              <w:jc w:val="left"/>
            </w:pPr>
            <w:r>
              <w:rPr>
                <w:rFonts w:ascii="Calibri" w:hAnsi="Calibri"/>
                <w:b w:val="0"/>
                <w:color w:val="333333"/>
                <w:sz w:val="17"/>
              </w:rPr>
              <w:t>20 de octubre de 2026</w:t>
            </w:r>
          </w:p>
        </w:tc>
      </w:tr>
      <w:tr>
        <w:tc>
          <w:tcPr>
            <w:tcW w:type="dxa" w:w="2520"/>
            <w:shd w:fill="F1F5F9"/>
          </w:tcPr>
          <w:p>
            <w:pPr>
              <w:spacing w:before="60" w:after="60"/>
              <w:jc w:val="left"/>
            </w:pPr>
            <w:r>
              <w:rPr>
                <w:rFonts w:ascii="Calibri" w:hAnsi="Calibri"/>
                <w:b/>
                <w:color w:val="1E293B"/>
                <w:sz w:val="17"/>
              </w:rPr>
              <w:t>Alcance Institucional:</w:t>
            </w:r>
          </w:p>
        </w:tc>
        <w:tc>
          <w:tcPr>
            <w:tcW w:type="dxa" w:w="2520"/>
          </w:tcPr>
          <w:p>
            <w:pPr>
              <w:spacing w:before="60" w:after="60"/>
              <w:jc w:val="left"/>
            </w:pPr>
            <w:r>
              <w:rPr>
                <w:rFonts w:ascii="Calibri" w:hAnsi="Calibri"/>
                <w:b w:val="0"/>
                <w:color w:val="333333"/>
                <w:sz w:val="17"/>
              </w:rPr>
              <w:t>Sistemas SISUNSA, Comedor Biométrico, Plataforma de Matrícula y Admisión</w:t>
            </w:r>
          </w:p>
        </w:tc>
        <w:tc>
          <w:tcPr>
            <w:tcW w:type="dxa" w:w="2520"/>
            <w:shd w:fill="F1F5F9"/>
          </w:tcPr>
          <w:p>
            <w:pPr>
              <w:spacing w:before="60" w:after="60"/>
              <w:jc w:val="left"/>
            </w:pPr>
            <w:r>
              <w:rPr>
                <w:rFonts w:ascii="Calibri" w:hAnsi="Calibri"/>
                <w:b/>
                <w:color w:val="1E293B"/>
                <w:sz w:val="17"/>
              </w:rPr>
              <w:t>Vigencia Documental:</w:t>
            </w:r>
          </w:p>
        </w:tc>
        <w:tc>
          <w:tcPr>
            <w:tcW w:type="dxa" w:w="2520"/>
          </w:tcPr>
          <w:p>
            <w:pPr>
              <w:spacing w:before="60" w:after="60"/>
              <w:jc w:val="left"/>
            </w:pPr>
            <w:r>
              <w:rPr>
                <w:rFonts w:ascii="Calibri" w:hAnsi="Calibri"/>
                <w:b w:val="0"/>
                <w:color w:val="333333"/>
                <w:sz w:val="17"/>
              </w:rPr>
              <w:t>Periodo Académico 2026 - 2027</w:t>
            </w:r>
          </w:p>
        </w:tc>
      </w:tr>
      <w:tr>
        <w:tc>
          <w:tcPr>
            <w:tcW w:type="dxa" w:w="2520"/>
            <w:shd w:fill="F1F5F9"/>
          </w:tcPr>
          <w:p>
            <w:pPr>
              <w:spacing w:before="60" w:after="60"/>
              <w:jc w:val="left"/>
            </w:pPr>
            <w:r>
              <w:rPr>
                <w:rFonts w:ascii="Calibri" w:hAnsi="Calibri"/>
                <w:b/>
                <w:color w:val="1E293B"/>
                <w:sz w:val="17"/>
              </w:rPr>
              <w:t>Rol Normativo PIMS:</w:t>
            </w:r>
          </w:p>
        </w:tc>
        <w:tc>
          <w:tcPr>
            <w:tcW w:type="dxa" w:w="2520"/>
          </w:tcPr>
          <w:p>
            <w:pPr>
              <w:spacing w:before="60" w:after="60"/>
              <w:jc w:val="left"/>
            </w:pPr>
            <w:r>
              <w:rPr>
                <w:rFonts w:ascii="Calibri" w:hAnsi="Calibri"/>
                <w:b w:val="0"/>
                <w:color w:val="333333"/>
                <w:sz w:val="17"/>
              </w:rPr>
              <w:t>Responsable del Tratamiento de PII (PII Controller - Anexo A.1)</w:t>
            </w:r>
          </w:p>
        </w:tc>
        <w:tc>
          <w:tcPr>
            <w:tcW w:type="dxa" w:w="2520"/>
            <w:shd w:fill="F1F5F9"/>
          </w:tcPr>
          <w:p>
            <w:pPr>
              <w:spacing w:before="60" w:after="60"/>
              <w:jc w:val="left"/>
            </w:pPr>
            <w:r>
              <w:rPr>
                <w:rFonts w:ascii="Calibri" w:hAnsi="Calibri"/>
                <w:b/>
                <w:color w:val="1E293B"/>
                <w:sz w:val="17"/>
              </w:rPr>
              <w:t>Cláusula Marco:</w:t>
            </w:r>
          </w:p>
        </w:tc>
        <w:tc>
          <w:tcPr>
            <w:tcW w:type="dxa" w:w="2520"/>
          </w:tcPr>
          <w:p>
            <w:pPr>
              <w:spacing w:before="60" w:after="60"/>
              <w:jc w:val="left"/>
            </w:pPr>
            <w:r>
              <w:rPr>
                <w:rFonts w:ascii="Calibri" w:hAnsi="Calibri"/>
                <w:b w:val="0"/>
                <w:color w:val="333333"/>
                <w:sz w:val="17"/>
              </w:rPr>
              <w:t>Cláusula 6.1.3 d) ISO/IEC 27701:2025</w:t>
            </w:r>
          </w:p>
        </w:tc>
      </w:tr>
      <w:tr>
        <w:tc>
          <w:tcPr>
            <w:tcW w:type="dxa" w:w="2520"/>
            <w:shd w:fill="F1F5F9"/>
          </w:tcPr>
          <w:p>
            <w:pPr>
              <w:spacing w:before="60" w:after="60"/>
              <w:jc w:val="left"/>
            </w:pPr>
            <w:r>
              <w:rPr>
                <w:rFonts w:ascii="Calibri" w:hAnsi="Calibri"/>
                <w:b/>
                <w:color w:val="1E293B"/>
                <w:sz w:val="17"/>
              </w:rPr>
              <w:t>Marco Jurídico Base:</w:t>
            </w:r>
          </w:p>
        </w:tc>
        <w:tc>
          <w:tcPr>
            <w:tcW w:type="dxa" w:w="2520"/>
          </w:tcPr>
          <w:p>
            <w:pPr>
              <w:spacing w:before="60" w:after="60"/>
              <w:jc w:val="left"/>
            </w:pPr>
            <w:r>
              <w:rPr>
                <w:rFonts w:ascii="Calibri" w:hAnsi="Calibri"/>
                <w:b w:val="0"/>
                <w:color w:val="333333"/>
                <w:sz w:val="17"/>
              </w:rPr>
              <w:t>Ley N° 29733 y D.S. N° 003-2013-JUS (ANPD)</w:t>
            </w:r>
          </w:p>
        </w:tc>
        <w:tc>
          <w:tcPr>
            <w:tcW w:type="dxa" w:w="2520"/>
            <w:shd w:fill="F1F5F9"/>
          </w:tcPr>
          <w:p>
            <w:pPr>
              <w:spacing w:before="60" w:after="60"/>
              <w:jc w:val="left"/>
            </w:pPr>
            <w:r>
              <w:rPr>
                <w:rFonts w:ascii="Calibri" w:hAnsi="Calibri"/>
                <w:b/>
                <w:color w:val="1E293B"/>
                <w:sz w:val="17"/>
              </w:rPr>
              <w:t>Directiva Interna:</w:t>
            </w:r>
          </w:p>
        </w:tc>
        <w:tc>
          <w:tcPr>
            <w:tcW w:type="dxa" w:w="2520"/>
          </w:tcPr>
          <w:p>
            <w:pPr>
              <w:spacing w:before="60" w:after="60"/>
              <w:jc w:val="left"/>
            </w:pPr>
            <w:r>
              <w:rPr>
                <w:rFonts w:ascii="Calibri" w:hAnsi="Calibri"/>
                <w:b w:val="0"/>
                <w:color w:val="333333"/>
                <w:sz w:val="17"/>
              </w:rPr>
              <w:t>DIR-OTIC-004-UNSA (RAT Institucional)</w:t>
            </w:r>
          </w:p>
        </w:tc>
      </w:tr>
      <w:tr>
        <w:tc>
          <w:tcPr>
            <w:tcW w:type="dxa" w:w="2520"/>
            <w:shd w:fill="F1F5F9"/>
          </w:tcPr>
          <w:p>
            <w:pPr>
              <w:spacing w:before="60" w:after="60"/>
              <w:jc w:val="left"/>
            </w:pPr>
            <w:r>
              <w:rPr>
                <w:rFonts w:ascii="Calibri" w:hAnsi="Calibri"/>
                <w:b/>
                <w:color w:val="1E293B"/>
                <w:sz w:val="17"/>
              </w:rPr>
              <w:t>Responsable Técnico:</w:t>
            </w:r>
          </w:p>
        </w:tc>
        <w:tc>
          <w:tcPr>
            <w:tcW w:type="dxa" w:w="2520"/>
          </w:tcPr>
          <w:p>
            <w:pPr>
              <w:spacing w:before="60" w:after="60"/>
              <w:jc w:val="left"/>
            </w:pPr>
            <w:r>
              <w:rPr>
                <w:rFonts w:ascii="Calibri" w:hAnsi="Calibri"/>
                <w:b w:val="0"/>
                <w:color w:val="333333"/>
                <w:sz w:val="17"/>
              </w:rPr>
              <w:t>Comité de Auditoría de Sistemas y Seguridad de la Información</w:t>
            </w:r>
          </w:p>
        </w:tc>
        <w:tc>
          <w:tcPr>
            <w:tcW w:type="dxa" w:w="2520"/>
            <w:shd w:fill="F1F5F9"/>
          </w:tcPr>
          <w:p>
            <w:pPr>
              <w:spacing w:before="60" w:after="60"/>
              <w:jc w:val="left"/>
            </w:pPr>
            <w:r>
              <w:rPr>
                <w:rFonts w:ascii="Calibri" w:hAnsi="Calibri"/>
                <w:b/>
                <w:color w:val="1E293B"/>
                <w:sz w:val="17"/>
              </w:rPr>
              <w:t>Aprobación Formal:</w:t>
            </w:r>
          </w:p>
        </w:tc>
        <w:tc>
          <w:tcPr>
            <w:tcW w:type="dxa" w:w="2520"/>
          </w:tcPr>
          <w:p>
            <w:pPr>
              <w:spacing w:before="60" w:after="60"/>
              <w:jc w:val="left"/>
            </w:pPr>
            <w:r>
              <w:rPr>
                <w:rFonts w:ascii="Calibri" w:hAnsi="Calibri"/>
                <w:b w:val="0"/>
                <w:color w:val="333333"/>
                <w:sz w:val="17"/>
              </w:rPr>
              <w:t>Oficial de Protección de Datos (DPO) &amp; DUTIC</w:t>
            </w:r>
          </w:p>
        </w:tc>
      </w:tr>
    </w:tbl>
    <w:p>
      <w:pPr>
        <w:spacing w:after="160"/>
      </w:pPr>
    </w:p>
    <w:p>
      <w:pPr>
        <w:pStyle w:val="Heading2"/>
      </w:pPr>
      <w:r>
        <w:rPr>
          <w:rFonts w:ascii="Calibri" w:hAnsi="Calibri"/>
          <w:color w:val="0F172A"/>
        </w:rPr>
        <w:t>1. Objetivo, Alcance y Criterios de Evaluación</w:t>
      </w:r>
    </w:p>
    <w:p>
      <w:pPr>
        <w:spacing w:after="120"/>
      </w:pPr>
      <w:r>
        <w:rPr>
          <w:rFonts w:ascii="Calibri" w:hAnsi="Calibri"/>
          <w:color w:val="334155"/>
          <w:sz w:val="19"/>
        </w:rPr>
        <w:t>El presente documento constituye la Declaración de Aplicabilidad (Statement of Applicability - SoA) oficial de la Universidad Nacional de San Agustín de Arequipa (UNSA), formulada bajo los requerimientos de la norma internacional ISO/IEC 27701:2025 (extensión de privacidad para ISO/IEC 27001). Su propósito es documentar formalmente qué controles de privacidad aplican a los sistemas institucionales de tratamiento de datos personales, justificar las inclusiones o exclusiones normativas, verificar la suficiencia de las evidencias documentales probatorias y trazar las acciones de remediación necesarias previas a la auditoría de certificación.</w:t>
      </w:r>
    </w:p>
    <w:p>
      <w:pPr>
        <w:spacing w:after="200"/>
      </w:pPr>
      <w:r>
        <w:rPr>
          <w:rFonts w:ascii="Calibri" w:hAnsi="Calibri"/>
          <w:color w:val="334155"/>
          <w:sz w:val="19"/>
        </w:rPr>
        <w:t>Criterio de Rol Institucional: De acuerdo con la estructura armonizada de ISO/IEC 27701:2025, la UNSA califica primariamente como Responsable del Tratamiento (PII Controller) sobre los datos de estudiantes, docentes y postulantes. En consecuencia, se activan de forma obligatoria los controles del Anexo A.1 (Cláusula 7) y los controles comunes de seguridad del Anexo A.3. Los controles del Anexo A.2 (específicos para Encargados / PII Processors) quedan legalmente excluidos, salvo acuerdos contractuales puntuales.</w:t>
      </w:r>
    </w:p>
    <w:p>
      <w:pPr>
        <w:pStyle w:val="Heading2"/>
      </w:pPr>
      <w:r>
        <w:rPr>
          <w:rFonts w:ascii="Calibri" w:hAnsi="Calibri"/>
          <w:color w:val="0F172A"/>
        </w:rPr>
        <w:t>2. Dictamen Ejecutivo de Conformidad y Evaluación de Madurez</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E293B"/>
          </w:tcPr>
          <w:p>
            <w:pPr>
              <w:spacing w:before="60" w:after="60"/>
              <w:jc w:val="center"/>
            </w:pPr>
            <w:r>
              <w:rPr>
                <w:rFonts w:ascii="Calibri" w:hAnsi="Calibri"/>
                <w:b/>
                <w:color w:val="FFFFFF"/>
                <w:sz w:val="16"/>
              </w:rPr>
              <w:t>Controles Auditados</w:t>
            </w:r>
          </w:p>
        </w:tc>
        <w:tc>
          <w:tcPr>
            <w:tcW w:type="dxa" w:w="1680"/>
            <w:shd w:fill="1E293B"/>
          </w:tcPr>
          <w:p>
            <w:pPr>
              <w:spacing w:before="60" w:after="60"/>
              <w:jc w:val="center"/>
            </w:pPr>
            <w:r>
              <w:rPr>
                <w:rFonts w:ascii="Calibri" w:hAnsi="Calibri"/>
                <w:b/>
                <w:color w:val="FFFFFF"/>
                <w:sz w:val="16"/>
              </w:rPr>
              <w:t>Controles Aplicables</w:t>
            </w:r>
          </w:p>
        </w:tc>
        <w:tc>
          <w:tcPr>
            <w:tcW w:type="dxa" w:w="1680"/>
            <w:shd w:fill="1E293B"/>
          </w:tcPr>
          <w:p>
            <w:pPr>
              <w:spacing w:before="60" w:after="60"/>
              <w:jc w:val="center"/>
            </w:pPr>
            <w:r>
              <w:rPr>
                <w:rFonts w:ascii="Calibri" w:hAnsi="Calibri"/>
                <w:b/>
                <w:color w:val="FFFFFF"/>
                <w:sz w:val="16"/>
              </w:rPr>
              <w:t>Conformidad Plena</w:t>
            </w:r>
          </w:p>
        </w:tc>
        <w:tc>
          <w:tcPr>
            <w:tcW w:type="dxa" w:w="1680"/>
            <w:shd w:fill="1E293B"/>
          </w:tcPr>
          <w:p>
            <w:pPr>
              <w:spacing w:before="60" w:after="60"/>
              <w:jc w:val="center"/>
            </w:pPr>
            <w:r>
              <w:rPr>
                <w:rFonts w:ascii="Calibri" w:hAnsi="Calibri"/>
                <w:b/>
                <w:color w:val="FFFFFF"/>
                <w:sz w:val="16"/>
              </w:rPr>
              <w:t>En Proceso (Parcial)</w:t>
            </w:r>
          </w:p>
        </w:tc>
        <w:tc>
          <w:tcPr>
            <w:tcW w:type="dxa" w:w="1680"/>
            <w:shd w:fill="1E293B"/>
          </w:tcPr>
          <w:p>
            <w:pPr>
              <w:spacing w:before="60" w:after="60"/>
              <w:jc w:val="center"/>
            </w:pPr>
            <w:r>
              <w:rPr>
                <w:rFonts w:ascii="Calibri" w:hAnsi="Calibri"/>
                <w:b/>
                <w:color w:val="FFFFFF"/>
                <w:sz w:val="16"/>
              </w:rPr>
              <w:t>Brechas Críticas</w:t>
            </w:r>
          </w:p>
        </w:tc>
        <w:tc>
          <w:tcPr>
            <w:tcW w:type="dxa" w:w="1680"/>
            <w:shd w:fill="1E293B"/>
          </w:tcPr>
          <w:p>
            <w:pPr>
              <w:spacing w:before="60" w:after="60"/>
              <w:jc w:val="center"/>
            </w:pPr>
            <w:r>
              <w:rPr>
                <w:rFonts w:ascii="Calibri" w:hAnsi="Calibri"/>
                <w:b/>
                <w:color w:val="FFFFFF"/>
                <w:sz w:val="16"/>
              </w:rPr>
              <w:t>Excluidos por Rol</w:t>
            </w:r>
          </w:p>
        </w:tc>
      </w:tr>
      <w:tr>
        <w:tc>
          <w:tcPr>
            <w:tcW w:type="dxa" w:w="1680"/>
            <w:shd w:fill="F8FAFC"/>
          </w:tcPr>
          <w:p>
            <w:pPr>
              <w:spacing w:before="60" w:after="60"/>
              <w:jc w:val="center"/>
            </w:pPr>
            <w:r>
              <w:rPr>
                <w:rFonts w:ascii="Calibri" w:hAnsi="Calibri"/>
                <w:b/>
                <w:color w:val="0F172A"/>
                <w:sz w:val="22"/>
              </w:rPr>
              <w:t>10</w:t>
            </w:r>
          </w:p>
        </w:tc>
        <w:tc>
          <w:tcPr>
            <w:tcW w:type="dxa" w:w="1680"/>
            <w:shd w:fill="F8FAFC"/>
          </w:tcPr>
          <w:p>
            <w:pPr>
              <w:spacing w:before="60" w:after="60"/>
              <w:jc w:val="center"/>
            </w:pPr>
            <w:r>
              <w:rPr>
                <w:rFonts w:ascii="Calibri" w:hAnsi="Calibri"/>
                <w:b/>
                <w:color w:val="0F172A"/>
                <w:sz w:val="22"/>
              </w:rPr>
              <w:t>9</w:t>
            </w:r>
          </w:p>
        </w:tc>
        <w:tc>
          <w:tcPr>
            <w:tcW w:type="dxa" w:w="1680"/>
            <w:shd w:fill="DCFCE7"/>
          </w:tcPr>
          <w:p>
            <w:pPr>
              <w:spacing w:before="60" w:after="60"/>
              <w:jc w:val="center"/>
            </w:pPr>
            <w:r>
              <w:rPr>
                <w:rFonts w:ascii="Calibri" w:hAnsi="Calibri"/>
                <w:b/>
                <w:color w:val="0F172A"/>
                <w:sz w:val="22"/>
              </w:rPr>
              <w:t>5</w:t>
            </w:r>
          </w:p>
        </w:tc>
        <w:tc>
          <w:tcPr>
            <w:tcW w:type="dxa" w:w="1680"/>
            <w:shd w:fill="FEF9C3"/>
          </w:tcPr>
          <w:p>
            <w:pPr>
              <w:spacing w:before="60" w:after="60"/>
              <w:jc w:val="center"/>
            </w:pPr>
            <w:r>
              <w:rPr>
                <w:rFonts w:ascii="Calibri" w:hAnsi="Calibri"/>
                <w:b/>
                <w:color w:val="0F172A"/>
                <w:sz w:val="22"/>
              </w:rPr>
              <w:t>2</w:t>
            </w:r>
          </w:p>
        </w:tc>
        <w:tc>
          <w:tcPr>
            <w:tcW w:type="dxa" w:w="1680"/>
            <w:shd w:fill="FEE2E2"/>
          </w:tcPr>
          <w:p>
            <w:pPr>
              <w:spacing w:before="60" w:after="60"/>
              <w:jc w:val="center"/>
            </w:pPr>
            <w:r>
              <w:rPr>
                <w:rFonts w:ascii="Calibri" w:hAnsi="Calibri"/>
                <w:b/>
                <w:color w:val="0F172A"/>
                <w:sz w:val="22"/>
              </w:rPr>
              <w:t>2</w:t>
            </w:r>
          </w:p>
        </w:tc>
        <w:tc>
          <w:tcPr>
            <w:tcW w:type="dxa" w:w="1680"/>
            <w:shd w:fill="F8FAFC"/>
          </w:tcPr>
          <w:p>
            <w:pPr>
              <w:spacing w:before="60" w:after="60"/>
              <w:jc w:val="center"/>
            </w:pPr>
            <w:r>
              <w:rPr>
                <w:rFonts w:ascii="Calibri" w:hAnsi="Calibri"/>
                <w:b/>
                <w:color w:val="0F172A"/>
                <w:sz w:val="22"/>
              </w:rPr>
              <w:t>1</w:t>
            </w:r>
          </w:p>
        </w:tc>
      </w:tr>
    </w:tbl>
    <w:p>
      <w:pPr>
        <w:spacing w:after="160"/>
      </w:pPr>
    </w:p>
    <w:p>
      <w:pPr>
        <w:spacing w:before="80" w:after="240"/>
      </w:pPr>
      <w:r>
        <w:rPr>
          <w:rFonts w:ascii="Calibri" w:hAnsi="Calibri"/>
          <w:b/>
          <w:color w:val="1E293B"/>
          <w:sz w:val="19"/>
        </w:rPr>
        <w:t>Conclusiones del Comité de Auditoría y Estado de Cumplimiento:</w:t>
        <w:br/>
      </w:r>
      <w:r>
        <w:rPr>
          <w:rFonts w:ascii="Calibri" w:hAnsi="Calibri"/>
          <w:color w:val="475569"/>
          <w:sz w:val="19"/>
        </w:rPr>
        <w:t>La evaluación cuantitativa revela un nivel de madurez de privacidad en desarrollo para la UNSA. Si bien la institución cuenta con el registro formal de sus bancos de datos personales (RAT) ante el Ministerio de Justicia y reglamentos aprobados mediante Resolución del Consejo Universitario (RCU-0127-2020), se detectan deficiencias críticas en la realización de Evaluaciones de Impacto en la Privacidad (DPIA) para sistemas biométricos y en la formalización de acuerdos de procesamiento de datos (DPA) con terceros proveedores tecnológicos.</w:t>
      </w:r>
    </w:p>
    <w:p>
      <w:pPr>
        <w:pStyle w:val="Heading2"/>
      </w:pPr>
      <w:r>
        <w:rPr>
          <w:rFonts w:ascii="Calibri" w:hAnsi="Calibri"/>
          <w:color w:val="0F172A"/>
        </w:rPr>
        <w:t>3. Matriz de Aplicabilidad de Controles de Privacidad (ISO/IEC 27701:2025)</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080"/>
            <w:shd w:fill="1E293B"/>
          </w:tcPr>
          <w:p>
            <w:pPr>
              <w:spacing w:before="60" w:after="60"/>
              <w:jc w:val="center"/>
            </w:pPr>
            <w:r>
              <w:rPr>
                <w:rFonts w:ascii="Calibri" w:hAnsi="Calibri"/>
                <w:b/>
                <w:color w:val="FFFFFF"/>
                <w:sz w:val="17"/>
              </w:rPr>
              <w:t>Control</w:t>
            </w:r>
          </w:p>
        </w:tc>
        <w:tc>
          <w:tcPr>
            <w:tcW w:type="dxa" w:w="2592"/>
            <w:shd w:fill="1E293B"/>
          </w:tcPr>
          <w:p>
            <w:pPr>
              <w:spacing w:before="60" w:after="60"/>
              <w:jc w:val="center"/>
            </w:pPr>
            <w:r>
              <w:rPr>
                <w:rFonts w:ascii="Calibri" w:hAnsi="Calibri"/>
                <w:b/>
                <w:color w:val="FFFFFF"/>
                <w:sz w:val="17"/>
              </w:rPr>
              <w:t>Requisito Normativo PIMS</w:t>
            </w:r>
          </w:p>
        </w:tc>
        <w:tc>
          <w:tcPr>
            <w:tcW w:type="dxa" w:w="936"/>
            <w:shd w:fill="1E293B"/>
          </w:tcPr>
          <w:p>
            <w:pPr>
              <w:spacing w:before="60" w:after="60"/>
              <w:jc w:val="center"/>
            </w:pPr>
            <w:r>
              <w:rPr>
                <w:rFonts w:ascii="Calibri" w:hAnsi="Calibri"/>
                <w:b/>
                <w:color w:val="FFFFFF"/>
                <w:sz w:val="17"/>
              </w:rPr>
              <w:t>¿Aplica?</w:t>
            </w:r>
          </w:p>
        </w:tc>
        <w:tc>
          <w:tcPr>
            <w:tcW w:type="dxa" w:w="3168"/>
            <w:shd w:fill="1E293B"/>
          </w:tcPr>
          <w:p>
            <w:pPr>
              <w:spacing w:before="60" w:after="60"/>
              <w:jc w:val="center"/>
            </w:pPr>
            <w:r>
              <w:rPr>
                <w:rFonts w:ascii="Calibri" w:hAnsi="Calibri"/>
                <w:b/>
                <w:color w:val="FFFFFF"/>
                <w:sz w:val="17"/>
              </w:rPr>
              <w:t>Justificación Técnica / Base Legal</w:t>
            </w:r>
          </w:p>
        </w:tc>
        <w:tc>
          <w:tcPr>
            <w:tcW w:type="dxa" w:w="2880"/>
            <w:shd w:fill="1E293B"/>
          </w:tcPr>
          <w:p>
            <w:pPr>
              <w:spacing w:before="60" w:after="60"/>
              <w:jc w:val="center"/>
            </w:pPr>
            <w:r>
              <w:rPr>
                <w:rFonts w:ascii="Calibri" w:hAnsi="Calibri"/>
                <w:b/>
                <w:color w:val="FFFFFF"/>
                <w:sz w:val="17"/>
              </w:rPr>
              <w:t>Evidencias Documentales Verificadas</w:t>
            </w:r>
          </w:p>
        </w:tc>
        <w:tc>
          <w:tcPr>
            <w:tcW w:type="dxa" w:w="1512"/>
            <w:shd w:fill="1E293B"/>
          </w:tcPr>
          <w:p>
            <w:pPr>
              <w:spacing w:before="60" w:after="60"/>
              <w:jc w:val="center"/>
            </w:pPr>
            <w:r>
              <w:rPr>
                <w:rFonts w:ascii="Calibri" w:hAnsi="Calibri"/>
                <w:b/>
                <w:color w:val="FFFFFF"/>
                <w:sz w:val="17"/>
              </w:rPr>
              <w:t>Estado de Conformidad</w:t>
            </w:r>
          </w:p>
        </w:tc>
      </w:tr>
      <w:tr>
        <w:tc>
          <w:tcPr>
            <w:tcW w:type="dxa" w:w="1080"/>
            <w:shd w:fill="F8FAFC"/>
          </w:tcPr>
          <w:p>
            <w:pPr>
              <w:spacing w:before="60" w:after="60"/>
              <w:jc w:val="center"/>
            </w:pPr>
            <w:r>
              <w:rPr>
                <w:rFonts w:ascii="Calibri" w:hAnsi="Calibri"/>
                <w:b/>
                <w:color w:val="333333"/>
                <w:sz w:val="16"/>
              </w:rPr>
              <w:t>A.1.2.2</w:t>
            </w:r>
          </w:p>
        </w:tc>
        <w:tc>
          <w:tcPr>
            <w:tcW w:type="dxa" w:w="2592"/>
          </w:tcPr>
          <w:p>
            <w:pPr>
              <w:spacing w:before="60" w:after="60"/>
              <w:jc w:val="left"/>
            </w:pPr>
            <w:r>
              <w:rPr>
                <w:rFonts w:ascii="Calibri" w:hAnsi="Calibri"/>
                <w:b w:val="0"/>
                <w:color w:val="333333"/>
                <w:sz w:val="16"/>
              </w:rPr>
              <w:t>Identificar propósito</w:t>
            </w:r>
          </w:p>
        </w:tc>
        <w:tc>
          <w:tcPr>
            <w:tcW w:type="dxa" w:w="936"/>
          </w:tcPr>
          <w:p>
            <w:pPr>
              <w:spacing w:before="60" w:after="60"/>
              <w:jc w:val="center"/>
            </w:pPr>
            <w:r>
              <w:rPr>
                <w:rFonts w:ascii="Calibri" w:hAnsi="Calibri"/>
                <w:b/>
                <w:color w:val="333333"/>
                <w:sz w:val="16"/>
              </w:rPr>
              <w:t>SÍ</w:t>
            </w:r>
          </w:p>
        </w:tc>
        <w:tc>
          <w:tcPr>
            <w:tcW w:type="dxa" w:w="3168"/>
          </w:tcPr>
          <w:p>
            <w:pPr>
              <w:spacing w:before="60" w:after="60"/>
              <w:jc w:val="left"/>
            </w:pPr>
            <w:r>
              <w:rPr>
                <w:rFonts w:ascii="Calibri" w:hAnsi="Calibri"/>
                <w:b w:val="0"/>
                <w:color w:val="333333"/>
                <w:sz w:val="16"/>
              </w:rPr>
              <w:t>La organización actúa como responsable del tratamiento.</w:t>
            </w:r>
          </w:p>
        </w:tc>
        <w:tc>
          <w:tcPr>
            <w:tcW w:type="dxa" w:w="2880"/>
          </w:tcPr>
          <w:p>
            <w:pPr>
              <w:spacing w:before="60" w:after="60"/>
              <w:jc w:val="left"/>
            </w:pPr>
            <w:r>
              <w:rPr>
                <w:rFonts w:ascii="Calibri" w:hAnsi="Calibri"/>
                <w:b w:val="0"/>
                <w:color w:val="333333"/>
                <w:sz w:val="16"/>
              </w:rPr>
              <w:t>[RCU-0127-2020-Reglamento-Matricula.pdf] Fines académicos legítimos, deberes de estudiantes y registro oficial en SISUNSA</w:t>
              <w:br/>
              <w:t>[DJ-Consentimiento-Admision.pdf] Cláusula de consentimiento previo informado y tratamiento biométrico de postulantes</w:t>
              <w:br/>
              <w:t>[Directiva: Política UNSA - Ejercicio de Derechos ARCO (Mesa de Partes y odp@unsa.edu.pe)]</w:t>
            </w:r>
          </w:p>
        </w:tc>
        <w:tc>
          <w:tcPr>
            <w:tcW w:type="dxa" w:w="1512"/>
            <w:shd w:fill="DCFCE7"/>
          </w:tcPr>
          <w:p>
            <w:pPr>
              <w:spacing w:before="60" w:after="60"/>
              <w:jc w:val="center"/>
            </w:pPr>
            <w:r>
              <w:rPr>
                <w:rFonts w:ascii="Calibri" w:hAnsi="Calibri"/>
                <w:b/>
                <w:color w:val="166534"/>
                <w:sz w:val="16"/>
              </w:rPr>
              <w:t>Conforme</w:t>
            </w:r>
          </w:p>
        </w:tc>
      </w:tr>
      <w:tr>
        <w:tc>
          <w:tcPr>
            <w:tcW w:type="dxa" w:w="1080"/>
            <w:shd w:fill="F8FAFC"/>
          </w:tcPr>
          <w:p>
            <w:pPr>
              <w:spacing w:before="60" w:after="60"/>
              <w:jc w:val="center"/>
            </w:pPr>
            <w:r>
              <w:rPr>
                <w:rFonts w:ascii="Calibri" w:hAnsi="Calibri"/>
                <w:b/>
                <w:color w:val="333333"/>
                <w:sz w:val="16"/>
              </w:rPr>
              <w:t>A.1.2.9</w:t>
            </w:r>
          </w:p>
        </w:tc>
        <w:tc>
          <w:tcPr>
            <w:tcW w:type="dxa" w:w="2592"/>
          </w:tcPr>
          <w:p>
            <w:pPr>
              <w:spacing w:before="60" w:after="60"/>
              <w:jc w:val="left"/>
            </w:pPr>
            <w:r>
              <w:rPr>
                <w:rFonts w:ascii="Calibri" w:hAnsi="Calibri"/>
                <w:b w:val="0"/>
                <w:color w:val="333333"/>
                <w:sz w:val="16"/>
              </w:rPr>
              <w:t>Registros de tratamiento</w:t>
            </w:r>
          </w:p>
        </w:tc>
        <w:tc>
          <w:tcPr>
            <w:tcW w:type="dxa" w:w="936"/>
          </w:tcPr>
          <w:p>
            <w:pPr>
              <w:spacing w:before="60" w:after="60"/>
              <w:jc w:val="center"/>
            </w:pPr>
            <w:r>
              <w:rPr>
                <w:rFonts w:ascii="Calibri" w:hAnsi="Calibri"/>
                <w:b/>
                <w:color w:val="333333"/>
                <w:sz w:val="16"/>
              </w:rPr>
              <w:t>SÍ</w:t>
            </w:r>
          </w:p>
        </w:tc>
        <w:tc>
          <w:tcPr>
            <w:tcW w:type="dxa" w:w="3168"/>
          </w:tcPr>
          <w:p>
            <w:pPr>
              <w:spacing w:before="60" w:after="60"/>
              <w:jc w:val="left"/>
            </w:pPr>
            <w:r>
              <w:rPr>
                <w:rFonts w:ascii="Calibri" w:hAnsi="Calibri"/>
                <w:b w:val="0"/>
                <w:color w:val="333333"/>
                <w:sz w:val="16"/>
              </w:rPr>
              <w:t>La organización actúa como responsable del tratamiento.</w:t>
            </w:r>
          </w:p>
        </w:tc>
        <w:tc>
          <w:tcPr>
            <w:tcW w:type="dxa" w:w="2880"/>
          </w:tcPr>
          <w:p>
            <w:pPr>
              <w:spacing w:before="60" w:after="60"/>
              <w:jc w:val="left"/>
            </w:pPr>
            <w:r>
              <w:rPr>
                <w:rFonts w:ascii="Calibri" w:hAnsi="Calibri"/>
                <w:b w:val="0"/>
                <w:color w:val="333333"/>
                <w:sz w:val="16"/>
              </w:rPr>
              <w:t>[RCU-0009-2026-Registro-RAT.pdf] Registro de Actividades de Tratamiento (RAT) para bancos de datos SISUNSA y Campus Virtual</w:t>
              <w:br/>
              <w:t>[Directiva: Política UNSA - Bancos de Datos Personales Registrados (RAT Institucional)]</w:t>
            </w:r>
          </w:p>
        </w:tc>
        <w:tc>
          <w:tcPr>
            <w:tcW w:type="dxa" w:w="1512"/>
            <w:shd w:fill="DCFCE7"/>
          </w:tcPr>
          <w:p>
            <w:pPr>
              <w:spacing w:before="60" w:after="60"/>
              <w:jc w:val="center"/>
            </w:pPr>
            <w:r>
              <w:rPr>
                <w:rFonts w:ascii="Calibri" w:hAnsi="Calibri"/>
                <w:b/>
                <w:color w:val="166534"/>
                <w:sz w:val="16"/>
              </w:rPr>
              <w:t>Conforme</w:t>
            </w:r>
          </w:p>
        </w:tc>
      </w:tr>
      <w:tr>
        <w:tc>
          <w:tcPr>
            <w:tcW w:type="dxa" w:w="1080"/>
            <w:shd w:fill="F8FAFC"/>
          </w:tcPr>
          <w:p>
            <w:pPr>
              <w:spacing w:before="60" w:after="60"/>
              <w:jc w:val="center"/>
            </w:pPr>
            <w:r>
              <w:rPr>
                <w:rFonts w:ascii="Calibri" w:hAnsi="Calibri"/>
                <w:b/>
                <w:color w:val="333333"/>
                <w:sz w:val="16"/>
              </w:rPr>
              <w:t>A.1.2.6</w:t>
            </w:r>
          </w:p>
        </w:tc>
        <w:tc>
          <w:tcPr>
            <w:tcW w:type="dxa" w:w="2592"/>
          </w:tcPr>
          <w:p>
            <w:pPr>
              <w:spacing w:before="60" w:after="60"/>
              <w:jc w:val="left"/>
            </w:pPr>
            <w:r>
              <w:rPr>
                <w:rFonts w:ascii="Calibri" w:hAnsi="Calibri"/>
                <w:b w:val="0"/>
                <w:color w:val="333333"/>
                <w:sz w:val="16"/>
              </w:rPr>
              <w:t>Evaluación de impacto de privacidad (DPIA)</w:t>
            </w:r>
          </w:p>
        </w:tc>
        <w:tc>
          <w:tcPr>
            <w:tcW w:type="dxa" w:w="936"/>
          </w:tcPr>
          <w:p>
            <w:pPr>
              <w:spacing w:before="60" w:after="60"/>
              <w:jc w:val="center"/>
            </w:pPr>
            <w:r>
              <w:rPr>
                <w:rFonts w:ascii="Calibri" w:hAnsi="Calibri"/>
                <w:b/>
                <w:color w:val="333333"/>
                <w:sz w:val="16"/>
              </w:rPr>
              <w:t>SÍ</w:t>
            </w:r>
          </w:p>
        </w:tc>
        <w:tc>
          <w:tcPr>
            <w:tcW w:type="dxa" w:w="3168"/>
          </w:tcPr>
          <w:p>
            <w:pPr>
              <w:spacing w:before="60" w:after="60"/>
              <w:jc w:val="left"/>
            </w:pPr>
            <w:r>
              <w:rPr>
                <w:rFonts w:ascii="Calibri" w:hAnsi="Calibri"/>
                <w:b w:val="0"/>
                <w:color w:val="333333"/>
                <w:sz w:val="16"/>
              </w:rPr>
              <w:t>La organización actúa como responsable del tratamiento. Vinculado a los riesgos: R-UNSA-01, R-UNSA-02.</w:t>
            </w:r>
          </w:p>
        </w:tc>
        <w:tc>
          <w:tcPr>
            <w:tcW w:type="dxa" w:w="2880"/>
          </w:tcPr>
          <w:p>
            <w:pPr>
              <w:spacing w:before="60" w:after="60"/>
              <w:jc w:val="left"/>
            </w:pPr>
            <w:r>
              <w:rPr>
                <w:rFonts w:ascii="Calibri" w:hAnsi="Calibri"/>
                <w:b w:val="0"/>
                <w:color w:val="333333"/>
                <w:sz w:val="16"/>
              </w:rPr>
              <w:t>[Borrador-DPIA-Comedor-2025.docx] Evaluación preliminar de impacto para validación socioeconómica y huellas dactilares</w:t>
              <w:br/>
              <w:t>[Directiva: Política UNSA - Evaluación de Impacto (DPIA) y Acceso a Comedor Universitario]</w:t>
            </w:r>
          </w:p>
        </w:tc>
        <w:tc>
          <w:tcPr>
            <w:tcW w:type="dxa" w:w="1512"/>
            <w:shd w:fill="FEF9C3"/>
          </w:tcPr>
          <w:p>
            <w:pPr>
              <w:spacing w:before="60" w:after="60"/>
              <w:jc w:val="center"/>
            </w:pPr>
            <w:r>
              <w:rPr>
                <w:rFonts w:ascii="Calibri" w:hAnsi="Calibri"/>
                <w:b/>
                <w:color w:val="854D0E"/>
                <w:sz w:val="16"/>
              </w:rPr>
              <w:t>En Proceso</w:t>
            </w:r>
          </w:p>
        </w:tc>
      </w:tr>
      <w:tr>
        <w:tc>
          <w:tcPr>
            <w:tcW w:type="dxa" w:w="1080"/>
            <w:shd w:fill="F8FAFC"/>
          </w:tcPr>
          <w:p>
            <w:pPr>
              <w:spacing w:before="60" w:after="60"/>
              <w:jc w:val="center"/>
            </w:pPr>
            <w:r>
              <w:rPr>
                <w:rFonts w:ascii="Calibri" w:hAnsi="Calibri"/>
                <w:b/>
                <w:color w:val="333333"/>
                <w:sz w:val="16"/>
              </w:rPr>
              <w:t>A.1.2.7</w:t>
            </w:r>
          </w:p>
        </w:tc>
        <w:tc>
          <w:tcPr>
            <w:tcW w:type="dxa" w:w="2592"/>
          </w:tcPr>
          <w:p>
            <w:pPr>
              <w:spacing w:before="60" w:after="60"/>
              <w:jc w:val="left"/>
            </w:pPr>
            <w:r>
              <w:rPr>
                <w:rFonts w:ascii="Calibri" w:hAnsi="Calibri"/>
                <w:b w:val="0"/>
                <w:color w:val="333333"/>
                <w:sz w:val="16"/>
              </w:rPr>
              <w:t>Contratos con encargados</w:t>
            </w:r>
          </w:p>
        </w:tc>
        <w:tc>
          <w:tcPr>
            <w:tcW w:type="dxa" w:w="936"/>
          </w:tcPr>
          <w:p>
            <w:pPr>
              <w:spacing w:before="60" w:after="60"/>
              <w:jc w:val="center"/>
            </w:pPr>
            <w:r>
              <w:rPr>
                <w:rFonts w:ascii="Calibri" w:hAnsi="Calibri"/>
                <w:b/>
                <w:color w:val="333333"/>
                <w:sz w:val="16"/>
              </w:rPr>
              <w:t>SÍ</w:t>
            </w:r>
          </w:p>
        </w:tc>
        <w:tc>
          <w:tcPr>
            <w:tcW w:type="dxa" w:w="3168"/>
          </w:tcPr>
          <w:p>
            <w:pPr>
              <w:spacing w:before="60" w:after="60"/>
              <w:jc w:val="left"/>
            </w:pPr>
            <w:r>
              <w:rPr>
                <w:rFonts w:ascii="Calibri" w:hAnsi="Calibri"/>
                <w:b w:val="0"/>
                <w:color w:val="333333"/>
                <w:sz w:val="16"/>
              </w:rPr>
              <w:t>La organización actúa como responsable del tratamiento.</w:t>
            </w:r>
          </w:p>
        </w:tc>
        <w:tc>
          <w:tcPr>
            <w:tcW w:type="dxa" w:w="2880"/>
          </w:tcPr>
          <w:p>
            <w:pPr>
              <w:spacing w:before="60" w:after="60"/>
              <w:jc w:val="left"/>
            </w:pPr>
            <w:r>
              <w:rPr>
                <w:rFonts w:ascii="Calibri" w:hAnsi="Calibri"/>
                <w:b w:val="0"/>
                <w:color w:val="333333"/>
                <w:sz w:val="16"/>
              </w:rPr>
              <w:t>[Contrato-DPA-Google-Workspace.pdf] Acuerdo de Procesamiento de Datos (DPA) para cuentas institucionales @unsa.edu.pe</w:t>
              <w:br/>
              <w:t>[Directiva: Política UNSA - Datos de Docentes, Personal y Aula Virtual]</w:t>
            </w:r>
          </w:p>
        </w:tc>
        <w:tc>
          <w:tcPr>
            <w:tcW w:type="dxa" w:w="1512"/>
            <w:shd w:fill="DCFCE7"/>
          </w:tcPr>
          <w:p>
            <w:pPr>
              <w:spacing w:before="60" w:after="60"/>
              <w:jc w:val="center"/>
            </w:pPr>
            <w:r>
              <w:rPr>
                <w:rFonts w:ascii="Calibri" w:hAnsi="Calibri"/>
                <w:b/>
                <w:color w:val="166534"/>
                <w:sz w:val="16"/>
              </w:rPr>
              <w:t>Conforme</w:t>
            </w:r>
          </w:p>
        </w:tc>
      </w:tr>
      <w:tr>
        <w:tc>
          <w:tcPr>
            <w:tcW w:type="dxa" w:w="1080"/>
            <w:shd w:fill="F8FAFC"/>
          </w:tcPr>
          <w:p>
            <w:pPr>
              <w:spacing w:before="60" w:after="60"/>
              <w:jc w:val="center"/>
            </w:pPr>
            <w:r>
              <w:rPr>
                <w:rFonts w:ascii="Calibri" w:hAnsi="Calibri"/>
                <w:b/>
                <w:color w:val="333333"/>
                <w:sz w:val="16"/>
              </w:rPr>
              <w:t>A.1.3.7</w:t>
            </w:r>
          </w:p>
        </w:tc>
        <w:tc>
          <w:tcPr>
            <w:tcW w:type="dxa" w:w="2592"/>
          </w:tcPr>
          <w:p>
            <w:pPr>
              <w:spacing w:before="60" w:after="60"/>
              <w:jc w:val="left"/>
            </w:pPr>
            <w:r>
              <w:rPr>
                <w:rFonts w:ascii="Calibri" w:hAnsi="Calibri"/>
                <w:b w:val="0"/>
                <w:color w:val="333333"/>
                <w:sz w:val="16"/>
              </w:rPr>
              <w:t>Acceso, corrección o supresión</w:t>
            </w:r>
          </w:p>
        </w:tc>
        <w:tc>
          <w:tcPr>
            <w:tcW w:type="dxa" w:w="936"/>
          </w:tcPr>
          <w:p>
            <w:pPr>
              <w:spacing w:before="60" w:after="60"/>
              <w:jc w:val="center"/>
            </w:pPr>
            <w:r>
              <w:rPr>
                <w:rFonts w:ascii="Calibri" w:hAnsi="Calibri"/>
                <w:b/>
                <w:color w:val="333333"/>
                <w:sz w:val="16"/>
              </w:rPr>
              <w:t>SÍ</w:t>
            </w:r>
          </w:p>
        </w:tc>
        <w:tc>
          <w:tcPr>
            <w:tcW w:type="dxa" w:w="3168"/>
          </w:tcPr>
          <w:p>
            <w:pPr>
              <w:spacing w:before="60" w:after="60"/>
              <w:jc w:val="left"/>
            </w:pPr>
            <w:r>
              <w:rPr>
                <w:rFonts w:ascii="Calibri" w:hAnsi="Calibri"/>
                <w:b w:val="0"/>
                <w:color w:val="333333"/>
                <w:sz w:val="16"/>
              </w:rPr>
              <w:t>La organización actúa como responsable del tratamiento. Vinculado a los riesgos: R-UNSA-03.</w:t>
            </w:r>
          </w:p>
        </w:tc>
        <w:tc>
          <w:tcPr>
            <w:tcW w:type="dxa" w:w="2880"/>
          </w:tcPr>
          <w:p>
            <w:pPr>
              <w:spacing w:before="60" w:after="60"/>
              <w:jc w:val="left"/>
            </w:pPr>
            <w:r>
              <w:rPr>
                <w:rFonts w:ascii="Calibri" w:hAnsi="Calibri"/>
                <w:b w:val="0"/>
                <w:color w:val="333333"/>
                <w:sz w:val="16"/>
              </w:rPr>
              <w:t>[TUPA-Procedimiento-ARCO-UNSA.pdf] Procedimiento oficial de Derechos ARCO ante Secretaría General y odp@unsa.edu.pe</w:t>
              <w:br/>
              <w:t>[Directiva: Política UNSA - Ejercicio de Derechos ARCO (Mesa de Partes y odp@unsa.edu.pe)]</w:t>
            </w:r>
          </w:p>
        </w:tc>
        <w:tc>
          <w:tcPr>
            <w:tcW w:type="dxa" w:w="1512"/>
            <w:shd w:fill="DCFCE7"/>
          </w:tcPr>
          <w:p>
            <w:pPr>
              <w:spacing w:before="60" w:after="60"/>
              <w:jc w:val="center"/>
            </w:pPr>
            <w:r>
              <w:rPr>
                <w:rFonts w:ascii="Calibri" w:hAnsi="Calibri"/>
                <w:b/>
                <w:color w:val="166534"/>
                <w:sz w:val="16"/>
              </w:rPr>
              <w:t>Conforme</w:t>
            </w:r>
          </w:p>
        </w:tc>
      </w:tr>
      <w:tr>
        <w:tc>
          <w:tcPr>
            <w:tcW w:type="dxa" w:w="1080"/>
            <w:shd w:fill="F8FAFC"/>
          </w:tcPr>
          <w:p>
            <w:pPr>
              <w:spacing w:before="60" w:after="60"/>
              <w:jc w:val="center"/>
            </w:pPr>
            <w:r>
              <w:rPr>
                <w:rFonts w:ascii="Calibri" w:hAnsi="Calibri"/>
                <w:b/>
                <w:color w:val="333333"/>
                <w:sz w:val="16"/>
              </w:rPr>
              <w:t>A.1.3.9</w:t>
            </w:r>
          </w:p>
        </w:tc>
        <w:tc>
          <w:tcPr>
            <w:tcW w:type="dxa" w:w="2592"/>
          </w:tcPr>
          <w:p>
            <w:pPr>
              <w:spacing w:before="60" w:after="60"/>
              <w:jc w:val="left"/>
            </w:pPr>
            <w:r>
              <w:rPr>
                <w:rFonts w:ascii="Calibri" w:hAnsi="Calibri"/>
                <w:b w:val="0"/>
                <w:color w:val="333333"/>
                <w:sz w:val="16"/>
              </w:rPr>
              <w:t>Copia de PII</w:t>
            </w:r>
          </w:p>
        </w:tc>
        <w:tc>
          <w:tcPr>
            <w:tcW w:type="dxa" w:w="936"/>
          </w:tcPr>
          <w:p>
            <w:pPr>
              <w:spacing w:before="60" w:after="60"/>
              <w:jc w:val="center"/>
            </w:pPr>
            <w:r>
              <w:rPr>
                <w:rFonts w:ascii="Calibri" w:hAnsi="Calibri"/>
                <w:b/>
                <w:color w:val="333333"/>
                <w:sz w:val="16"/>
              </w:rPr>
              <w:t>SÍ</w:t>
            </w:r>
          </w:p>
        </w:tc>
        <w:tc>
          <w:tcPr>
            <w:tcW w:type="dxa" w:w="3168"/>
          </w:tcPr>
          <w:p>
            <w:pPr>
              <w:spacing w:before="60" w:after="60"/>
              <w:jc w:val="left"/>
            </w:pPr>
            <w:r>
              <w:rPr>
                <w:rFonts w:ascii="Calibri" w:hAnsi="Calibri"/>
                <w:b w:val="0"/>
                <w:color w:val="333333"/>
                <w:sz w:val="16"/>
              </w:rPr>
              <w:t>La organización actúa como responsable del tratamiento. Vinculado a los riesgos: R-UNSA-03.</w:t>
            </w:r>
          </w:p>
        </w:tc>
        <w:tc>
          <w:tcPr>
            <w:tcW w:type="dxa" w:w="2880"/>
          </w:tcPr>
          <w:p>
            <w:pPr>
              <w:spacing w:before="60" w:after="60"/>
              <w:jc w:val="left"/>
            </w:pPr>
            <w:r>
              <w:rPr>
                <w:rFonts w:ascii="Calibri" w:hAnsi="Calibri"/>
                <w:b w:val="0"/>
                <w:color w:val="333333"/>
                <w:sz w:val="16"/>
              </w:rPr>
              <w:t>[TUPA-Procedimiento-ARCO-UNSA.pdf] Expedición de constancias y copia íntegra de datos personales para estudiantes agustinos</w:t>
              <w:br/>
              <w:t>[Directiva: Política UNSA - Datos de Docentes, Personal y Aula Virtual]</w:t>
            </w:r>
          </w:p>
        </w:tc>
        <w:tc>
          <w:tcPr>
            <w:tcW w:type="dxa" w:w="1512"/>
            <w:shd w:fill="DCFCE7"/>
          </w:tcPr>
          <w:p>
            <w:pPr>
              <w:spacing w:before="60" w:after="60"/>
              <w:jc w:val="center"/>
            </w:pPr>
            <w:r>
              <w:rPr>
                <w:rFonts w:ascii="Calibri" w:hAnsi="Calibri"/>
                <w:b/>
                <w:color w:val="166534"/>
                <w:sz w:val="16"/>
              </w:rPr>
              <w:t>Conforme</w:t>
            </w:r>
          </w:p>
        </w:tc>
      </w:tr>
      <w:tr>
        <w:tc>
          <w:tcPr>
            <w:tcW w:type="dxa" w:w="1080"/>
            <w:shd w:fill="F8FAFC"/>
          </w:tcPr>
          <w:p>
            <w:pPr>
              <w:spacing w:before="60" w:after="60"/>
              <w:jc w:val="center"/>
            </w:pPr>
            <w:r>
              <w:rPr>
                <w:rFonts w:ascii="Calibri" w:hAnsi="Calibri"/>
                <w:b/>
                <w:color w:val="333333"/>
                <w:sz w:val="16"/>
              </w:rPr>
              <w:t>A.2.5.7</w:t>
            </w:r>
          </w:p>
        </w:tc>
        <w:tc>
          <w:tcPr>
            <w:tcW w:type="dxa" w:w="2592"/>
          </w:tcPr>
          <w:p>
            <w:pPr>
              <w:spacing w:before="60" w:after="60"/>
              <w:jc w:val="left"/>
            </w:pPr>
            <w:r>
              <w:rPr>
                <w:rFonts w:ascii="Calibri" w:hAnsi="Calibri"/>
                <w:b w:val="0"/>
                <w:color w:val="333333"/>
                <w:sz w:val="16"/>
              </w:rPr>
              <w:t>Divulgación de subcontratistas</w:t>
            </w:r>
          </w:p>
        </w:tc>
        <w:tc>
          <w:tcPr>
            <w:tcW w:type="dxa" w:w="936"/>
          </w:tcPr>
          <w:p>
            <w:pPr>
              <w:spacing w:before="60" w:after="60"/>
              <w:jc w:val="center"/>
            </w:pPr>
            <w:r>
              <w:rPr>
                <w:rFonts w:ascii="Calibri" w:hAnsi="Calibri"/>
                <w:b/>
                <w:color w:val="333333"/>
                <w:sz w:val="16"/>
              </w:rPr>
              <w:t>NO</w:t>
            </w:r>
          </w:p>
        </w:tc>
        <w:tc>
          <w:tcPr>
            <w:tcW w:type="dxa" w:w="3168"/>
          </w:tcPr>
          <w:p>
            <w:pPr>
              <w:spacing w:before="60" w:after="60"/>
              <w:jc w:val="left"/>
            </w:pPr>
            <w:r>
              <w:rPr>
                <w:rFonts w:ascii="Calibri" w:hAnsi="Calibri"/>
                <w:b w:val="0"/>
                <w:color w:val="333333"/>
                <w:sz w:val="16"/>
              </w:rPr>
              <w:t>Excluido: la organización no actúa como encargada (controles A.2).</w:t>
            </w:r>
          </w:p>
        </w:tc>
        <w:tc>
          <w:tcPr>
            <w:tcW w:type="dxa" w:w="2880"/>
          </w:tcPr>
          <w:p>
            <w:pPr>
              <w:spacing w:before="60" w:after="60"/>
              <w:jc w:val="left"/>
            </w:pPr>
            <w:r>
              <w:rPr>
                <w:rFonts w:ascii="Calibri" w:hAnsi="Calibri"/>
                <w:b w:val="0"/>
                <w:color w:val="333333"/>
                <w:sz w:val="16"/>
              </w:rPr>
              <w:t>Sin artefacto probatorio registrado</w:t>
            </w:r>
          </w:p>
        </w:tc>
        <w:tc>
          <w:tcPr>
            <w:tcW w:type="dxa" w:w="1512"/>
            <w:shd w:fill="F1F5F9"/>
          </w:tcPr>
          <w:p>
            <w:pPr>
              <w:spacing w:before="60" w:after="60"/>
              <w:jc w:val="center"/>
            </w:pPr>
            <w:r>
              <w:rPr>
                <w:rFonts w:ascii="Calibri" w:hAnsi="Calibri"/>
                <w:b/>
                <w:color w:val="64748B"/>
                <w:sz w:val="16"/>
              </w:rPr>
              <w:t>Excluido</w:t>
            </w:r>
          </w:p>
        </w:tc>
      </w:tr>
      <w:tr>
        <w:tc>
          <w:tcPr>
            <w:tcW w:type="dxa" w:w="1080"/>
            <w:shd w:fill="F8FAFC"/>
          </w:tcPr>
          <w:p>
            <w:pPr>
              <w:spacing w:before="60" w:after="60"/>
              <w:jc w:val="center"/>
            </w:pPr>
            <w:r>
              <w:rPr>
                <w:rFonts w:ascii="Calibri" w:hAnsi="Calibri"/>
                <w:b/>
                <w:color w:val="333333"/>
                <w:sz w:val="16"/>
              </w:rPr>
              <w:t>A.3.11</w:t>
            </w:r>
          </w:p>
        </w:tc>
        <w:tc>
          <w:tcPr>
            <w:tcW w:type="dxa" w:w="2592"/>
          </w:tcPr>
          <w:p>
            <w:pPr>
              <w:spacing w:before="60" w:after="60"/>
              <w:jc w:val="left"/>
            </w:pPr>
            <w:r>
              <w:rPr>
                <w:rFonts w:ascii="Calibri" w:hAnsi="Calibri"/>
                <w:b w:val="0"/>
                <w:color w:val="333333"/>
                <w:sz w:val="16"/>
              </w:rPr>
              <w:t>Planificación de incidentes</w:t>
            </w:r>
          </w:p>
        </w:tc>
        <w:tc>
          <w:tcPr>
            <w:tcW w:type="dxa" w:w="936"/>
          </w:tcPr>
          <w:p>
            <w:pPr>
              <w:spacing w:before="60" w:after="60"/>
              <w:jc w:val="center"/>
            </w:pPr>
            <w:r>
              <w:rPr>
                <w:rFonts w:ascii="Calibri" w:hAnsi="Calibri"/>
                <w:b/>
                <w:color w:val="333333"/>
                <w:sz w:val="16"/>
              </w:rPr>
              <w:t>SÍ</w:t>
            </w:r>
          </w:p>
        </w:tc>
        <w:tc>
          <w:tcPr>
            <w:tcW w:type="dxa" w:w="3168"/>
          </w:tcPr>
          <w:p>
            <w:pPr>
              <w:spacing w:before="60" w:after="60"/>
              <w:jc w:val="left"/>
            </w:pPr>
            <w:r>
              <w:rPr>
                <w:rFonts w:ascii="Calibri" w:hAnsi="Calibri"/>
                <w:b w:val="0"/>
                <w:color w:val="333333"/>
                <w:sz w:val="16"/>
              </w:rPr>
              <w:t>Control común de seguridad: aplica a cualquier rol.</w:t>
            </w:r>
          </w:p>
        </w:tc>
        <w:tc>
          <w:tcPr>
            <w:tcW w:type="dxa" w:w="2880"/>
          </w:tcPr>
          <w:p>
            <w:pPr>
              <w:spacing w:before="60" w:after="60"/>
              <w:jc w:val="left"/>
            </w:pPr>
            <w:r>
              <w:rPr>
                <w:rFonts w:ascii="Calibri" w:hAnsi="Calibri"/>
                <w:b w:val="0"/>
                <w:color w:val="333333"/>
                <w:sz w:val="16"/>
              </w:rPr>
              <w:t>Sin artefacto probatorio registrado</w:t>
              <w:br/>
              <w:t>[Directiva: Política UNSA - Seguridad de la Información, Vigilancia y Control de Incidentes]</w:t>
            </w:r>
          </w:p>
        </w:tc>
        <w:tc>
          <w:tcPr>
            <w:tcW w:type="dxa" w:w="1512"/>
            <w:shd w:fill="FEE2E2"/>
          </w:tcPr>
          <w:p>
            <w:pPr>
              <w:spacing w:before="60" w:after="60"/>
              <w:jc w:val="center"/>
            </w:pPr>
            <w:r>
              <w:rPr>
                <w:rFonts w:ascii="Calibri" w:hAnsi="Calibri"/>
                <w:b/>
                <w:color w:val="991B1B"/>
                <w:sz w:val="16"/>
              </w:rPr>
              <w:t>Brecha</w:t>
            </w:r>
          </w:p>
        </w:tc>
      </w:tr>
      <w:tr>
        <w:tc>
          <w:tcPr>
            <w:tcW w:type="dxa" w:w="1080"/>
            <w:shd w:fill="F8FAFC"/>
          </w:tcPr>
          <w:p>
            <w:pPr>
              <w:spacing w:before="60" w:after="60"/>
              <w:jc w:val="center"/>
            </w:pPr>
            <w:r>
              <w:rPr>
                <w:rFonts w:ascii="Calibri" w:hAnsi="Calibri"/>
                <w:b/>
                <w:color w:val="333333"/>
                <w:sz w:val="16"/>
              </w:rPr>
              <w:t>A.3.12</w:t>
            </w:r>
          </w:p>
        </w:tc>
        <w:tc>
          <w:tcPr>
            <w:tcW w:type="dxa" w:w="2592"/>
          </w:tcPr>
          <w:p>
            <w:pPr>
              <w:spacing w:before="60" w:after="60"/>
              <w:jc w:val="left"/>
            </w:pPr>
            <w:r>
              <w:rPr>
                <w:rFonts w:ascii="Calibri" w:hAnsi="Calibri"/>
                <w:b w:val="0"/>
                <w:color w:val="333333"/>
                <w:sz w:val="16"/>
              </w:rPr>
              <w:t>Respuesta a incidentes</w:t>
            </w:r>
          </w:p>
        </w:tc>
        <w:tc>
          <w:tcPr>
            <w:tcW w:type="dxa" w:w="936"/>
          </w:tcPr>
          <w:p>
            <w:pPr>
              <w:spacing w:before="60" w:after="60"/>
              <w:jc w:val="center"/>
            </w:pPr>
            <w:r>
              <w:rPr>
                <w:rFonts w:ascii="Calibri" w:hAnsi="Calibri"/>
                <w:b/>
                <w:color w:val="333333"/>
                <w:sz w:val="16"/>
              </w:rPr>
              <w:t>SÍ</w:t>
            </w:r>
          </w:p>
        </w:tc>
        <w:tc>
          <w:tcPr>
            <w:tcW w:type="dxa" w:w="3168"/>
          </w:tcPr>
          <w:p>
            <w:pPr>
              <w:spacing w:before="60" w:after="60"/>
              <w:jc w:val="left"/>
            </w:pPr>
            <w:r>
              <w:rPr>
                <w:rFonts w:ascii="Calibri" w:hAnsi="Calibri"/>
                <w:b w:val="0"/>
                <w:color w:val="333333"/>
                <w:sz w:val="16"/>
              </w:rPr>
              <w:t>Control común de seguridad: aplica a cualquier rol. Vinculado a los riesgos: R-UNSA-01.</w:t>
            </w:r>
          </w:p>
        </w:tc>
        <w:tc>
          <w:tcPr>
            <w:tcW w:type="dxa" w:w="2880"/>
          </w:tcPr>
          <w:p>
            <w:pPr>
              <w:spacing w:before="60" w:after="60"/>
              <w:jc w:val="left"/>
            </w:pPr>
            <w:r>
              <w:rPr>
                <w:rFonts w:ascii="Calibri" w:hAnsi="Calibri"/>
                <w:b w:val="0"/>
                <w:color w:val="333333"/>
                <w:sz w:val="16"/>
              </w:rPr>
              <w:t>[Protocolo-CSIRT-UNSA-v0.2.docx] Borrador del plan de contención ante incidentes de seguridad y notificación a la ANPD</w:t>
              <w:br/>
              <w:t>[Directiva: Política UNSA - Seguridad de la Información, Vigilancia y Control de Incidentes]</w:t>
            </w:r>
          </w:p>
        </w:tc>
        <w:tc>
          <w:tcPr>
            <w:tcW w:type="dxa" w:w="1512"/>
            <w:shd w:fill="FEF9C3"/>
          </w:tcPr>
          <w:p>
            <w:pPr>
              <w:spacing w:before="60" w:after="60"/>
              <w:jc w:val="center"/>
            </w:pPr>
            <w:r>
              <w:rPr>
                <w:rFonts w:ascii="Calibri" w:hAnsi="Calibri"/>
                <w:b/>
                <w:color w:val="854D0E"/>
                <w:sz w:val="16"/>
              </w:rPr>
              <w:t>En Proceso</w:t>
            </w:r>
          </w:p>
        </w:tc>
      </w:tr>
      <w:tr>
        <w:tc>
          <w:tcPr>
            <w:tcW w:type="dxa" w:w="1080"/>
            <w:shd w:fill="F8FAFC"/>
          </w:tcPr>
          <w:p>
            <w:pPr>
              <w:spacing w:before="60" w:after="60"/>
              <w:jc w:val="center"/>
            </w:pPr>
            <w:r>
              <w:rPr>
                <w:rFonts w:ascii="Calibri" w:hAnsi="Calibri"/>
                <w:b/>
                <w:color w:val="333333"/>
                <w:sz w:val="16"/>
              </w:rPr>
              <w:t>A.3.17</w:t>
            </w:r>
          </w:p>
        </w:tc>
        <w:tc>
          <w:tcPr>
            <w:tcW w:type="dxa" w:w="2592"/>
          </w:tcPr>
          <w:p>
            <w:pPr>
              <w:spacing w:before="60" w:after="60"/>
              <w:jc w:val="left"/>
            </w:pPr>
            <w:r>
              <w:rPr>
                <w:rFonts w:ascii="Calibri" w:hAnsi="Calibri"/>
                <w:b w:val="0"/>
                <w:color w:val="333333"/>
                <w:sz w:val="16"/>
              </w:rPr>
              <w:t>Concienciación y formación</w:t>
            </w:r>
          </w:p>
        </w:tc>
        <w:tc>
          <w:tcPr>
            <w:tcW w:type="dxa" w:w="936"/>
          </w:tcPr>
          <w:p>
            <w:pPr>
              <w:spacing w:before="60" w:after="60"/>
              <w:jc w:val="center"/>
            </w:pPr>
            <w:r>
              <w:rPr>
                <w:rFonts w:ascii="Calibri" w:hAnsi="Calibri"/>
                <w:b/>
                <w:color w:val="333333"/>
                <w:sz w:val="16"/>
              </w:rPr>
              <w:t>SÍ</w:t>
            </w:r>
          </w:p>
        </w:tc>
        <w:tc>
          <w:tcPr>
            <w:tcW w:type="dxa" w:w="3168"/>
          </w:tcPr>
          <w:p>
            <w:pPr>
              <w:spacing w:before="60" w:after="60"/>
              <w:jc w:val="left"/>
            </w:pPr>
            <w:r>
              <w:rPr>
                <w:rFonts w:ascii="Calibri" w:hAnsi="Calibri"/>
                <w:b w:val="0"/>
                <w:color w:val="333333"/>
                <w:sz w:val="16"/>
              </w:rPr>
              <w:t>Control común de seguridad: aplica a cualquier rol.</w:t>
            </w:r>
          </w:p>
        </w:tc>
        <w:tc>
          <w:tcPr>
            <w:tcW w:type="dxa" w:w="2880"/>
          </w:tcPr>
          <w:p>
            <w:pPr>
              <w:spacing w:before="60" w:after="60"/>
              <w:jc w:val="left"/>
            </w:pPr>
            <w:r>
              <w:rPr>
                <w:rFonts w:ascii="Calibri" w:hAnsi="Calibri"/>
                <w:b w:val="0"/>
                <w:color w:val="333333"/>
                <w:sz w:val="16"/>
              </w:rPr>
              <w:t>Sin artefacto probatorio registrado</w:t>
              <w:br/>
              <w:t>[Directiva: Política UNSA - Datos de Docentes, Personal y Aula Virtual]</w:t>
            </w:r>
          </w:p>
        </w:tc>
        <w:tc>
          <w:tcPr>
            <w:tcW w:type="dxa" w:w="1512"/>
            <w:shd w:fill="FEE2E2"/>
          </w:tcPr>
          <w:p>
            <w:pPr>
              <w:spacing w:before="60" w:after="60"/>
              <w:jc w:val="center"/>
            </w:pPr>
            <w:r>
              <w:rPr>
                <w:rFonts w:ascii="Calibri" w:hAnsi="Calibri"/>
                <w:b/>
                <w:color w:val="991B1B"/>
                <w:sz w:val="16"/>
              </w:rPr>
              <w:t>Brecha</w:t>
            </w:r>
          </w:p>
        </w:tc>
      </w:tr>
    </w:tbl>
    <w:p>
      <w:pPr>
        <w:spacing w:after="240"/>
      </w:pPr>
    </w:p>
    <w:p>
      <w:pPr>
        <w:pStyle w:val="Heading2"/>
      </w:pPr>
      <w:r>
        <w:rPr>
          <w:rFonts w:ascii="Calibri" w:hAnsi="Calibri"/>
          <w:color w:val="0F172A"/>
        </w:rPr>
        <w:t>4. Plan Prescriptivo de Tratamiento de Brechas Normativas (CAPA)</w:t>
      </w:r>
    </w:p>
    <w:p>
      <w:pPr>
        <w:spacing w:after="120"/>
      </w:pPr>
      <w:r>
        <w:rPr>
          <w:rFonts w:ascii="Calibri" w:hAnsi="Calibri"/>
          <w:color w:val="334155"/>
          <w:sz w:val="19"/>
        </w:rPr>
        <w:t>Con el fin de mitigar los riesgos de sanciones legales bajo la Ley N° 29733 y alcanzar la conformidad previa a la auditoría externa de certificación, se asignan de forma prescriptiva las siguientes acciones correctivas inmediatas: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296"/>
            <w:shd w:fill="334155"/>
          </w:tcPr>
          <w:p>
            <w:pPr>
              <w:spacing w:before="60" w:after="60"/>
              <w:jc w:val="center"/>
            </w:pPr>
            <w:r>
              <w:rPr>
                <w:rFonts w:ascii="Calibri" w:hAnsi="Calibri"/>
                <w:b/>
                <w:color w:val="FFFFFF"/>
                <w:sz w:val="17"/>
              </w:rPr>
              <w:t>Control</w:t>
            </w:r>
          </w:p>
        </w:tc>
        <w:tc>
          <w:tcPr>
            <w:tcW w:type="dxa" w:w="3744"/>
            <w:shd w:fill="334155"/>
          </w:tcPr>
          <w:p>
            <w:pPr>
              <w:spacing w:before="60" w:after="60"/>
              <w:jc w:val="center"/>
            </w:pPr>
            <w:r>
              <w:rPr>
                <w:rFonts w:ascii="Calibri" w:hAnsi="Calibri"/>
                <w:b/>
                <w:color w:val="FFFFFF"/>
                <w:sz w:val="17"/>
              </w:rPr>
              <w:t>Requisito Normativo Incumplido</w:t>
            </w:r>
          </w:p>
        </w:tc>
        <w:tc>
          <w:tcPr>
            <w:tcW w:type="dxa" w:w="1728"/>
            <w:shd w:fill="334155"/>
          </w:tcPr>
          <w:p>
            <w:pPr>
              <w:spacing w:before="60" w:after="60"/>
              <w:jc w:val="center"/>
            </w:pPr>
            <w:r>
              <w:rPr>
                <w:rFonts w:ascii="Calibri" w:hAnsi="Calibri"/>
                <w:b/>
                <w:color w:val="FFFFFF"/>
                <w:sz w:val="17"/>
              </w:rPr>
              <w:t>Estado Actual</w:t>
            </w:r>
          </w:p>
        </w:tc>
        <w:tc>
          <w:tcPr>
            <w:tcW w:type="dxa" w:w="3456"/>
            <w:shd w:fill="334155"/>
          </w:tcPr>
          <w:p>
            <w:pPr>
              <w:spacing w:before="60" w:after="60"/>
              <w:jc w:val="center"/>
            </w:pPr>
            <w:r>
              <w:rPr>
                <w:rFonts w:ascii="Calibri" w:hAnsi="Calibri"/>
                <w:b/>
                <w:color w:val="FFFFFF"/>
                <w:sz w:val="17"/>
              </w:rPr>
              <w:t>Área Responsable de Remediación</w:t>
            </w:r>
          </w:p>
        </w:tc>
      </w:tr>
      <w:tr>
        <w:tc>
          <w:tcPr>
            <w:tcW w:type="dxa" w:w="2520"/>
            <w:shd w:fill="FFF1F2"/>
          </w:tcPr>
          <w:p>
            <w:pPr>
              <w:spacing w:before="60" w:after="60"/>
              <w:jc w:val="center"/>
            </w:pPr>
            <w:r>
              <w:rPr>
                <w:rFonts w:ascii="Calibri" w:hAnsi="Calibri"/>
                <w:b/>
                <w:color w:val="333333"/>
                <w:sz w:val="16"/>
              </w:rPr>
              <w:t>A.1.2.6</w:t>
            </w:r>
          </w:p>
        </w:tc>
        <w:tc>
          <w:tcPr>
            <w:tcW w:type="dxa" w:w="2520"/>
          </w:tcPr>
          <w:p>
            <w:pPr>
              <w:spacing w:before="60" w:after="60"/>
              <w:jc w:val="left"/>
            </w:pPr>
            <w:r>
              <w:rPr>
                <w:rFonts w:ascii="Calibri" w:hAnsi="Calibri"/>
                <w:b w:val="0"/>
                <w:color w:val="333333"/>
                <w:sz w:val="16"/>
              </w:rPr>
              <w:t>Evaluación de impacto de privacidad (DPIA)</w:t>
            </w:r>
          </w:p>
        </w:tc>
        <w:tc>
          <w:tcPr>
            <w:tcW w:type="dxa" w:w="2520"/>
          </w:tcPr>
          <w:p>
            <w:pPr>
              <w:spacing w:before="60" w:after="60"/>
              <w:jc w:val="center"/>
            </w:pPr>
            <w:r>
              <w:rPr>
                <w:rFonts w:ascii="Calibri" w:hAnsi="Calibri"/>
                <w:b/>
                <w:color w:val="991B1B"/>
                <w:sz w:val="16"/>
              </w:rPr>
              <w:t>En Revisión</w:t>
            </w:r>
          </w:p>
        </w:tc>
        <w:tc>
          <w:tcPr>
            <w:tcW w:type="dxa" w:w="2520"/>
          </w:tcPr>
          <w:p>
            <w:pPr>
              <w:spacing w:before="60" w:after="60"/>
              <w:jc w:val="left"/>
            </w:pPr>
            <w:r>
              <w:rPr>
                <w:rFonts w:ascii="Calibri" w:hAnsi="Calibri"/>
                <w:b/>
                <w:color w:val="333333"/>
                <w:sz w:val="16"/>
              </w:rPr>
              <w:t>Dirección Universitaria de Riesgos</w:t>
            </w:r>
          </w:p>
        </w:tc>
      </w:tr>
      <w:tr>
        <w:tc>
          <w:tcPr>
            <w:tcW w:type="dxa" w:w="2520"/>
            <w:shd w:fill="FFF1F2"/>
          </w:tcPr>
          <w:p>
            <w:pPr>
              <w:spacing w:before="60" w:after="60"/>
              <w:jc w:val="center"/>
            </w:pPr>
            <w:r>
              <w:rPr>
                <w:rFonts w:ascii="Calibri" w:hAnsi="Calibri"/>
                <w:b/>
                <w:color w:val="333333"/>
                <w:sz w:val="16"/>
              </w:rPr>
              <w:t>A.3.11</w:t>
            </w:r>
          </w:p>
        </w:tc>
        <w:tc>
          <w:tcPr>
            <w:tcW w:type="dxa" w:w="2520"/>
          </w:tcPr>
          <w:p>
            <w:pPr>
              <w:spacing w:before="60" w:after="60"/>
              <w:jc w:val="left"/>
            </w:pPr>
            <w:r>
              <w:rPr>
                <w:rFonts w:ascii="Calibri" w:hAnsi="Calibri"/>
                <w:b w:val="0"/>
                <w:color w:val="333333"/>
                <w:sz w:val="16"/>
              </w:rPr>
              <w:t>Planificación de incidentes</w:t>
            </w:r>
          </w:p>
        </w:tc>
        <w:tc>
          <w:tcPr>
            <w:tcW w:type="dxa" w:w="2520"/>
          </w:tcPr>
          <w:p>
            <w:pPr>
              <w:spacing w:before="60" w:after="60"/>
              <w:jc w:val="center"/>
            </w:pPr>
            <w:r>
              <w:rPr>
                <w:rFonts w:ascii="Calibri" w:hAnsi="Calibri"/>
                <w:b/>
                <w:color w:val="991B1B"/>
                <w:sz w:val="16"/>
              </w:rPr>
              <w:t>No Conforme</w:t>
            </w:r>
          </w:p>
        </w:tc>
        <w:tc>
          <w:tcPr>
            <w:tcW w:type="dxa" w:w="2520"/>
          </w:tcPr>
          <w:p>
            <w:pPr>
              <w:spacing w:before="60" w:after="60"/>
              <w:jc w:val="left"/>
            </w:pPr>
            <w:r>
              <w:rPr>
                <w:rFonts w:ascii="Calibri" w:hAnsi="Calibri"/>
                <w:b/>
                <w:color w:val="333333"/>
                <w:sz w:val="16"/>
              </w:rPr>
              <w:t>Dirección Universitaria de Incidentes</w:t>
            </w:r>
          </w:p>
        </w:tc>
      </w:tr>
      <w:tr>
        <w:tc>
          <w:tcPr>
            <w:tcW w:type="dxa" w:w="2520"/>
            <w:shd w:fill="FFF1F2"/>
          </w:tcPr>
          <w:p>
            <w:pPr>
              <w:spacing w:before="60" w:after="60"/>
              <w:jc w:val="center"/>
            </w:pPr>
            <w:r>
              <w:rPr>
                <w:rFonts w:ascii="Calibri" w:hAnsi="Calibri"/>
                <w:b/>
                <w:color w:val="333333"/>
                <w:sz w:val="16"/>
              </w:rPr>
              <w:t>A.3.12</w:t>
            </w:r>
          </w:p>
        </w:tc>
        <w:tc>
          <w:tcPr>
            <w:tcW w:type="dxa" w:w="2520"/>
          </w:tcPr>
          <w:p>
            <w:pPr>
              <w:spacing w:before="60" w:after="60"/>
              <w:jc w:val="left"/>
            </w:pPr>
            <w:r>
              <w:rPr>
                <w:rFonts w:ascii="Calibri" w:hAnsi="Calibri"/>
                <w:b w:val="0"/>
                <w:color w:val="333333"/>
                <w:sz w:val="16"/>
              </w:rPr>
              <w:t>Respuesta a incidentes</w:t>
            </w:r>
          </w:p>
        </w:tc>
        <w:tc>
          <w:tcPr>
            <w:tcW w:type="dxa" w:w="2520"/>
          </w:tcPr>
          <w:p>
            <w:pPr>
              <w:spacing w:before="60" w:after="60"/>
              <w:jc w:val="center"/>
            </w:pPr>
            <w:r>
              <w:rPr>
                <w:rFonts w:ascii="Calibri" w:hAnsi="Calibri"/>
                <w:b/>
                <w:color w:val="991B1B"/>
                <w:sz w:val="16"/>
              </w:rPr>
              <w:t>En Revisión</w:t>
            </w:r>
          </w:p>
        </w:tc>
        <w:tc>
          <w:tcPr>
            <w:tcW w:type="dxa" w:w="2520"/>
          </w:tcPr>
          <w:p>
            <w:pPr>
              <w:spacing w:before="60" w:after="60"/>
              <w:jc w:val="left"/>
            </w:pPr>
            <w:r>
              <w:rPr>
                <w:rFonts w:ascii="Calibri" w:hAnsi="Calibri"/>
                <w:b/>
                <w:color w:val="333333"/>
                <w:sz w:val="16"/>
              </w:rPr>
              <w:t>Dirección Universitaria de Incidentes</w:t>
            </w:r>
          </w:p>
        </w:tc>
      </w:tr>
      <w:tr>
        <w:tc>
          <w:tcPr>
            <w:tcW w:type="dxa" w:w="2520"/>
            <w:shd w:fill="FFF1F2"/>
          </w:tcPr>
          <w:p>
            <w:pPr>
              <w:spacing w:before="60" w:after="60"/>
              <w:jc w:val="center"/>
            </w:pPr>
            <w:r>
              <w:rPr>
                <w:rFonts w:ascii="Calibri" w:hAnsi="Calibri"/>
                <w:b/>
                <w:color w:val="333333"/>
                <w:sz w:val="16"/>
              </w:rPr>
              <w:t>A.3.17</w:t>
            </w:r>
          </w:p>
        </w:tc>
        <w:tc>
          <w:tcPr>
            <w:tcW w:type="dxa" w:w="2520"/>
          </w:tcPr>
          <w:p>
            <w:pPr>
              <w:spacing w:before="60" w:after="60"/>
              <w:jc w:val="left"/>
            </w:pPr>
            <w:r>
              <w:rPr>
                <w:rFonts w:ascii="Calibri" w:hAnsi="Calibri"/>
                <w:b w:val="0"/>
                <w:color w:val="333333"/>
                <w:sz w:val="16"/>
              </w:rPr>
              <w:t>Concienciación y formación</w:t>
            </w:r>
          </w:p>
        </w:tc>
        <w:tc>
          <w:tcPr>
            <w:tcW w:type="dxa" w:w="2520"/>
          </w:tcPr>
          <w:p>
            <w:pPr>
              <w:spacing w:before="60" w:after="60"/>
              <w:jc w:val="center"/>
            </w:pPr>
            <w:r>
              <w:rPr>
                <w:rFonts w:ascii="Calibri" w:hAnsi="Calibri"/>
                <w:b/>
                <w:color w:val="991B1B"/>
                <w:sz w:val="16"/>
              </w:rPr>
              <w:t>No Conforme</w:t>
            </w:r>
          </w:p>
        </w:tc>
        <w:tc>
          <w:tcPr>
            <w:tcW w:type="dxa" w:w="2520"/>
          </w:tcPr>
          <w:p>
            <w:pPr>
              <w:spacing w:before="60" w:after="60"/>
              <w:jc w:val="left"/>
            </w:pPr>
            <w:r>
              <w:rPr>
                <w:rFonts w:ascii="Calibri" w:hAnsi="Calibri"/>
                <w:b/>
                <w:color w:val="333333"/>
                <w:sz w:val="16"/>
              </w:rPr>
              <w:t>Dirección Universitaria de Formación</w:t>
            </w:r>
          </w:p>
        </w:tc>
      </w:tr>
    </w:tbl>
    <w:p>
      <w:pPr>
        <w:spacing w:after="280"/>
      </w:pPr>
    </w:p>
    <w:p>
      <w:pPr>
        <w:pStyle w:val="Heading2"/>
      </w:pPr>
      <w:r>
        <w:rPr>
          <w:rFonts w:ascii="Calibri" w:hAnsi="Calibri"/>
          <w:color w:val="0F172A"/>
        </w:rPr>
        <w:t>5. Gobernanza, Aprobación Institucional y Firmas de Responsabilidad</w:t>
      </w:r>
    </w:p>
    <w:p>
      <w:pPr>
        <w:spacing w:after="500"/>
      </w:pPr>
      <w:r>
        <w:rPr>
          <w:rFonts w:ascii="Calibri" w:hAnsi="Calibri"/>
          <w:color w:val="64748B"/>
          <w:sz w:val="18"/>
        </w:rPr>
        <w:t>El presente informe de Declaración de Aplicabilidad ha sido emitido con rigor técnico metodológico. En cumplimiento del principio de gobernanza institucional y responsabilidad demostrada (Accountability), el documento adquiere validez jurídica y ejecutiva con el refrendo de las autoridades competentes de la Universidad Nacional de San Agustín de Arequipa.</w:t>
      </w:r>
    </w:p>
    <w:tbl>
      <w:tblPr>
        <w:tblW w:type="auto" w:w="0"/>
        <w:jc w:val="center"/>
        <w:tblLayout w:type="fixed"/>
        <w:tblLook w:firstColumn="1" w:firstRow="1" w:lastColumn="0" w:lastRow="0" w:noHBand="0" w:noVBand="1" w:val="04A0"/>
      </w:tblPr>
      <w:tblGrid>
        <w:gridCol w:w="3360"/>
        <w:gridCol w:w="3360"/>
        <w:gridCol w:w="3360"/>
      </w:tblGrid>
      <w:tr>
        <w:tc>
          <w:tcPr>
            <w:tcW w:type="dxa" w:w="3360"/>
          </w:tcPr>
          <w:p>
            <w:pPr>
              <w:spacing w:before="60" w:after="60"/>
              <w:jc w:val="center"/>
            </w:pPr>
            <w:r>
              <w:rPr>
                <w:rFonts w:ascii="Calibri" w:hAnsi="Calibri"/>
                <w:b w:val="0"/>
                <w:color w:val="464646"/>
                <w:sz w:val="16"/>
              </w:rPr>
              <w:t>____________________________________</w:t>
              <w:br/>
              <w:t>Mg. Edward Vicente Zárate Carlos</w:t>
              <w:br/>
              <w:t>Auditor Líder / Cátedra de Auditoría</w:t>
              <w:br/>
              <w:t>EPIS — UNSA</w:t>
            </w:r>
          </w:p>
        </w:tc>
        <w:tc>
          <w:tcPr>
            <w:tcW w:type="dxa" w:w="3360"/>
          </w:tcPr>
          <w:p>
            <w:pPr>
              <w:spacing w:before="60" w:after="60"/>
              <w:jc w:val="center"/>
            </w:pPr>
            <w:r>
              <w:rPr>
                <w:rFonts w:ascii="Calibri" w:hAnsi="Calibri"/>
                <w:b w:val="0"/>
                <w:color w:val="464646"/>
                <w:sz w:val="16"/>
              </w:rPr>
              <w:t>____________________________________</w:t>
              <w:br/>
              <w:t>Oficial de Protección de Datos (DPO)</w:t>
              <w:br/>
              <w:t>Oficialía de Privacidad</w:t>
              <w:br/>
              <w:t>UNSA</w:t>
            </w:r>
          </w:p>
        </w:tc>
        <w:tc>
          <w:tcPr>
            <w:tcW w:type="dxa" w:w="3360"/>
          </w:tcPr>
          <w:p>
            <w:pPr>
              <w:spacing w:before="60" w:after="60"/>
              <w:jc w:val="center"/>
            </w:pPr>
            <w:r>
              <w:rPr>
                <w:rFonts w:ascii="Calibri" w:hAnsi="Calibri"/>
                <w:b w:val="0"/>
                <w:color w:val="464646"/>
                <w:sz w:val="16"/>
              </w:rPr>
              <w:t>____________________________________</w:t>
              <w:br/>
              <w:t>Director General de OTIC</w:t>
              <w:br/>
              <w:t>Dirección Universitaria de TIC</w:t>
              <w:br/>
              <w:t>UNSA</w:t>
            </w:r>
          </w:p>
        </w:tc>
      </w:tr>
      <w:tr>
        <w:tc>
          <w:tcPr>
            <w:tcW w:type="dxa" w:w="3360"/>
          </w:tcPr>
          <w:p>
            <w:pPr>
              <w:spacing w:before="60" w:after="60"/>
              <w:jc w:val="center"/>
            </w:pPr>
            <w:r>
              <w:rPr>
                <w:rFonts w:ascii="Calibri" w:hAnsi="Calibri"/>
                <w:b w:val="0"/>
                <w:color w:val="464646"/>
                <w:sz w:val="16"/>
              </w:rPr>
              <w:t>Fecha: ____ / ____ / 2026</w:t>
            </w:r>
          </w:p>
        </w:tc>
        <w:tc>
          <w:tcPr>
            <w:tcW w:type="dxa" w:w="3360"/>
          </w:tcPr>
          <w:p>
            <w:pPr>
              <w:spacing w:before="60" w:after="60"/>
              <w:jc w:val="center"/>
            </w:pPr>
            <w:r>
              <w:rPr>
                <w:rFonts w:ascii="Calibri" w:hAnsi="Calibri"/>
                <w:b w:val="0"/>
                <w:color w:val="464646"/>
                <w:sz w:val="16"/>
              </w:rPr>
              <w:t>Fecha: ____ / ____ / 2026</w:t>
            </w:r>
          </w:p>
        </w:tc>
        <w:tc>
          <w:tcPr>
            <w:tcW w:type="dxa" w:w="3360"/>
          </w:tcPr>
          <w:p>
            <w:pPr>
              <w:spacing w:before="60" w:after="60"/>
              <w:jc w:val="center"/>
            </w:pPr>
            <w:r>
              <w:rPr>
                <w:rFonts w:ascii="Calibri" w:hAnsi="Calibri"/>
                <w:b w:val="0"/>
                <w:color w:val="464646"/>
                <w:sz w:val="16"/>
              </w:rPr>
              <w:t>Fecha: ____ / ____ / 2026</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