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019A" w14:textId="1F5C6E08" w:rsidR="007F25EB" w:rsidRPr="00E75D44" w:rsidRDefault="007F25EB" w:rsidP="00802015">
      <w:pPr>
        <w:snapToGrid w:val="0"/>
        <w:spacing w:after="0" w:line="480" w:lineRule="auto"/>
      </w:pPr>
      <w:bookmarkStart w:id="0" w:name="Table1"/>
      <w:r w:rsidRPr="00E75D44">
        <w:rPr>
          <w:b/>
          <w:bCs/>
        </w:rPr>
        <w:t>Table 1</w:t>
      </w:r>
      <w:bookmarkEnd w:id="0"/>
      <w:r w:rsidR="00E21B3B">
        <w:rPr>
          <w:b/>
          <w:bCs/>
        </w:rPr>
        <w:t>.</w:t>
      </w:r>
      <w:r w:rsidRPr="00E75D44">
        <w:rPr>
          <w:b/>
          <w:bCs/>
        </w:rPr>
        <w:t xml:space="preserve"> </w:t>
      </w:r>
      <w:r w:rsidRPr="00E75D44">
        <w:t>Information on the three materials used in this study</w:t>
      </w:r>
    </w:p>
    <w:tbl>
      <w:tblPr>
        <w:tblW w:w="8364" w:type="dxa"/>
        <w:tblBorders>
          <w:top w:val="single" w:sz="12" w:space="0" w:color="auto"/>
          <w:bottom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2155"/>
        <w:gridCol w:w="1956"/>
      </w:tblGrid>
      <w:tr w:rsidR="007F25EB" w:rsidRPr="00E75D44" w14:paraId="0C1928AC" w14:textId="77777777" w:rsidTr="00F13A71">
        <w:tc>
          <w:tcPr>
            <w:tcW w:w="85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A694026" w14:textId="77777777" w:rsidR="007F25EB" w:rsidRPr="00E75D44" w:rsidRDefault="007F25EB" w:rsidP="00802015">
            <w:pPr>
              <w:snapToGrid w:val="0"/>
              <w:spacing w:after="0" w:line="360" w:lineRule="auto"/>
            </w:pPr>
            <w:r w:rsidRPr="00E75D44">
              <w:t>Code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CEA50F" w14:textId="77777777" w:rsidR="007F25EB" w:rsidRPr="00E75D44" w:rsidRDefault="007F25EB" w:rsidP="00802015">
            <w:pPr>
              <w:snapToGrid w:val="0"/>
              <w:spacing w:after="0" w:line="360" w:lineRule="auto"/>
            </w:pPr>
            <w:r w:rsidRPr="00E75D44">
              <w:t>Material type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9EED37" w14:textId="77777777" w:rsidR="007F25EB" w:rsidRPr="00E75D44" w:rsidRDefault="007F25EB" w:rsidP="00802015">
            <w:pPr>
              <w:snapToGrid w:val="0"/>
              <w:spacing w:after="0" w:line="360" w:lineRule="auto"/>
            </w:pPr>
            <w:r w:rsidRPr="00E75D44">
              <w:t>Material image</w:t>
            </w:r>
          </w:p>
        </w:tc>
        <w:tc>
          <w:tcPr>
            <w:tcW w:w="215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FF3CBD" w14:textId="77777777" w:rsidR="007F25EB" w:rsidRPr="00E75D44" w:rsidRDefault="007F25EB" w:rsidP="00802015">
            <w:pPr>
              <w:snapToGrid w:val="0"/>
              <w:spacing w:after="0" w:line="360" w:lineRule="auto"/>
            </w:pPr>
            <w:r w:rsidRPr="00E75D44">
              <w:t>Manufacturer, product usage, and price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14:paraId="65C9DC66" w14:textId="77777777" w:rsidR="007F25EB" w:rsidRPr="00E75D44" w:rsidRDefault="007F25EB" w:rsidP="00802015">
            <w:pPr>
              <w:snapToGrid w:val="0"/>
              <w:spacing w:after="0" w:line="360" w:lineRule="auto"/>
            </w:pPr>
            <w:r w:rsidRPr="00E75D44">
              <w:t>Advantages</w:t>
            </w:r>
          </w:p>
        </w:tc>
      </w:tr>
      <w:tr w:rsidR="007F25EB" w:rsidRPr="00E75D44" w14:paraId="533AC1BE" w14:textId="77777777" w:rsidTr="00F13A71"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3A0C60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t>AC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F99A11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t>White elastomeric acrylic painting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9833D4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E065FCD" wp14:editId="15962400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5080</wp:posOffset>
                  </wp:positionV>
                  <wp:extent cx="1111885" cy="1040130"/>
                  <wp:effectExtent l="0" t="0" r="0" b="7620"/>
                  <wp:wrapSquare wrapText="bothSides"/>
                  <wp:docPr id="4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04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5090197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t>Nippon, 1 mm thickness, 18 kg used and 0.71USD m</w:t>
            </w:r>
            <w:r w:rsidRPr="00F13A71">
              <w:rPr>
                <w:vertAlign w:val="superscript"/>
              </w:rPr>
              <w:t>-2</w:t>
            </w:r>
          </w:p>
        </w:tc>
        <w:tc>
          <w:tcPr>
            <w:tcW w:w="1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14:paraId="058ED2D4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t>Resistant to cracking, high temperatures, and water</w:t>
            </w:r>
          </w:p>
        </w:tc>
      </w:tr>
      <w:tr w:rsidR="007F25EB" w:rsidRPr="00E75D44" w14:paraId="2F3FC4E1" w14:textId="77777777" w:rsidTr="00F13A71">
        <w:trPr>
          <w:trHeight w:val="1590"/>
        </w:trPr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276EBE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t>TPO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D024E5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t>White thermoplastic polyolefin membrane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245608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EFD663" wp14:editId="7B006B41">
                  <wp:simplePos x="0" y="0"/>
                  <wp:positionH relativeFrom="column">
                    <wp:posOffset>-62161</wp:posOffset>
                  </wp:positionH>
                  <wp:positionV relativeFrom="paragraph">
                    <wp:posOffset>425</wp:posOffset>
                  </wp:positionV>
                  <wp:extent cx="1086225" cy="993683"/>
                  <wp:effectExtent l="0" t="0" r="0" b="0"/>
                  <wp:wrapSquare wrapText="bothSides"/>
                  <wp:docPr id="4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90" cy="99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055FE0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proofErr w:type="spellStart"/>
            <w:r w:rsidRPr="00E75D44">
              <w:t>Hongchang</w:t>
            </w:r>
            <w:proofErr w:type="spellEnd"/>
            <w:r w:rsidRPr="00E75D44">
              <w:t xml:space="preserve"> Waterproof Material Co., Ltd., 1 mm thickness, 30 m</w:t>
            </w:r>
            <w:r w:rsidRPr="00E75D44">
              <w:rPr>
                <w:vertAlign w:val="superscript"/>
              </w:rPr>
              <w:t>2</w:t>
            </w:r>
            <w:r w:rsidRPr="00E75D44">
              <w:t xml:space="preserve"> coverage, and 18.88 USD m</w:t>
            </w:r>
            <w:r w:rsidRPr="00E75D44">
              <w:rPr>
                <w:vertAlign w:val="superscript"/>
              </w:rPr>
              <w:t>-2</w:t>
            </w:r>
          </w:p>
        </w:tc>
        <w:tc>
          <w:tcPr>
            <w:tcW w:w="1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14:paraId="6D3BEEA9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t>Weather-resistant, weldable, novel cool roofing and waterproof membrane materials, high tensile strength, long service life</w:t>
            </w:r>
          </w:p>
        </w:tc>
      </w:tr>
      <w:tr w:rsidR="007F25EB" w:rsidRPr="00E75D44" w14:paraId="7B3BBE74" w14:textId="77777777" w:rsidTr="00F13A71">
        <w:tc>
          <w:tcPr>
            <w:tcW w:w="851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</w:tcPr>
          <w:p w14:paraId="3C70AC67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t>SBS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hideMark/>
          </w:tcPr>
          <w:p w14:paraId="4992BBE4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t xml:space="preserve">Aluminum foil composite film covered styrene-butadiene-styrene bituminous membrane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1D3EF6D1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A1F8DE7" wp14:editId="0793C956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111</wp:posOffset>
                  </wp:positionV>
                  <wp:extent cx="1111885" cy="998855"/>
                  <wp:effectExtent l="0" t="0" r="0" b="0"/>
                  <wp:wrapSquare wrapText="bothSides"/>
                  <wp:docPr id="4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138F735D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proofErr w:type="spellStart"/>
            <w:r w:rsidRPr="00E75D44">
              <w:t>Laishide</w:t>
            </w:r>
            <w:proofErr w:type="spellEnd"/>
            <w:r w:rsidRPr="00E75D44">
              <w:t>, 3mm thickness, 30 m</w:t>
            </w:r>
            <w:r w:rsidRPr="00E75D44">
              <w:rPr>
                <w:vertAlign w:val="superscript"/>
              </w:rPr>
              <w:t>2</w:t>
            </w:r>
            <w:r w:rsidRPr="00E75D44">
              <w:t xml:space="preserve"> coverage, 3.14 USD m</w:t>
            </w:r>
            <w:r w:rsidRPr="00E75D44">
              <w:rPr>
                <w:vertAlign w:val="superscript"/>
              </w:rPr>
              <w:t>-2</w:t>
            </w:r>
            <w:r w:rsidRPr="00E75D44">
              <w:t xml:space="preserve"> </w:t>
            </w:r>
          </w:p>
        </w:tc>
        <w:tc>
          <w:tcPr>
            <w:tcW w:w="195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hideMark/>
          </w:tcPr>
          <w:p w14:paraId="01497C8C" w14:textId="77777777" w:rsidR="007F25EB" w:rsidRPr="00E75D44" w:rsidRDefault="007F25EB" w:rsidP="00802015">
            <w:pPr>
              <w:snapToGrid w:val="0"/>
              <w:spacing w:after="0" w:line="360" w:lineRule="auto"/>
              <w:jc w:val="left"/>
            </w:pPr>
            <w:r w:rsidRPr="00E75D44">
              <w:t>Waterproof, insulating, convenient installation, inexpensive, resists deformation, puncture resistant</w:t>
            </w:r>
          </w:p>
        </w:tc>
      </w:tr>
    </w:tbl>
    <w:p w14:paraId="0C55DD2F" w14:textId="52BAF241" w:rsidR="00604C34" w:rsidRDefault="00604C34" w:rsidP="00802015"/>
    <w:p w14:paraId="68EC7FBA" w14:textId="77777777" w:rsidR="00604C34" w:rsidRDefault="00604C34" w:rsidP="00802015">
      <w:pPr>
        <w:widowControl/>
        <w:spacing w:after="0"/>
        <w:jc w:val="left"/>
      </w:pPr>
      <w:r>
        <w:br w:type="page"/>
      </w:r>
    </w:p>
    <w:p w14:paraId="69E90308" w14:textId="77777777" w:rsidR="00604C34" w:rsidRPr="00E75D44" w:rsidRDefault="00604C34" w:rsidP="00713711">
      <w:pPr>
        <w:snapToGrid w:val="0"/>
        <w:spacing w:after="0" w:line="360" w:lineRule="auto"/>
        <w:jc w:val="left"/>
        <w:rPr>
          <w:bCs/>
        </w:rPr>
      </w:pPr>
      <w:bookmarkStart w:id="1" w:name="Fig1"/>
      <w:bookmarkStart w:id="2" w:name="_Hlk139187126"/>
      <w:r w:rsidRPr="00E75D44">
        <w:rPr>
          <w:b/>
        </w:rPr>
        <w:lastRenderedPageBreak/>
        <w:t xml:space="preserve">Figure </w:t>
      </w:r>
      <w:bookmarkEnd w:id="1"/>
      <w:r>
        <w:rPr>
          <w:b/>
        </w:rPr>
        <w:t>1</w:t>
      </w:r>
      <w:r w:rsidRPr="00E75D44">
        <w:rPr>
          <w:b/>
        </w:rPr>
        <w:t xml:space="preserve">. </w:t>
      </w:r>
      <w:r w:rsidRPr="00E75D44">
        <w:rPr>
          <w:bCs/>
        </w:rPr>
        <w:t>(a) Overhead view of the experiment site</w:t>
      </w:r>
      <w:bookmarkEnd w:id="2"/>
      <w:r w:rsidRPr="00E75D44">
        <w:rPr>
          <w:bCs/>
        </w:rPr>
        <w:t>, including (b) CK area on the concrete roof, (c) AC area after 2</w:t>
      </w:r>
      <w:r w:rsidRPr="00E75D44">
        <w:rPr>
          <w:bCs/>
          <w:vertAlign w:val="superscript"/>
        </w:rPr>
        <w:t>nd</w:t>
      </w:r>
      <w:r w:rsidRPr="00E75D44">
        <w:rPr>
          <w:bCs/>
        </w:rPr>
        <w:t xml:space="preserve"> recoating white elastomeric acrylic painting, (d) TPO area with white thermoplastic polyolefin membrane, and (e) SBS area with aluminum foil composite film covered styrene-butadiene-styrene bituminous membrane.</w:t>
      </w:r>
    </w:p>
    <w:p w14:paraId="37F1CFBA" w14:textId="5232DEEB" w:rsidR="00604C34" w:rsidRPr="00E93E0A" w:rsidRDefault="00604C34" w:rsidP="00713711">
      <w:pPr>
        <w:widowControl/>
        <w:snapToGrid w:val="0"/>
        <w:spacing w:after="0" w:line="360" w:lineRule="auto"/>
        <w:jc w:val="left"/>
      </w:pPr>
    </w:p>
    <w:p w14:paraId="157390AA" w14:textId="2C43B13A" w:rsidR="0029386D" w:rsidRDefault="007B1F2E" w:rsidP="00713711">
      <w:pPr>
        <w:snapToGrid w:val="0"/>
        <w:spacing w:after="0" w:line="360" w:lineRule="auto"/>
        <w:rPr>
          <w:bCs/>
        </w:rPr>
      </w:pPr>
      <w:bookmarkStart w:id="3" w:name="Fig2"/>
      <w:r w:rsidRPr="00E75D44">
        <w:rPr>
          <w:b/>
        </w:rPr>
        <w:t xml:space="preserve">Figure </w:t>
      </w:r>
      <w:bookmarkEnd w:id="3"/>
      <w:r>
        <w:rPr>
          <w:b/>
        </w:rPr>
        <w:t>2</w:t>
      </w:r>
      <w:r w:rsidRPr="00E75D44">
        <w:rPr>
          <w:b/>
        </w:rPr>
        <w:t>.</w:t>
      </w:r>
      <w:r w:rsidRPr="00E75D44">
        <w:t xml:space="preserve"> </w:t>
      </w:r>
      <w:r w:rsidRPr="00E75D44">
        <w:rPr>
          <w:bCs/>
        </w:rPr>
        <w:t>Instrument configuration in the experiment site (the shaded area denotes the detection</w:t>
      </w:r>
      <w:r w:rsidRPr="00E75D44" w:rsidDel="00D6574A">
        <w:rPr>
          <w:bCs/>
        </w:rPr>
        <w:t xml:space="preserve"> </w:t>
      </w:r>
      <w:r w:rsidRPr="00E75D44">
        <w:rPr>
          <w:bCs/>
        </w:rPr>
        <w:t>range of the CNR4).</w:t>
      </w:r>
    </w:p>
    <w:p w14:paraId="3CDEEAC3" w14:textId="1783BE07" w:rsidR="0029386D" w:rsidRPr="00E75D44" w:rsidRDefault="0029386D" w:rsidP="00713711">
      <w:pPr>
        <w:snapToGrid w:val="0"/>
        <w:spacing w:after="0" w:line="360" w:lineRule="auto"/>
      </w:pPr>
    </w:p>
    <w:p w14:paraId="4EE10565" w14:textId="2C4AC55E" w:rsidR="0029386D" w:rsidRPr="00E75D44" w:rsidRDefault="0029386D" w:rsidP="00713711">
      <w:pPr>
        <w:snapToGrid w:val="0"/>
        <w:spacing w:after="0" w:line="360" w:lineRule="auto"/>
        <w:jc w:val="left"/>
        <w:rPr>
          <w:b/>
        </w:rPr>
      </w:pPr>
      <w:bookmarkStart w:id="4" w:name="Fig3"/>
      <w:r w:rsidRPr="00E75D44">
        <w:rPr>
          <w:b/>
        </w:rPr>
        <w:t xml:space="preserve">Figure </w:t>
      </w:r>
      <w:bookmarkEnd w:id="4"/>
      <w:r>
        <w:rPr>
          <w:b/>
        </w:rPr>
        <w:t>3</w:t>
      </w:r>
      <w:r w:rsidRPr="00E75D44">
        <w:rPr>
          <w:b/>
        </w:rPr>
        <w:t xml:space="preserve">. </w:t>
      </w:r>
      <w:r w:rsidRPr="00E75D44">
        <w:rPr>
          <w:bCs/>
        </w:rPr>
        <w:t xml:space="preserve">The diurnal variation of the difference </w:t>
      </w:r>
      <w:r w:rsidRPr="00E75D44">
        <w:rPr>
          <w:rFonts w:hint="eastAsia"/>
          <w:bCs/>
        </w:rPr>
        <w:t>in</w:t>
      </w:r>
      <w:r w:rsidRPr="00E75D44">
        <w:rPr>
          <w:bCs/>
        </w:rPr>
        <w:t xml:space="preserve"> surface temperature between the </w:t>
      </w:r>
      <w:r w:rsidRPr="00E75D44">
        <w:rPr>
          <w:rFonts w:hint="eastAsia"/>
          <w:bCs/>
        </w:rPr>
        <w:t>cooling</w:t>
      </w:r>
      <w:r w:rsidRPr="00E75D44">
        <w:rPr>
          <w:bCs/>
        </w:rPr>
        <w:t xml:space="preserve"> </w:t>
      </w:r>
      <w:r w:rsidRPr="00E75D44">
        <w:rPr>
          <w:rFonts w:hint="eastAsia"/>
          <w:bCs/>
        </w:rPr>
        <w:t>roof</w:t>
      </w:r>
      <w:r w:rsidRPr="00E75D44">
        <w:rPr>
          <w:bCs/>
        </w:rPr>
        <w:t xml:space="preserve"> materials and the concrete roof (Δ</w:t>
      </w:r>
      <w:r w:rsidRPr="00E75D44">
        <w:rPr>
          <w:bCs/>
          <w:i/>
        </w:rPr>
        <w:t>T</w:t>
      </w:r>
      <w:r w:rsidRPr="00E75D44">
        <w:rPr>
          <w:bCs/>
          <w:i/>
          <w:vertAlign w:val="subscript"/>
        </w:rPr>
        <w:t>s</w:t>
      </w:r>
      <w:r w:rsidRPr="00E75D44">
        <w:rPr>
          <w:bCs/>
        </w:rPr>
        <w:t>). (a) during the whole time (n=49), (b) during maximum air temperature higher than 35</w:t>
      </w:r>
      <w:r w:rsidRPr="00E75D44">
        <w:rPr>
          <w:rFonts w:hint="eastAsia"/>
          <w:bCs/>
        </w:rPr>
        <w:t>℃</w:t>
      </w:r>
      <w:r w:rsidRPr="00E75D44">
        <w:rPr>
          <w:bCs/>
        </w:rPr>
        <w:t xml:space="preserve"> (n=20), (c) during clear skies (n=10), and (d) during cloudy days (n=8) from Jun. 28 to Aug. 15, 2017. </w:t>
      </w:r>
    </w:p>
    <w:p w14:paraId="288F4F8D" w14:textId="4AD728F9" w:rsidR="007B608F" w:rsidRDefault="007B608F" w:rsidP="00713711">
      <w:pPr>
        <w:widowControl/>
        <w:snapToGrid w:val="0"/>
        <w:spacing w:after="0" w:line="360" w:lineRule="auto"/>
        <w:jc w:val="left"/>
      </w:pPr>
    </w:p>
    <w:p w14:paraId="532AC6EF" w14:textId="7697F4D7" w:rsidR="00C5705A" w:rsidRDefault="007B608F" w:rsidP="00713711">
      <w:pPr>
        <w:snapToGrid w:val="0"/>
        <w:spacing w:after="0" w:line="360" w:lineRule="auto"/>
      </w:pPr>
      <w:r w:rsidRPr="000705FE">
        <w:rPr>
          <w:b/>
        </w:rPr>
        <w:t xml:space="preserve">Figure 4. </w:t>
      </w:r>
      <w:r w:rsidRPr="000705FE">
        <w:rPr>
          <w:bCs/>
        </w:rPr>
        <w:t xml:space="preserve">The relationship of </w:t>
      </w:r>
      <w:r w:rsidR="000705FE" w:rsidRPr="000705FE">
        <w:rPr>
          <w:bCs/>
        </w:rPr>
        <w:t>the temperature difference</w:t>
      </w:r>
      <w:r w:rsidR="000705FE" w:rsidRPr="000705FE">
        <w:rPr>
          <w:rFonts w:hint="eastAsia"/>
          <w:bCs/>
        </w:rPr>
        <w:t>s</w:t>
      </w:r>
      <w:r w:rsidRPr="000705FE">
        <w:rPr>
          <w:bCs/>
        </w:rPr>
        <w:t xml:space="preserve"> (Δ</w:t>
      </w:r>
      <w:r w:rsidRPr="000705FE">
        <w:rPr>
          <w:bCs/>
          <w:i/>
        </w:rPr>
        <w:t>T</w:t>
      </w:r>
      <w:r w:rsidRPr="000705FE">
        <w:rPr>
          <w:bCs/>
          <w:i/>
          <w:vertAlign w:val="subscript"/>
        </w:rPr>
        <w:t>s</w:t>
      </w:r>
      <w:r w:rsidRPr="000705FE">
        <w:rPr>
          <w:bCs/>
        </w:rPr>
        <w:t xml:space="preserve">) </w:t>
      </w:r>
      <w:r w:rsidR="000705FE" w:rsidRPr="000705FE">
        <w:rPr>
          <w:bCs/>
        </w:rPr>
        <w:t>and</w:t>
      </w:r>
      <w:r w:rsidRPr="000705FE">
        <w:rPr>
          <w:bCs/>
        </w:rPr>
        <w:t xml:space="preserve"> the albedo (α) </w:t>
      </w:r>
      <w:r w:rsidRPr="000705FE">
        <w:rPr>
          <w:iCs/>
        </w:rPr>
        <w:t>in summer (Jun., Jul.</w:t>
      </w:r>
      <w:r w:rsidR="00B14E78">
        <w:rPr>
          <w:iCs/>
        </w:rPr>
        <w:t>,</w:t>
      </w:r>
      <w:r w:rsidRPr="000705FE">
        <w:rPr>
          <w:iCs/>
        </w:rPr>
        <w:t xml:space="preserve"> and Aug</w:t>
      </w:r>
      <w:r w:rsidR="00B14E78">
        <w:rPr>
          <w:iCs/>
        </w:rPr>
        <w:t>.</w:t>
      </w:r>
      <w:r w:rsidRPr="000705FE">
        <w:rPr>
          <w:iCs/>
        </w:rPr>
        <w:t>) from 2017 to 2018</w:t>
      </w:r>
      <w:r w:rsidRPr="000705FE">
        <w:rPr>
          <w:bCs/>
        </w:rPr>
        <w:t xml:space="preserve">. </w:t>
      </w:r>
      <w:r w:rsidR="000705FE" w:rsidRPr="000705FE">
        <w:t>Temperature differences (</w:t>
      </w:r>
      <w:r w:rsidR="000705FE" w:rsidRPr="000705FE">
        <w:rPr>
          <w:bCs/>
        </w:rPr>
        <w:t>Δ</w:t>
      </w:r>
      <w:r w:rsidR="000705FE" w:rsidRPr="000705FE">
        <w:rPr>
          <w:bCs/>
          <w:i/>
        </w:rPr>
        <w:t>T</w:t>
      </w:r>
      <w:r w:rsidR="000705FE" w:rsidRPr="000705FE">
        <w:rPr>
          <w:bCs/>
          <w:i/>
          <w:vertAlign w:val="subscript"/>
        </w:rPr>
        <w:t>s</w:t>
      </w:r>
      <w:r w:rsidR="000705FE" w:rsidRPr="000705FE">
        <w:rPr>
          <w:iCs/>
        </w:rPr>
        <w:t xml:space="preserve">) </w:t>
      </w:r>
      <w:r w:rsidR="000705FE" w:rsidRPr="000705FE">
        <w:rPr>
          <w:rFonts w:hint="eastAsia"/>
        </w:rPr>
        <w:t>refer</w:t>
      </w:r>
      <w:r w:rsidR="000705FE" w:rsidRPr="000705FE">
        <w:t xml:space="preserve"> to the difference in surface temperature between the cooling roof materials and the concrete roof.</w:t>
      </w:r>
      <w:r w:rsidR="000705FE">
        <w:t xml:space="preserve"> </w:t>
      </w:r>
    </w:p>
    <w:p w14:paraId="63C45767" w14:textId="77777777" w:rsidR="000705FE" w:rsidRDefault="000705FE" w:rsidP="00713711">
      <w:pPr>
        <w:snapToGrid w:val="0"/>
        <w:spacing w:after="0" w:line="360" w:lineRule="auto"/>
      </w:pPr>
    </w:p>
    <w:p w14:paraId="7907F078" w14:textId="3D0C3E07" w:rsidR="00C5705A" w:rsidRDefault="00D97D7A" w:rsidP="00713711">
      <w:pPr>
        <w:snapToGrid w:val="0"/>
        <w:spacing w:after="0" w:line="360" w:lineRule="auto"/>
        <w:jc w:val="left"/>
      </w:pPr>
      <w:bookmarkStart w:id="5" w:name="Fig4"/>
      <w:r w:rsidRPr="005A506E">
        <w:rPr>
          <w:b/>
        </w:rPr>
        <w:t xml:space="preserve">Figure </w:t>
      </w:r>
      <w:bookmarkEnd w:id="5"/>
      <w:r w:rsidRPr="005A506E">
        <w:rPr>
          <w:b/>
        </w:rPr>
        <w:t xml:space="preserve">5. </w:t>
      </w:r>
      <w:r w:rsidRPr="005A506E">
        <w:rPr>
          <w:bCs/>
        </w:rPr>
        <w:t xml:space="preserve">The relationship of the </w:t>
      </w:r>
      <w:r w:rsidR="009E0FF1" w:rsidRPr="005A506E">
        <w:rPr>
          <w:bCs/>
        </w:rPr>
        <w:t xml:space="preserve">temperature </w:t>
      </w:r>
      <w:r w:rsidRPr="005A506E">
        <w:rPr>
          <w:bCs/>
        </w:rPr>
        <w:t>difference</w:t>
      </w:r>
      <w:r w:rsidR="009E0FF1" w:rsidRPr="005A506E">
        <w:rPr>
          <w:rFonts w:hint="eastAsia"/>
          <w:bCs/>
        </w:rPr>
        <w:t>s</w:t>
      </w:r>
      <w:r w:rsidRPr="005A506E">
        <w:rPr>
          <w:bCs/>
        </w:rPr>
        <w:t xml:space="preserve"> (</w:t>
      </w:r>
      <w:r w:rsidRPr="005A506E">
        <w:rPr>
          <w:rFonts w:ascii="Cambria Math" w:hAnsi="Cambria Math" w:cs="Cambria Math" w:hint="eastAsia"/>
          <w:bCs/>
        </w:rPr>
        <w:t>△</w:t>
      </w:r>
      <w:r w:rsidRPr="005A506E">
        <w:rPr>
          <w:bCs/>
          <w:i/>
        </w:rPr>
        <w:t>T</w:t>
      </w:r>
      <w:r w:rsidRPr="005A506E">
        <w:rPr>
          <w:bCs/>
          <w:i/>
          <w:vertAlign w:val="subscript"/>
        </w:rPr>
        <w:t>s</w:t>
      </w:r>
      <w:r w:rsidRPr="005A506E">
        <w:rPr>
          <w:bCs/>
        </w:rPr>
        <w:t xml:space="preserve">) </w:t>
      </w:r>
      <w:r w:rsidR="009E0FF1" w:rsidRPr="005A506E">
        <w:rPr>
          <w:rFonts w:hint="eastAsia"/>
          <w:bCs/>
        </w:rPr>
        <w:t>and</w:t>
      </w:r>
      <w:r w:rsidRPr="005A506E">
        <w:rPr>
          <w:bCs/>
        </w:rPr>
        <w:t xml:space="preserve"> the daily solar radiation (</w:t>
      </w:r>
      <w:r w:rsidRPr="005A506E">
        <w:rPr>
          <w:bCs/>
          <w:i/>
        </w:rPr>
        <w:t>Q</w:t>
      </w:r>
      <w:r w:rsidRPr="005A506E">
        <w:rPr>
          <w:bCs/>
          <w:i/>
          <w:vertAlign w:val="subscript"/>
        </w:rPr>
        <w:t>s</w:t>
      </w:r>
      <w:r w:rsidRPr="005A506E">
        <w:rPr>
          <w:bCs/>
        </w:rPr>
        <w:t>) in the summer</w:t>
      </w:r>
      <w:r w:rsidRPr="005A506E">
        <w:rPr>
          <w:iCs/>
        </w:rPr>
        <w:t xml:space="preserve"> (Jun., Jul.</w:t>
      </w:r>
      <w:r w:rsidR="00B14E78">
        <w:rPr>
          <w:iCs/>
        </w:rPr>
        <w:t>,</w:t>
      </w:r>
      <w:r w:rsidRPr="005A506E">
        <w:rPr>
          <w:iCs/>
        </w:rPr>
        <w:t xml:space="preserve"> and Aug</w:t>
      </w:r>
      <w:r w:rsidR="00B14E78">
        <w:rPr>
          <w:iCs/>
        </w:rPr>
        <w:t>.</w:t>
      </w:r>
      <w:r w:rsidRPr="005A506E">
        <w:rPr>
          <w:iCs/>
        </w:rPr>
        <w:t>) from 2017</w:t>
      </w:r>
      <w:r w:rsidRPr="005A506E">
        <w:rPr>
          <w:bCs/>
        </w:rPr>
        <w:t xml:space="preserve"> to 2020.</w:t>
      </w:r>
      <w:r w:rsidRPr="00E75D44">
        <w:rPr>
          <w:bCs/>
        </w:rPr>
        <w:t xml:space="preserve"> </w:t>
      </w:r>
      <w:r w:rsidR="009E0FF1" w:rsidRPr="00E75D44">
        <w:t>Temperature difference</w:t>
      </w:r>
      <w:r w:rsidR="009E0FF1">
        <w:t>s</w:t>
      </w:r>
      <w:r w:rsidR="009E0FF1" w:rsidRPr="00E75D44">
        <w:t xml:space="preserve"> (</w:t>
      </w:r>
      <w:r w:rsidR="009E0FF1" w:rsidRPr="00E75D44">
        <w:rPr>
          <w:bCs/>
        </w:rPr>
        <w:t>Δ</w:t>
      </w:r>
      <w:r w:rsidR="009E0FF1" w:rsidRPr="00E75D44">
        <w:rPr>
          <w:bCs/>
          <w:i/>
        </w:rPr>
        <w:t>T</w:t>
      </w:r>
      <w:r w:rsidR="009E0FF1" w:rsidRPr="00E75D44">
        <w:rPr>
          <w:bCs/>
          <w:i/>
          <w:vertAlign w:val="subscript"/>
        </w:rPr>
        <w:t>s</w:t>
      </w:r>
      <w:r w:rsidR="009E0FF1" w:rsidRPr="00E75D44">
        <w:rPr>
          <w:iCs/>
        </w:rPr>
        <w:t>)</w:t>
      </w:r>
      <w:r w:rsidR="009E0FF1">
        <w:rPr>
          <w:iCs/>
        </w:rPr>
        <w:t xml:space="preserve"> </w:t>
      </w:r>
      <w:r w:rsidR="009E0FF1" w:rsidRPr="00E75D44">
        <w:rPr>
          <w:rFonts w:hint="eastAsia"/>
        </w:rPr>
        <w:t>refer</w:t>
      </w:r>
      <w:r w:rsidR="009E0FF1" w:rsidRPr="00E75D44">
        <w:t xml:space="preserve"> to the difference in surface temperature between the cooling roof materials and the concrete roof</w:t>
      </w:r>
      <w:r w:rsidR="005A506E">
        <w:t xml:space="preserve">. </w:t>
      </w:r>
    </w:p>
    <w:p w14:paraId="3CDA6435" w14:textId="341DC2A6" w:rsidR="00C5705A" w:rsidRPr="00E75D44" w:rsidRDefault="00C5705A" w:rsidP="00713711">
      <w:pPr>
        <w:snapToGrid w:val="0"/>
        <w:spacing w:after="0" w:line="360" w:lineRule="auto"/>
      </w:pPr>
    </w:p>
    <w:p w14:paraId="21430D56" w14:textId="3ED5EB24" w:rsidR="00C5705A" w:rsidRDefault="00C5705A" w:rsidP="00713711">
      <w:pPr>
        <w:snapToGrid w:val="0"/>
        <w:spacing w:after="0" w:line="360" w:lineRule="auto"/>
        <w:jc w:val="left"/>
        <w:rPr>
          <w:bCs/>
        </w:rPr>
      </w:pPr>
      <w:bookmarkStart w:id="6" w:name="Fig6"/>
      <w:r w:rsidRPr="00E75D44">
        <w:rPr>
          <w:b/>
        </w:rPr>
        <w:t xml:space="preserve">Figure </w:t>
      </w:r>
      <w:bookmarkEnd w:id="6"/>
      <w:r>
        <w:rPr>
          <w:b/>
        </w:rPr>
        <w:t>6</w:t>
      </w:r>
      <w:r w:rsidRPr="00E75D44">
        <w:rPr>
          <w:b/>
        </w:rPr>
        <w:t xml:space="preserve">. </w:t>
      </w:r>
      <w:r w:rsidRPr="00E75D44">
        <w:rPr>
          <w:bCs/>
        </w:rPr>
        <w:t>Monthly total precipitation and average concentration of PM</w:t>
      </w:r>
      <w:r w:rsidRPr="00E75D44">
        <w:rPr>
          <w:bCs/>
          <w:vertAlign w:val="subscript"/>
        </w:rPr>
        <w:t>10</w:t>
      </w:r>
      <w:r w:rsidRPr="00E75D44">
        <w:rPr>
          <w:bCs/>
        </w:rPr>
        <w:t xml:space="preserve"> in Nanjing from Apr. 2017 to Oct. 2020.</w:t>
      </w:r>
    </w:p>
    <w:p w14:paraId="4963AF15" w14:textId="4595C5D9" w:rsidR="00476FB7" w:rsidRDefault="00476FB7" w:rsidP="00713711">
      <w:pPr>
        <w:snapToGrid w:val="0"/>
        <w:spacing w:after="0" w:line="360" w:lineRule="auto"/>
        <w:jc w:val="left"/>
        <w:rPr>
          <w:b/>
        </w:rPr>
      </w:pPr>
      <w:bookmarkStart w:id="7" w:name="Fig7"/>
    </w:p>
    <w:p w14:paraId="0FE5C83B" w14:textId="37F5F901" w:rsidR="00F73B04" w:rsidRDefault="00C5705A" w:rsidP="00713711">
      <w:pPr>
        <w:snapToGrid w:val="0"/>
        <w:spacing w:after="0" w:line="360" w:lineRule="auto"/>
        <w:jc w:val="left"/>
        <w:rPr>
          <w:bCs/>
        </w:rPr>
      </w:pPr>
      <w:r w:rsidRPr="00E75D44">
        <w:rPr>
          <w:b/>
        </w:rPr>
        <w:t xml:space="preserve">Figure </w:t>
      </w:r>
      <w:bookmarkEnd w:id="7"/>
      <w:r w:rsidR="00F73B04">
        <w:rPr>
          <w:b/>
        </w:rPr>
        <w:t>7</w:t>
      </w:r>
      <w:r w:rsidR="00A313C8">
        <w:rPr>
          <w:b/>
        </w:rPr>
        <w:t>.</w:t>
      </w:r>
      <w:r w:rsidRPr="00E75D44">
        <w:rPr>
          <w:b/>
        </w:rPr>
        <w:t xml:space="preserve"> </w:t>
      </w:r>
      <w:r w:rsidRPr="00E75D44">
        <w:rPr>
          <w:bCs/>
        </w:rPr>
        <w:t>Changes in the albedo of AC painting, compared with the concrete roof. (a) and (b) are the photos before and after AC</w:t>
      </w:r>
      <w:r w:rsidR="00BE2025">
        <w:rPr>
          <w:bCs/>
        </w:rPr>
        <w:t xml:space="preserve"> was</w:t>
      </w:r>
      <w:r w:rsidRPr="00E75D44">
        <w:rPr>
          <w:bCs/>
        </w:rPr>
        <w:t xml:space="preserve"> recoated on Jun. 8, 2017, respectively. (c) is the result after the first application; (d) is the result after the repainting. The line is the linear regression between the albedos and the days after AC </w:t>
      </w:r>
      <w:r w:rsidR="00A313C8">
        <w:rPr>
          <w:bCs/>
        </w:rPr>
        <w:t xml:space="preserve">was </w:t>
      </w:r>
      <w:r w:rsidRPr="00E75D44">
        <w:rPr>
          <w:bCs/>
        </w:rPr>
        <w:t>repainted on the roof. The slope and intercept of the regression equation represent the decay rate and initial albedo of AC materials.</w:t>
      </w:r>
    </w:p>
    <w:p w14:paraId="1A847D25" w14:textId="77777777" w:rsidR="00476FB7" w:rsidRDefault="00476FB7" w:rsidP="00713711">
      <w:pPr>
        <w:snapToGrid w:val="0"/>
        <w:spacing w:after="0" w:line="360" w:lineRule="auto"/>
        <w:jc w:val="left"/>
      </w:pPr>
    </w:p>
    <w:p w14:paraId="43468A09" w14:textId="13A3AEC7" w:rsidR="00F73B04" w:rsidRDefault="00F73B04" w:rsidP="00713711">
      <w:pPr>
        <w:snapToGrid w:val="0"/>
        <w:spacing w:after="0" w:line="360" w:lineRule="auto"/>
        <w:rPr>
          <w:bCs/>
        </w:rPr>
      </w:pPr>
      <w:bookmarkStart w:id="8" w:name="Fig8"/>
      <w:r w:rsidRPr="00E75D44">
        <w:rPr>
          <w:b/>
        </w:rPr>
        <w:t xml:space="preserve">Figure </w:t>
      </w:r>
      <w:bookmarkEnd w:id="8"/>
      <w:r>
        <w:rPr>
          <w:b/>
        </w:rPr>
        <w:t>8</w:t>
      </w:r>
      <w:r w:rsidR="00A313C8">
        <w:rPr>
          <w:b/>
        </w:rPr>
        <w:t>.</w:t>
      </w:r>
      <w:r w:rsidRPr="00E75D44">
        <w:rPr>
          <w:b/>
        </w:rPr>
        <w:t xml:space="preserve"> </w:t>
      </w:r>
      <w:r w:rsidRPr="00E75D44">
        <w:rPr>
          <w:bCs/>
        </w:rPr>
        <w:t xml:space="preserve">Changes in the albedo of SBS and TPO materials, compared with the concrete roof, for nearly 4 years in Nanjing. (a) and (b) are the photos of SBS and TPO used for a period, respectively, which were taken on Jun. 27, 2017, before cleaning. (c) and (d) are the change of albedo (α) over a long period. The solid lines are the linear regression between the albedos and the days after the cooling materials </w:t>
      </w:r>
      <w:r w:rsidR="00E16409">
        <w:rPr>
          <w:bCs/>
        </w:rPr>
        <w:t>were</w:t>
      </w:r>
      <w:r w:rsidR="00540314">
        <w:rPr>
          <w:bCs/>
        </w:rPr>
        <w:t xml:space="preserve"> </w:t>
      </w:r>
      <w:r w:rsidRPr="00E75D44">
        <w:rPr>
          <w:bCs/>
        </w:rPr>
        <w:t>coated on the roof. The slopes and intercepts of the regression equation represent the decay rate and initial albedo of cooling roof materials.</w:t>
      </w:r>
    </w:p>
    <w:p w14:paraId="7EC68D80" w14:textId="77777777" w:rsidR="00EA1B50" w:rsidRDefault="00EA1B50" w:rsidP="00713711">
      <w:pPr>
        <w:snapToGrid w:val="0"/>
        <w:spacing w:after="0" w:line="360" w:lineRule="auto"/>
        <w:rPr>
          <w:bCs/>
        </w:rPr>
      </w:pPr>
    </w:p>
    <w:p w14:paraId="5AE3601E" w14:textId="77777777" w:rsidR="001C7218" w:rsidRPr="00E75D44" w:rsidRDefault="001C7218" w:rsidP="00713711">
      <w:pPr>
        <w:snapToGrid w:val="0"/>
        <w:spacing w:after="0" w:line="360" w:lineRule="auto"/>
        <w:rPr>
          <w:bCs/>
        </w:rPr>
      </w:pPr>
      <w:bookmarkStart w:id="9" w:name="Fig9"/>
      <w:r w:rsidRPr="00E75D44">
        <w:rPr>
          <w:b/>
        </w:rPr>
        <w:t xml:space="preserve">Figure </w:t>
      </w:r>
      <w:bookmarkEnd w:id="9"/>
      <w:r>
        <w:rPr>
          <w:b/>
        </w:rPr>
        <w:t>9</w:t>
      </w:r>
      <w:r w:rsidRPr="00E75D44">
        <w:rPr>
          <w:b/>
        </w:rPr>
        <w:t xml:space="preserve">. </w:t>
      </w:r>
      <w:r w:rsidRPr="00E75D44">
        <w:rPr>
          <w:bCs/>
        </w:rPr>
        <w:t>The relationship between the seasonal variation of albedo and monthly average PM</w:t>
      </w:r>
      <w:r w:rsidRPr="00E75D44">
        <w:rPr>
          <w:bCs/>
          <w:vertAlign w:val="subscript"/>
        </w:rPr>
        <w:t>10</w:t>
      </w:r>
      <w:r w:rsidRPr="00E75D44">
        <w:rPr>
          <w:bCs/>
        </w:rPr>
        <w:t>, the monthly total precipitation from 2017 to 2020.</w:t>
      </w:r>
    </w:p>
    <w:p w14:paraId="2B186203" w14:textId="77777777" w:rsidR="00D97D7A" w:rsidRPr="001C7218" w:rsidRDefault="00D97D7A" w:rsidP="00802015"/>
    <w:sectPr w:rsidR="00D97D7A" w:rsidRPr="001C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5940" w14:textId="77777777" w:rsidR="002130B3" w:rsidRDefault="002130B3" w:rsidP="003B1970">
      <w:pPr>
        <w:spacing w:after="0"/>
      </w:pPr>
      <w:r>
        <w:separator/>
      </w:r>
    </w:p>
  </w:endnote>
  <w:endnote w:type="continuationSeparator" w:id="0">
    <w:p w14:paraId="12AD0ECC" w14:textId="77777777" w:rsidR="002130B3" w:rsidRDefault="002130B3" w:rsidP="003B1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AFE4B" w14:textId="77777777" w:rsidR="002130B3" w:rsidRDefault="002130B3" w:rsidP="003B1970">
      <w:pPr>
        <w:spacing w:after="0"/>
      </w:pPr>
      <w:r>
        <w:separator/>
      </w:r>
    </w:p>
  </w:footnote>
  <w:footnote w:type="continuationSeparator" w:id="0">
    <w:p w14:paraId="6AB89082" w14:textId="77777777" w:rsidR="002130B3" w:rsidRDefault="002130B3" w:rsidP="003B19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EB"/>
    <w:rsid w:val="000705FE"/>
    <w:rsid w:val="000D22DB"/>
    <w:rsid w:val="001A47AB"/>
    <w:rsid w:val="001C7218"/>
    <w:rsid w:val="002130B3"/>
    <w:rsid w:val="002727BE"/>
    <w:rsid w:val="0029386D"/>
    <w:rsid w:val="00330739"/>
    <w:rsid w:val="003B1970"/>
    <w:rsid w:val="003C2C15"/>
    <w:rsid w:val="003F1442"/>
    <w:rsid w:val="00451D2F"/>
    <w:rsid w:val="004530BB"/>
    <w:rsid w:val="00476FB7"/>
    <w:rsid w:val="00540314"/>
    <w:rsid w:val="005761BD"/>
    <w:rsid w:val="005A506E"/>
    <w:rsid w:val="005D2DC2"/>
    <w:rsid w:val="00604C34"/>
    <w:rsid w:val="00683986"/>
    <w:rsid w:val="00713711"/>
    <w:rsid w:val="007B1F2E"/>
    <w:rsid w:val="007B608F"/>
    <w:rsid w:val="007F25EB"/>
    <w:rsid w:val="00802015"/>
    <w:rsid w:val="008D31CB"/>
    <w:rsid w:val="00946A5C"/>
    <w:rsid w:val="009E0FF1"/>
    <w:rsid w:val="00A313C8"/>
    <w:rsid w:val="00B14E78"/>
    <w:rsid w:val="00B52B63"/>
    <w:rsid w:val="00B9343A"/>
    <w:rsid w:val="00BB3401"/>
    <w:rsid w:val="00BE2025"/>
    <w:rsid w:val="00C5705A"/>
    <w:rsid w:val="00C60A70"/>
    <w:rsid w:val="00D97D7A"/>
    <w:rsid w:val="00E03EDF"/>
    <w:rsid w:val="00E16409"/>
    <w:rsid w:val="00E21B3B"/>
    <w:rsid w:val="00E5258A"/>
    <w:rsid w:val="00E93E0A"/>
    <w:rsid w:val="00EA1B50"/>
    <w:rsid w:val="00F7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976AE"/>
  <w15:chartTrackingRefBased/>
  <w15:docId w15:val="{E84A8B73-7929-406A-B76E-4BF42938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5EB"/>
    <w:pPr>
      <w:widowControl w:val="0"/>
      <w:spacing w:after="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9386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9386D"/>
    <w:rPr>
      <w:sz w:val="20"/>
      <w:szCs w:val="20"/>
    </w:rPr>
  </w:style>
  <w:style w:type="character" w:customStyle="1" w:styleId="a5">
    <w:name w:val="批注文字 字符"/>
    <w:basedOn w:val="a0"/>
    <w:link w:val="a4"/>
    <w:uiPriority w:val="99"/>
    <w:semiHidden/>
    <w:rsid w:val="0029386D"/>
    <w:rPr>
      <w:rFonts w:ascii="Times New Roman" w:eastAsia="宋体" w:hAnsi="Times New Roman" w:cs="Times New Roman"/>
      <w:sz w:val="20"/>
      <w:szCs w:val="20"/>
    </w:rPr>
  </w:style>
  <w:style w:type="character" w:customStyle="1" w:styleId="src">
    <w:name w:val="src"/>
    <w:basedOn w:val="a0"/>
    <w:rsid w:val="0029386D"/>
  </w:style>
  <w:style w:type="paragraph" w:styleId="a6">
    <w:name w:val="header"/>
    <w:basedOn w:val="a"/>
    <w:link w:val="a7"/>
    <w:uiPriority w:val="99"/>
    <w:unhideWhenUsed/>
    <w:rsid w:val="003B1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B197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B1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B1970"/>
    <w:rPr>
      <w:rFonts w:ascii="Times New Roman" w:eastAsia="宋体" w:hAnsi="Times New Roman" w:cs="Times New Roman"/>
      <w:sz w:val="18"/>
      <w:szCs w:val="18"/>
    </w:rPr>
  </w:style>
  <w:style w:type="paragraph" w:styleId="aa">
    <w:name w:val="Revision"/>
    <w:hidden/>
    <w:uiPriority w:val="99"/>
    <w:semiHidden/>
    <w:rsid w:val="00A313C8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凝</dc:creator>
  <cp:keywords/>
  <dc:description/>
  <cp:lastModifiedBy>肖 NH4NO3</cp:lastModifiedBy>
  <cp:revision>16</cp:revision>
  <dcterms:created xsi:type="dcterms:W3CDTF">2023-07-13T02:36:00Z</dcterms:created>
  <dcterms:modified xsi:type="dcterms:W3CDTF">2023-07-15T07:47:00Z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33edacf9591397525c8d00e3043562075f3949e3464d1087c5e444593dd7e5d8</vt:lpwstr>
  </property>
</Properties>
</file>