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0F4761"/>
          <w:sz w:val="48"/>
        </w:rPr>
        <w:t>Industry Primer - Digital Natives in India</w:t>
      </w:r>
    </w:p>
    <w:p>
      <w:pPr>
        <w:jc w:val="center"/>
      </w:pPr>
      <w:r>
        <w:rPr>
          <w:i/>
          <w:color w:val="666666"/>
          <w:sz w:val="22"/>
        </w:rPr>
        <w:t>Frontier Transformation Conversation Guide for Microsoft Technical Trainers</w:t>
      </w:r>
    </w:p>
    <w:p>
      <w:r>
        <w:rPr>
          <w:b/>
          <w:color w:val="0078D4"/>
        </w:rPr>
        <w:t xml:space="preserve">Executive context. </w:t>
      </w:r>
      <w:r>
        <w:t>India's digital-native organizations are cloud-born, product-led businesses that compete through rapid experimentation, platform scale, data network effects, and AI-infused customer experiences. The trainer conversation should therefore move beyond generic cloud adoption toward resilient unit economics, AI product engineering, responsible scale, and measurable time-to-value.</w:t>
      </w:r>
    </w:p>
    <w:p>
      <w:pPr>
        <w:pStyle w:val="Heading1"/>
      </w:pPr>
      <w:r>
        <w:t>Purpose</w:t>
      </w:r>
    </w:p>
    <w:p>
      <w:r>
        <w:t>Speak their language: use product, growth, platform engineering, FinOps, trust, and venture-scale terminology.</w:t>
      </w:r>
    </w:p>
    <w:p>
      <w:r>
        <w:t>Appreciate their operating model: understand high-velocity releases, thin platform teams, distributed engineering, and growth-stage governance.</w:t>
      </w:r>
    </w:p>
    <w:p>
      <w:r>
        <w:t>Connect technology to business value: position Microsoft Copilot and agents, Microsoft Foundry, Microsoft Fabric, GitHub, Azure, and security capabilities against measurable product outcomes.</w:t>
      </w:r>
    </w:p>
    <w:p>
      <w:r>
        <w:t>Drive frontier conversations: help leaders progress from isolated AI features to an enterprise AI operating model with reusable platforms, evaluations, observability, and governance.</w:t>
      </w:r>
    </w:p>
    <w:p>
      <w:pPr>
        <w:pStyle w:val="Heading1"/>
      </w:pPr>
      <w:r>
        <w:t>Digital Native Archetypes in India</w:t>
      </w:r>
    </w:p>
    <w:tbl>
      <w:tblPr>
        <w:tblStyle w:val="TableGrid"/>
        <w:tblW w:type="auto" w:w="0"/>
        <w:jc w:val="center"/>
        <w:tblLook w:firstColumn="1" w:firstRow="1" w:lastColumn="0" w:lastRow="0" w:noHBand="0" w:noVBand="1" w:val="04A0"/>
      </w:tblPr>
      <w:tblGrid>
        <w:gridCol w:w="2487"/>
        <w:gridCol w:w="2487"/>
        <w:gridCol w:w="2487"/>
        <w:gridCol w:w="2487"/>
      </w:tblGrid>
      <w:tr>
        <w:trPr>
          <w:tblHeader w:val="true"/>
        </w:trPr>
        <w:tc>
          <w:tcPr>
            <w:tcW w:type="dxa" w:w="1728"/>
            <w:shd w:fill="0F4761"/>
            <w:vAlign w:val="center"/>
            <w:tcMar>
              <w:top w:w="100" w:type="dxa"/>
              <w:start w:w="100" w:type="dxa"/>
              <w:bottom w:w="100" w:type="dxa"/>
              <w:end w:w="100" w:type="dxa"/>
            </w:tcMar>
          </w:tcPr>
          <w:p>
            <w:r>
              <w:rPr>
                <w:b/>
                <w:color w:val="FFFFFF"/>
                <w:sz w:val="18"/>
              </w:rPr>
              <w:t>Archetype</w:t>
            </w:r>
          </w:p>
        </w:tc>
        <w:tc>
          <w:tcPr>
            <w:tcW w:type="dxa" w:w="2088"/>
            <w:shd w:fill="0F4761"/>
            <w:vAlign w:val="center"/>
            <w:tcMar>
              <w:top w:w="100" w:type="dxa"/>
              <w:start w:w="100" w:type="dxa"/>
              <w:bottom w:w="100" w:type="dxa"/>
              <w:end w:w="100" w:type="dxa"/>
            </w:tcMar>
          </w:tcPr>
          <w:p>
            <w:r>
              <w:rPr>
                <w:b/>
                <w:color w:val="FFFFFF"/>
                <w:sz w:val="18"/>
              </w:rPr>
              <w:t>Representative business model</w:t>
            </w:r>
          </w:p>
        </w:tc>
        <w:tc>
          <w:tcPr>
            <w:tcW w:type="dxa" w:w="2448"/>
            <w:shd w:fill="0F4761"/>
            <w:vAlign w:val="center"/>
            <w:tcMar>
              <w:top w:w="100" w:type="dxa"/>
              <w:start w:w="100" w:type="dxa"/>
              <w:bottom w:w="100" w:type="dxa"/>
              <w:end w:w="100" w:type="dxa"/>
            </w:tcMar>
          </w:tcPr>
          <w:p>
            <w:r>
              <w:rPr>
                <w:b/>
                <w:color w:val="FFFFFF"/>
                <w:sz w:val="18"/>
              </w:rPr>
              <w:t>Transformation priority</w:t>
            </w:r>
          </w:p>
        </w:tc>
        <w:tc>
          <w:tcPr>
            <w:tcW w:type="dxa" w:w="3312"/>
            <w:shd w:fill="0F4761"/>
            <w:vAlign w:val="center"/>
            <w:tcMar>
              <w:top w:w="100" w:type="dxa"/>
              <w:start w:w="100" w:type="dxa"/>
              <w:bottom w:w="100" w:type="dxa"/>
              <w:end w:w="100" w:type="dxa"/>
            </w:tcMar>
          </w:tcPr>
          <w:p>
            <w:r>
              <w:rPr>
                <w:b/>
                <w:color w:val="FFFFFF"/>
                <w:sz w:val="18"/>
              </w:rPr>
              <w:t>Conversation hook</w:t>
            </w:r>
          </w:p>
        </w:tc>
      </w:tr>
      <w:tr>
        <w:tc>
          <w:tcPr>
            <w:tcW w:type="dxa" w:w="1728"/>
            <w:vAlign w:val="center"/>
            <w:tcMar>
              <w:top w:w="100" w:type="dxa"/>
              <w:start w:w="100" w:type="dxa"/>
              <w:bottom w:w="100" w:type="dxa"/>
              <w:end w:w="100" w:type="dxa"/>
            </w:tcMar>
          </w:tcPr>
          <w:p>
            <w:pPr>
              <w:spacing w:after="40"/>
            </w:pPr>
            <w:r>
              <w:rPr>
                <w:sz w:val="17"/>
              </w:rPr>
              <w:t>Consumer internet / marketplace</w:t>
            </w:r>
          </w:p>
        </w:tc>
        <w:tc>
          <w:tcPr>
            <w:tcW w:type="dxa" w:w="2088"/>
            <w:vAlign w:val="center"/>
            <w:tcMar>
              <w:top w:w="100" w:type="dxa"/>
              <w:start w:w="100" w:type="dxa"/>
              <w:bottom w:w="100" w:type="dxa"/>
              <w:end w:w="100" w:type="dxa"/>
            </w:tcMar>
          </w:tcPr>
          <w:p>
            <w:pPr>
              <w:spacing w:after="40"/>
            </w:pPr>
            <w:r>
              <w:rPr>
                <w:sz w:val="17"/>
              </w:rPr>
              <w:t>Two-sided platform, ads, commissions, subscriptions</w:t>
            </w:r>
          </w:p>
        </w:tc>
        <w:tc>
          <w:tcPr>
            <w:tcW w:type="dxa" w:w="2448"/>
            <w:vAlign w:val="center"/>
            <w:tcMar>
              <w:top w:w="100" w:type="dxa"/>
              <w:start w:w="100" w:type="dxa"/>
              <w:bottom w:w="100" w:type="dxa"/>
              <w:end w:w="100" w:type="dxa"/>
            </w:tcMar>
          </w:tcPr>
          <w:p>
            <w:pPr>
              <w:spacing w:after="40"/>
            </w:pPr>
            <w:r>
              <w:rPr>
                <w:sz w:val="17"/>
              </w:rPr>
              <w:t>Personalization, search, fraud, peak-scale reliability</w:t>
            </w:r>
          </w:p>
        </w:tc>
        <w:tc>
          <w:tcPr>
            <w:tcW w:type="dxa" w:w="3312"/>
            <w:vAlign w:val="center"/>
            <w:tcMar>
              <w:top w:w="100" w:type="dxa"/>
              <w:start w:w="100" w:type="dxa"/>
              <w:bottom w:w="100" w:type="dxa"/>
              <w:end w:w="100" w:type="dxa"/>
            </w:tcMar>
          </w:tcPr>
          <w:p>
            <w:pPr>
              <w:spacing w:after="40"/>
            </w:pPr>
            <w:r>
              <w:rPr>
                <w:sz w:val="17"/>
              </w:rPr>
              <w:t>How can AI increase conversion without increasing inference cost or trust risk?</w:t>
            </w:r>
          </w:p>
        </w:tc>
      </w:tr>
      <w:tr>
        <w:tc>
          <w:tcPr>
            <w:tcW w:type="dxa" w:w="1728"/>
            <w:vAlign w:val="center"/>
            <w:tcMar>
              <w:top w:w="100" w:type="dxa"/>
              <w:start w:w="100" w:type="dxa"/>
              <w:bottom w:w="100" w:type="dxa"/>
              <w:end w:w="100" w:type="dxa"/>
            </w:tcMar>
          </w:tcPr>
          <w:p>
            <w:pPr>
              <w:spacing w:after="40"/>
            </w:pPr>
            <w:r>
              <w:rPr>
                <w:sz w:val="17"/>
              </w:rPr>
              <w:t>Fintech / insurtech</w:t>
            </w:r>
          </w:p>
        </w:tc>
        <w:tc>
          <w:tcPr>
            <w:tcW w:type="dxa" w:w="2088"/>
            <w:vAlign w:val="center"/>
            <w:tcMar>
              <w:top w:w="100" w:type="dxa"/>
              <w:start w:w="100" w:type="dxa"/>
              <w:bottom w:w="100" w:type="dxa"/>
              <w:end w:w="100" w:type="dxa"/>
            </w:tcMar>
          </w:tcPr>
          <w:p>
            <w:pPr>
              <w:spacing w:after="40"/>
            </w:pPr>
            <w:r>
              <w:rPr>
                <w:sz w:val="17"/>
              </w:rPr>
              <w:t>Payments, lending, wealth, embedded finance</w:t>
            </w:r>
          </w:p>
        </w:tc>
        <w:tc>
          <w:tcPr>
            <w:tcW w:type="dxa" w:w="2448"/>
            <w:vAlign w:val="center"/>
            <w:tcMar>
              <w:top w:w="100" w:type="dxa"/>
              <w:start w:w="100" w:type="dxa"/>
              <w:bottom w:w="100" w:type="dxa"/>
              <w:end w:w="100" w:type="dxa"/>
            </w:tcMar>
          </w:tcPr>
          <w:p>
            <w:pPr>
              <w:spacing w:after="40"/>
            </w:pPr>
            <w:r>
              <w:rPr>
                <w:sz w:val="17"/>
              </w:rPr>
              <w:t>Real-time risk, regulatory evidence, secure data activation</w:t>
            </w:r>
          </w:p>
        </w:tc>
        <w:tc>
          <w:tcPr>
            <w:tcW w:type="dxa" w:w="3312"/>
            <w:vAlign w:val="center"/>
            <w:tcMar>
              <w:top w:w="100" w:type="dxa"/>
              <w:start w:w="100" w:type="dxa"/>
              <w:bottom w:w="100" w:type="dxa"/>
              <w:end w:w="100" w:type="dxa"/>
            </w:tcMar>
          </w:tcPr>
          <w:p>
            <w:pPr>
              <w:spacing w:after="40"/>
            </w:pPr>
            <w:r>
              <w:rPr>
                <w:sz w:val="17"/>
              </w:rPr>
              <w:t>How can teams accelerate decisions while retaining human oversight and auditable controls?</w:t>
            </w:r>
          </w:p>
        </w:tc>
      </w:tr>
      <w:tr>
        <w:tc>
          <w:tcPr>
            <w:tcW w:type="dxa" w:w="1728"/>
            <w:vAlign w:val="center"/>
            <w:tcMar>
              <w:top w:w="100" w:type="dxa"/>
              <w:start w:w="100" w:type="dxa"/>
              <w:bottom w:w="100" w:type="dxa"/>
              <w:end w:w="100" w:type="dxa"/>
            </w:tcMar>
          </w:tcPr>
          <w:p>
            <w:pPr>
              <w:spacing w:after="40"/>
            </w:pPr>
            <w:r>
              <w:rPr>
                <w:sz w:val="17"/>
              </w:rPr>
              <w:t>SaaS / developer platform</w:t>
            </w:r>
          </w:p>
        </w:tc>
        <w:tc>
          <w:tcPr>
            <w:tcW w:type="dxa" w:w="2088"/>
            <w:vAlign w:val="center"/>
            <w:tcMar>
              <w:top w:w="100" w:type="dxa"/>
              <w:start w:w="100" w:type="dxa"/>
              <w:bottom w:w="100" w:type="dxa"/>
              <w:end w:w="100" w:type="dxa"/>
            </w:tcMar>
          </w:tcPr>
          <w:p>
            <w:pPr>
              <w:spacing w:after="40"/>
            </w:pPr>
            <w:r>
              <w:rPr>
                <w:sz w:val="17"/>
              </w:rPr>
              <w:t>Subscription and consumption-led software</w:t>
            </w:r>
          </w:p>
        </w:tc>
        <w:tc>
          <w:tcPr>
            <w:tcW w:type="dxa" w:w="2448"/>
            <w:vAlign w:val="center"/>
            <w:tcMar>
              <w:top w:w="100" w:type="dxa"/>
              <w:start w:w="100" w:type="dxa"/>
              <w:bottom w:w="100" w:type="dxa"/>
              <w:end w:w="100" w:type="dxa"/>
            </w:tcMar>
          </w:tcPr>
          <w:p>
            <w:pPr>
              <w:spacing w:after="40"/>
            </w:pPr>
            <w:r>
              <w:rPr>
                <w:sz w:val="17"/>
              </w:rPr>
              <w:t>Global product velocity, tenant isolation, developer productivity</w:t>
            </w:r>
          </w:p>
        </w:tc>
        <w:tc>
          <w:tcPr>
            <w:tcW w:type="dxa" w:w="3312"/>
            <w:vAlign w:val="center"/>
            <w:tcMar>
              <w:top w:w="100" w:type="dxa"/>
              <w:start w:w="100" w:type="dxa"/>
              <w:bottom w:w="100" w:type="dxa"/>
              <w:end w:w="100" w:type="dxa"/>
            </w:tcMar>
          </w:tcPr>
          <w:p>
            <w:pPr>
              <w:spacing w:after="40"/>
            </w:pPr>
            <w:r>
              <w:rPr>
                <w:sz w:val="17"/>
              </w:rPr>
              <w:t>How can the engineering system convert AI assistance into safer deployment throughput?</w:t>
            </w:r>
          </w:p>
        </w:tc>
      </w:tr>
      <w:tr>
        <w:tc>
          <w:tcPr>
            <w:tcW w:type="dxa" w:w="1728"/>
            <w:vAlign w:val="center"/>
            <w:tcMar>
              <w:top w:w="100" w:type="dxa"/>
              <w:start w:w="100" w:type="dxa"/>
              <w:bottom w:w="100" w:type="dxa"/>
              <w:end w:w="100" w:type="dxa"/>
            </w:tcMar>
          </w:tcPr>
          <w:p>
            <w:pPr>
              <w:spacing w:after="40"/>
            </w:pPr>
            <w:r>
              <w:rPr>
                <w:sz w:val="17"/>
              </w:rPr>
              <w:t>Gaming / media / creator economy</w:t>
            </w:r>
          </w:p>
        </w:tc>
        <w:tc>
          <w:tcPr>
            <w:tcW w:type="dxa" w:w="2088"/>
            <w:vAlign w:val="center"/>
            <w:tcMar>
              <w:top w:w="100" w:type="dxa"/>
              <w:start w:w="100" w:type="dxa"/>
              <w:bottom w:w="100" w:type="dxa"/>
              <w:end w:w="100" w:type="dxa"/>
            </w:tcMar>
          </w:tcPr>
          <w:p>
            <w:pPr>
              <w:spacing w:after="40"/>
            </w:pPr>
            <w:r>
              <w:rPr>
                <w:sz w:val="17"/>
              </w:rPr>
              <w:t>Engagement, virtual goods, advertising, subscriptions</w:t>
            </w:r>
          </w:p>
        </w:tc>
        <w:tc>
          <w:tcPr>
            <w:tcW w:type="dxa" w:w="2448"/>
            <w:vAlign w:val="center"/>
            <w:tcMar>
              <w:top w:w="100" w:type="dxa"/>
              <w:start w:w="100" w:type="dxa"/>
              <w:bottom w:w="100" w:type="dxa"/>
              <w:end w:w="100" w:type="dxa"/>
            </w:tcMar>
          </w:tcPr>
          <w:p>
            <w:pPr>
              <w:spacing w:after="40"/>
            </w:pPr>
            <w:r>
              <w:rPr>
                <w:sz w:val="17"/>
              </w:rPr>
              <w:t>Low latency, content safety, recommendation quality</w:t>
            </w:r>
          </w:p>
        </w:tc>
        <w:tc>
          <w:tcPr>
            <w:tcW w:type="dxa" w:w="3312"/>
            <w:vAlign w:val="center"/>
            <w:tcMar>
              <w:top w:w="100" w:type="dxa"/>
              <w:start w:w="100" w:type="dxa"/>
              <w:bottom w:w="100" w:type="dxa"/>
              <w:end w:w="100" w:type="dxa"/>
            </w:tcMar>
          </w:tcPr>
          <w:p>
            <w:pPr>
              <w:spacing w:after="40"/>
            </w:pPr>
            <w:r>
              <w:rPr>
                <w:sz w:val="17"/>
              </w:rPr>
              <w:t>How can the platform personalize at scale while protecting minors, creators, and IP?</w:t>
            </w:r>
          </w:p>
        </w:tc>
      </w:tr>
      <w:tr>
        <w:tc>
          <w:tcPr>
            <w:tcW w:type="dxa" w:w="1728"/>
            <w:vAlign w:val="center"/>
            <w:tcMar>
              <w:top w:w="100" w:type="dxa"/>
              <w:start w:w="100" w:type="dxa"/>
              <w:bottom w:w="100" w:type="dxa"/>
              <w:end w:w="100" w:type="dxa"/>
            </w:tcMar>
          </w:tcPr>
          <w:p>
            <w:pPr>
              <w:spacing w:after="40"/>
            </w:pPr>
            <w:r>
              <w:rPr>
                <w:sz w:val="17"/>
              </w:rPr>
              <w:t>Healthtech / edtech / commerce enablement</w:t>
            </w:r>
          </w:p>
        </w:tc>
        <w:tc>
          <w:tcPr>
            <w:tcW w:type="dxa" w:w="2088"/>
            <w:vAlign w:val="center"/>
            <w:tcMar>
              <w:top w:w="100" w:type="dxa"/>
              <w:start w:w="100" w:type="dxa"/>
              <w:bottom w:w="100" w:type="dxa"/>
              <w:end w:w="100" w:type="dxa"/>
            </w:tcMar>
          </w:tcPr>
          <w:p>
            <w:pPr>
              <w:spacing w:after="40"/>
            </w:pPr>
            <w:r>
              <w:rPr>
                <w:sz w:val="17"/>
              </w:rPr>
              <w:t>Outcome, transaction, or subscription-led services</w:t>
            </w:r>
          </w:p>
        </w:tc>
        <w:tc>
          <w:tcPr>
            <w:tcW w:type="dxa" w:w="2448"/>
            <w:vAlign w:val="center"/>
            <w:tcMar>
              <w:top w:w="100" w:type="dxa"/>
              <w:start w:w="100" w:type="dxa"/>
              <w:bottom w:w="100" w:type="dxa"/>
              <w:end w:w="100" w:type="dxa"/>
            </w:tcMar>
          </w:tcPr>
          <w:p>
            <w:pPr>
              <w:spacing w:after="40"/>
            </w:pPr>
            <w:r>
              <w:rPr>
                <w:sz w:val="17"/>
              </w:rPr>
              <w:t>Multilingual access, operational automation, domain grounding</w:t>
            </w:r>
          </w:p>
        </w:tc>
        <w:tc>
          <w:tcPr>
            <w:tcW w:type="dxa" w:w="3312"/>
            <w:vAlign w:val="center"/>
            <w:tcMar>
              <w:top w:w="100" w:type="dxa"/>
              <w:start w:w="100" w:type="dxa"/>
              <w:bottom w:w="100" w:type="dxa"/>
              <w:end w:w="100" w:type="dxa"/>
            </w:tcMar>
          </w:tcPr>
          <w:p>
            <w:pPr>
              <w:spacing w:after="40"/>
            </w:pPr>
            <w:r>
              <w:rPr>
                <w:sz w:val="17"/>
              </w:rPr>
              <w:t>How can agents extend reach across India while remaining grounded and compliant?</w:t>
            </w:r>
          </w:p>
        </w:tc>
      </w:tr>
    </w:tbl>
    <w:p>
      <w:pPr>
        <w:spacing w:after="40"/>
      </w:pPr>
    </w:p>
    <w:p>
      <w:pPr>
        <w:pStyle w:val="Heading1"/>
      </w:pPr>
      <w:r>
        <w:t>Key Terminology</w:t>
      </w:r>
    </w:p>
    <w:tbl>
      <w:tblPr>
        <w:tblStyle w:val="TableGrid"/>
        <w:tblW w:type="auto" w:w="0"/>
        <w:jc w:val="center"/>
        <w:tblLook w:firstColumn="1" w:firstRow="1" w:lastColumn="0" w:lastRow="0" w:noHBand="0" w:noVBand="1" w:val="04A0"/>
      </w:tblPr>
      <w:tblGrid>
        <w:gridCol w:w="4974"/>
        <w:gridCol w:w="4974"/>
      </w:tblGrid>
      <w:tr>
        <w:trPr>
          <w:tblHeader w:val="true"/>
        </w:trPr>
        <w:tc>
          <w:tcPr>
            <w:tcW w:type="dxa" w:w="2448"/>
            <w:shd w:fill="0F4761"/>
            <w:vAlign w:val="center"/>
            <w:tcMar>
              <w:top w:w="100" w:type="dxa"/>
              <w:start w:w="100" w:type="dxa"/>
              <w:bottom w:w="100" w:type="dxa"/>
              <w:end w:w="100" w:type="dxa"/>
            </w:tcMar>
          </w:tcPr>
          <w:p>
            <w:r>
              <w:rPr>
                <w:b/>
                <w:color w:val="FFFFFF"/>
                <w:sz w:val="18"/>
              </w:rPr>
              <w:t>Terminology</w:t>
            </w:r>
          </w:p>
        </w:tc>
        <w:tc>
          <w:tcPr>
            <w:tcW w:type="dxa" w:w="7776"/>
            <w:shd w:fill="0F4761"/>
            <w:vAlign w:val="center"/>
            <w:tcMar>
              <w:top w:w="100" w:type="dxa"/>
              <w:start w:w="100" w:type="dxa"/>
              <w:bottom w:w="100" w:type="dxa"/>
              <w:end w:w="100" w:type="dxa"/>
            </w:tcMar>
          </w:tcPr>
          <w:p>
            <w:r>
              <w:rPr>
                <w:b/>
                <w:color w:val="FFFFFF"/>
                <w:sz w:val="18"/>
              </w:rPr>
              <w:t>Explanation</w:t>
            </w:r>
          </w:p>
        </w:tc>
      </w:tr>
      <w:tr>
        <w:tc>
          <w:tcPr>
            <w:tcW w:type="dxa" w:w="2448"/>
            <w:vAlign w:val="center"/>
            <w:tcMar>
              <w:top w:w="100" w:type="dxa"/>
              <w:start w:w="100" w:type="dxa"/>
              <w:bottom w:w="100" w:type="dxa"/>
              <w:end w:w="100" w:type="dxa"/>
            </w:tcMar>
          </w:tcPr>
          <w:p>
            <w:pPr>
              <w:spacing w:after="40"/>
            </w:pPr>
            <w:r>
              <w:rPr>
                <w:sz w:val="17"/>
              </w:rPr>
              <w:t>ARR / NRR</w:t>
            </w:r>
          </w:p>
        </w:tc>
        <w:tc>
          <w:tcPr>
            <w:tcW w:type="dxa" w:w="7776"/>
            <w:vAlign w:val="center"/>
            <w:tcMar>
              <w:top w:w="100" w:type="dxa"/>
              <w:start w:w="100" w:type="dxa"/>
              <w:bottom w:w="100" w:type="dxa"/>
              <w:end w:w="100" w:type="dxa"/>
            </w:tcMar>
          </w:tcPr>
          <w:p>
            <w:pPr>
              <w:spacing w:after="40"/>
            </w:pPr>
            <w:r>
              <w:rPr>
                <w:sz w:val="17"/>
              </w:rPr>
              <w:t>Annual recurring revenue and net revenue retention; core SaaS growth and durability indicators.</w:t>
            </w:r>
          </w:p>
        </w:tc>
      </w:tr>
      <w:tr>
        <w:tc>
          <w:tcPr>
            <w:tcW w:type="dxa" w:w="2448"/>
            <w:vAlign w:val="center"/>
            <w:tcMar>
              <w:top w:w="100" w:type="dxa"/>
              <w:start w:w="100" w:type="dxa"/>
              <w:bottom w:w="100" w:type="dxa"/>
              <w:end w:w="100" w:type="dxa"/>
            </w:tcMar>
          </w:tcPr>
          <w:p>
            <w:pPr>
              <w:spacing w:after="40"/>
            </w:pPr>
            <w:r>
              <w:rPr>
                <w:sz w:val="17"/>
              </w:rPr>
              <w:t>CAC / LTV</w:t>
            </w:r>
          </w:p>
        </w:tc>
        <w:tc>
          <w:tcPr>
            <w:tcW w:type="dxa" w:w="7776"/>
            <w:vAlign w:val="center"/>
            <w:tcMar>
              <w:top w:w="100" w:type="dxa"/>
              <w:start w:w="100" w:type="dxa"/>
              <w:bottom w:w="100" w:type="dxa"/>
              <w:end w:w="100" w:type="dxa"/>
            </w:tcMar>
          </w:tcPr>
          <w:p>
            <w:pPr>
              <w:spacing w:after="40"/>
            </w:pPr>
            <w:r>
              <w:rPr>
                <w:sz w:val="17"/>
              </w:rPr>
              <w:t>Customer acquisition cost and lifetime value; determines whether growth is economically sustainable.</w:t>
            </w:r>
          </w:p>
        </w:tc>
      </w:tr>
      <w:tr>
        <w:tc>
          <w:tcPr>
            <w:tcW w:type="dxa" w:w="2448"/>
            <w:vAlign w:val="center"/>
            <w:tcMar>
              <w:top w:w="100" w:type="dxa"/>
              <w:start w:w="100" w:type="dxa"/>
              <w:bottom w:w="100" w:type="dxa"/>
              <w:end w:w="100" w:type="dxa"/>
            </w:tcMar>
          </w:tcPr>
          <w:p>
            <w:pPr>
              <w:spacing w:after="40"/>
            </w:pPr>
            <w:r>
              <w:rPr>
                <w:sz w:val="17"/>
              </w:rPr>
              <w:t>GMV / Take Rate</w:t>
            </w:r>
          </w:p>
        </w:tc>
        <w:tc>
          <w:tcPr>
            <w:tcW w:type="dxa" w:w="7776"/>
            <w:vAlign w:val="center"/>
            <w:tcMar>
              <w:top w:w="100" w:type="dxa"/>
              <w:start w:w="100" w:type="dxa"/>
              <w:bottom w:w="100" w:type="dxa"/>
              <w:end w:w="100" w:type="dxa"/>
            </w:tcMar>
          </w:tcPr>
          <w:p>
            <w:pPr>
              <w:spacing w:after="40"/>
            </w:pPr>
            <w:r>
              <w:rPr>
                <w:sz w:val="17"/>
              </w:rPr>
              <w:t>Gross merchandise value and the percentage monetized by a marketplace.</w:t>
            </w:r>
          </w:p>
        </w:tc>
      </w:tr>
      <w:tr>
        <w:tc>
          <w:tcPr>
            <w:tcW w:type="dxa" w:w="2448"/>
            <w:vAlign w:val="center"/>
            <w:tcMar>
              <w:top w:w="100" w:type="dxa"/>
              <w:start w:w="100" w:type="dxa"/>
              <w:bottom w:w="100" w:type="dxa"/>
              <w:end w:w="100" w:type="dxa"/>
            </w:tcMar>
          </w:tcPr>
          <w:p>
            <w:pPr>
              <w:spacing w:after="40"/>
            </w:pPr>
            <w:r>
              <w:rPr>
                <w:sz w:val="17"/>
              </w:rPr>
              <w:t>DAU/MAU and Cohort Retention</w:t>
            </w:r>
          </w:p>
        </w:tc>
        <w:tc>
          <w:tcPr>
            <w:tcW w:type="dxa" w:w="7776"/>
            <w:vAlign w:val="center"/>
            <w:tcMar>
              <w:top w:w="100" w:type="dxa"/>
              <w:start w:w="100" w:type="dxa"/>
              <w:bottom w:w="100" w:type="dxa"/>
              <w:end w:w="100" w:type="dxa"/>
            </w:tcMar>
          </w:tcPr>
          <w:p>
            <w:pPr>
              <w:spacing w:after="40"/>
            </w:pPr>
            <w:r>
              <w:rPr>
                <w:sz w:val="17"/>
              </w:rPr>
              <w:t>Engagement and stickiness indicators segmented by acquisition cohort.</w:t>
            </w:r>
          </w:p>
        </w:tc>
      </w:tr>
      <w:tr>
        <w:tc>
          <w:tcPr>
            <w:tcW w:type="dxa" w:w="2448"/>
            <w:vAlign w:val="center"/>
            <w:tcMar>
              <w:top w:w="100" w:type="dxa"/>
              <w:start w:w="100" w:type="dxa"/>
              <w:bottom w:w="100" w:type="dxa"/>
              <w:end w:w="100" w:type="dxa"/>
            </w:tcMar>
          </w:tcPr>
          <w:p>
            <w:pPr>
              <w:spacing w:after="40"/>
            </w:pPr>
            <w:r>
              <w:rPr>
                <w:sz w:val="17"/>
              </w:rPr>
              <w:t>DORA Metrics</w:t>
            </w:r>
          </w:p>
        </w:tc>
        <w:tc>
          <w:tcPr>
            <w:tcW w:type="dxa" w:w="7776"/>
            <w:vAlign w:val="center"/>
            <w:tcMar>
              <w:top w:w="100" w:type="dxa"/>
              <w:start w:w="100" w:type="dxa"/>
              <w:bottom w:w="100" w:type="dxa"/>
              <w:end w:w="100" w:type="dxa"/>
            </w:tcMar>
          </w:tcPr>
          <w:p>
            <w:pPr>
              <w:spacing w:after="40"/>
            </w:pPr>
            <w:r>
              <w:rPr>
                <w:sz w:val="17"/>
              </w:rPr>
              <w:t>Deployment frequency, lead time for changes, change failure rate, and time to restore service.</w:t>
            </w:r>
          </w:p>
        </w:tc>
      </w:tr>
      <w:tr>
        <w:tc>
          <w:tcPr>
            <w:tcW w:type="dxa" w:w="2448"/>
            <w:vAlign w:val="center"/>
            <w:tcMar>
              <w:top w:w="100" w:type="dxa"/>
              <w:start w:w="100" w:type="dxa"/>
              <w:bottom w:w="100" w:type="dxa"/>
              <w:end w:w="100" w:type="dxa"/>
            </w:tcMar>
          </w:tcPr>
          <w:p>
            <w:pPr>
              <w:spacing w:after="40"/>
            </w:pPr>
            <w:r>
              <w:rPr>
                <w:sz w:val="17"/>
              </w:rPr>
              <w:t>SLO / Error Budget</w:t>
            </w:r>
          </w:p>
        </w:tc>
        <w:tc>
          <w:tcPr>
            <w:tcW w:type="dxa" w:w="7776"/>
            <w:vAlign w:val="center"/>
            <w:tcMar>
              <w:top w:w="100" w:type="dxa"/>
              <w:start w:w="100" w:type="dxa"/>
              <w:bottom w:w="100" w:type="dxa"/>
              <w:end w:w="100" w:type="dxa"/>
            </w:tcMar>
          </w:tcPr>
          <w:p>
            <w:pPr>
              <w:spacing w:after="40"/>
            </w:pPr>
            <w:r>
              <w:rPr>
                <w:sz w:val="17"/>
              </w:rPr>
              <w:t>Reliability target and the allowable failure window used to balance feature velocity with resilience.</w:t>
            </w:r>
          </w:p>
        </w:tc>
      </w:tr>
      <w:tr>
        <w:tc>
          <w:tcPr>
            <w:tcW w:type="dxa" w:w="2448"/>
            <w:vAlign w:val="center"/>
            <w:tcMar>
              <w:top w:w="100" w:type="dxa"/>
              <w:start w:w="100" w:type="dxa"/>
              <w:bottom w:w="100" w:type="dxa"/>
              <w:end w:w="100" w:type="dxa"/>
            </w:tcMar>
          </w:tcPr>
          <w:p>
            <w:pPr>
              <w:spacing w:after="40"/>
            </w:pPr>
            <w:r>
              <w:rPr>
                <w:sz w:val="17"/>
              </w:rPr>
              <w:t>FinOps</w:t>
            </w:r>
          </w:p>
        </w:tc>
        <w:tc>
          <w:tcPr>
            <w:tcW w:type="dxa" w:w="7776"/>
            <w:vAlign w:val="center"/>
            <w:tcMar>
              <w:top w:w="100" w:type="dxa"/>
              <w:start w:w="100" w:type="dxa"/>
              <w:bottom w:w="100" w:type="dxa"/>
              <w:end w:w="100" w:type="dxa"/>
            </w:tcMar>
          </w:tcPr>
          <w:p>
            <w:pPr>
              <w:spacing w:after="40"/>
            </w:pPr>
            <w:r>
              <w:rPr>
                <w:sz w:val="17"/>
              </w:rPr>
              <w:t>Cross-functional practice for maximizing business value from cloud and AI spend.</w:t>
            </w:r>
          </w:p>
        </w:tc>
      </w:tr>
      <w:tr>
        <w:tc>
          <w:tcPr>
            <w:tcW w:type="dxa" w:w="2448"/>
            <w:vAlign w:val="center"/>
            <w:tcMar>
              <w:top w:w="100" w:type="dxa"/>
              <w:start w:w="100" w:type="dxa"/>
              <w:bottom w:w="100" w:type="dxa"/>
              <w:end w:w="100" w:type="dxa"/>
            </w:tcMar>
          </w:tcPr>
          <w:p>
            <w:pPr>
              <w:spacing w:after="40"/>
            </w:pPr>
            <w:r>
              <w:rPr>
                <w:sz w:val="17"/>
              </w:rPr>
              <w:t>Platform Engineering</w:t>
            </w:r>
          </w:p>
        </w:tc>
        <w:tc>
          <w:tcPr>
            <w:tcW w:type="dxa" w:w="7776"/>
            <w:vAlign w:val="center"/>
            <w:tcMar>
              <w:top w:w="100" w:type="dxa"/>
              <w:start w:w="100" w:type="dxa"/>
              <w:bottom w:w="100" w:type="dxa"/>
              <w:end w:w="100" w:type="dxa"/>
            </w:tcMar>
          </w:tcPr>
          <w:p>
            <w:pPr>
              <w:spacing w:after="40"/>
            </w:pPr>
            <w:r>
              <w:rPr>
                <w:sz w:val="17"/>
              </w:rPr>
              <w:t>Internal product approach that provides paved roads, reusable services, policy, and self-service developer experiences.</w:t>
            </w:r>
          </w:p>
        </w:tc>
      </w:tr>
      <w:tr>
        <w:tc>
          <w:tcPr>
            <w:tcW w:type="dxa" w:w="2448"/>
            <w:vAlign w:val="center"/>
            <w:tcMar>
              <w:top w:w="100" w:type="dxa"/>
              <w:start w:w="100" w:type="dxa"/>
              <w:bottom w:w="100" w:type="dxa"/>
              <w:end w:w="100" w:type="dxa"/>
            </w:tcMar>
          </w:tcPr>
          <w:p>
            <w:pPr>
              <w:spacing w:after="40"/>
            </w:pPr>
            <w:r>
              <w:rPr>
                <w:sz w:val="17"/>
              </w:rPr>
              <w:t>RAG and Grounding</w:t>
            </w:r>
          </w:p>
        </w:tc>
        <w:tc>
          <w:tcPr>
            <w:tcW w:type="dxa" w:w="7776"/>
            <w:vAlign w:val="center"/>
            <w:tcMar>
              <w:top w:w="100" w:type="dxa"/>
              <w:start w:w="100" w:type="dxa"/>
              <w:bottom w:w="100" w:type="dxa"/>
              <w:end w:w="100" w:type="dxa"/>
            </w:tcMar>
          </w:tcPr>
          <w:p>
            <w:pPr>
              <w:spacing w:after="40"/>
            </w:pPr>
            <w:r>
              <w:rPr>
                <w:sz w:val="17"/>
              </w:rPr>
              <w:t>Retrieval-augmented generation and the use of trusted enterprise context to improve relevance and reduce unsupported output.</w:t>
            </w:r>
          </w:p>
        </w:tc>
      </w:tr>
      <w:tr>
        <w:tc>
          <w:tcPr>
            <w:tcW w:type="dxa" w:w="2448"/>
            <w:vAlign w:val="center"/>
            <w:tcMar>
              <w:top w:w="100" w:type="dxa"/>
              <w:start w:w="100" w:type="dxa"/>
              <w:bottom w:w="100" w:type="dxa"/>
              <w:end w:w="100" w:type="dxa"/>
            </w:tcMar>
          </w:tcPr>
          <w:p>
            <w:pPr>
              <w:spacing w:after="40"/>
            </w:pPr>
            <w:r>
              <w:rPr>
                <w:sz w:val="17"/>
              </w:rPr>
              <w:t>Agentic System</w:t>
            </w:r>
          </w:p>
        </w:tc>
        <w:tc>
          <w:tcPr>
            <w:tcW w:type="dxa" w:w="7776"/>
            <w:vAlign w:val="center"/>
            <w:tcMar>
              <w:top w:w="100" w:type="dxa"/>
              <w:start w:w="100" w:type="dxa"/>
              <w:bottom w:w="100" w:type="dxa"/>
              <w:end w:w="100" w:type="dxa"/>
            </w:tcMar>
          </w:tcPr>
          <w:p>
            <w:pPr>
              <w:spacing w:after="40"/>
            </w:pPr>
            <w:r>
              <w:rPr>
                <w:sz w:val="17"/>
              </w:rPr>
              <w:t>An AI system that plans, uses tools, maintains context, and executes bounded workflows under policy.</w:t>
            </w:r>
          </w:p>
        </w:tc>
      </w:tr>
      <w:tr>
        <w:tc>
          <w:tcPr>
            <w:tcW w:type="dxa" w:w="2448"/>
            <w:vAlign w:val="center"/>
            <w:tcMar>
              <w:top w:w="100" w:type="dxa"/>
              <w:start w:w="100" w:type="dxa"/>
              <w:bottom w:w="100" w:type="dxa"/>
              <w:end w:w="100" w:type="dxa"/>
            </w:tcMar>
          </w:tcPr>
          <w:p>
            <w:pPr>
              <w:spacing w:after="40"/>
            </w:pPr>
            <w:r>
              <w:rPr>
                <w:sz w:val="17"/>
              </w:rPr>
              <w:t>Evaluation / LLMOps</w:t>
            </w:r>
          </w:p>
        </w:tc>
        <w:tc>
          <w:tcPr>
            <w:tcW w:type="dxa" w:w="7776"/>
            <w:vAlign w:val="center"/>
            <w:tcMar>
              <w:top w:w="100" w:type="dxa"/>
              <w:start w:w="100" w:type="dxa"/>
              <w:bottom w:w="100" w:type="dxa"/>
              <w:end w:w="100" w:type="dxa"/>
            </w:tcMar>
          </w:tcPr>
          <w:p>
            <w:pPr>
              <w:spacing w:after="40"/>
            </w:pPr>
            <w:r>
              <w:rPr>
                <w:sz w:val="17"/>
              </w:rPr>
              <w:t>Repeatable quality, safety, latency, cost, and regression measurement across the AI lifecycle.</w:t>
            </w:r>
          </w:p>
        </w:tc>
      </w:tr>
      <w:tr>
        <w:tc>
          <w:tcPr>
            <w:tcW w:type="dxa" w:w="2448"/>
            <w:vAlign w:val="center"/>
            <w:tcMar>
              <w:top w:w="100" w:type="dxa"/>
              <w:start w:w="100" w:type="dxa"/>
              <w:bottom w:w="100" w:type="dxa"/>
              <w:end w:w="100" w:type="dxa"/>
            </w:tcMar>
          </w:tcPr>
          <w:p>
            <w:pPr>
              <w:spacing w:after="40"/>
            </w:pPr>
            <w:r>
              <w:rPr>
                <w:sz w:val="17"/>
              </w:rPr>
              <w:t>Zero Trust</w:t>
            </w:r>
          </w:p>
        </w:tc>
        <w:tc>
          <w:tcPr>
            <w:tcW w:type="dxa" w:w="7776"/>
            <w:vAlign w:val="center"/>
            <w:tcMar>
              <w:top w:w="100" w:type="dxa"/>
              <w:start w:w="100" w:type="dxa"/>
              <w:bottom w:w="100" w:type="dxa"/>
              <w:end w:w="100" w:type="dxa"/>
            </w:tcMar>
          </w:tcPr>
          <w:p>
            <w:pPr>
              <w:spacing w:after="40"/>
            </w:pPr>
            <w:r>
              <w:rPr>
                <w:sz w:val="17"/>
              </w:rPr>
              <w:t>Verify explicitly, use least privilege, and assume breach across identity, device, data, applications, and infrastructure.</w:t>
            </w:r>
          </w:p>
        </w:tc>
      </w:tr>
    </w:tbl>
    <w:p>
      <w:pPr>
        <w:spacing w:after="40"/>
      </w:pPr>
    </w:p>
    <w:p>
      <w:pPr>
        <w:pStyle w:val="Heading1"/>
      </w:pPr>
      <w:r>
        <w:t>Core Processes</w:t>
      </w:r>
    </w:p>
    <w:tbl>
      <w:tblPr>
        <w:tblStyle w:val="TableGrid"/>
        <w:tblW w:type="auto" w:w="0"/>
        <w:jc w:val="center"/>
        <w:tblLook w:firstColumn="1" w:firstRow="1" w:lastColumn="0" w:lastRow="0" w:noHBand="0" w:noVBand="1" w:val="04A0"/>
      </w:tblPr>
      <w:tblGrid>
        <w:gridCol w:w="2487"/>
        <w:gridCol w:w="2487"/>
        <w:gridCol w:w="2487"/>
        <w:gridCol w:w="2487"/>
      </w:tblGrid>
      <w:tr>
        <w:trPr>
          <w:tblHeader w:val="true"/>
        </w:trPr>
        <w:tc>
          <w:tcPr>
            <w:tcW w:type="dxa" w:w="1944"/>
            <w:shd w:fill="0F4761"/>
            <w:vAlign w:val="center"/>
            <w:tcMar>
              <w:top w:w="100" w:type="dxa"/>
              <w:start w:w="100" w:type="dxa"/>
              <w:bottom w:w="100" w:type="dxa"/>
              <w:end w:w="100" w:type="dxa"/>
            </w:tcMar>
          </w:tcPr>
          <w:p>
            <w:r>
              <w:rPr>
                <w:b/>
                <w:color w:val="FFFFFF"/>
                <w:sz w:val="18"/>
              </w:rPr>
              <w:t>Process</w:t>
            </w:r>
          </w:p>
        </w:tc>
        <w:tc>
          <w:tcPr>
            <w:tcW w:type="dxa" w:w="2088"/>
            <w:shd w:fill="0F4761"/>
            <w:vAlign w:val="center"/>
            <w:tcMar>
              <w:top w:w="100" w:type="dxa"/>
              <w:start w:w="100" w:type="dxa"/>
              <w:bottom w:w="100" w:type="dxa"/>
              <w:end w:w="100" w:type="dxa"/>
            </w:tcMar>
          </w:tcPr>
          <w:p>
            <w:r>
              <w:rPr>
                <w:b/>
                <w:color w:val="FFFFFF"/>
                <w:sz w:val="18"/>
              </w:rPr>
              <w:t>Business purpose</w:t>
            </w:r>
          </w:p>
        </w:tc>
        <w:tc>
          <w:tcPr>
            <w:tcW w:type="dxa" w:w="2232"/>
            <w:shd w:fill="0F4761"/>
            <w:vAlign w:val="center"/>
            <w:tcMar>
              <w:top w:w="100" w:type="dxa"/>
              <w:start w:w="100" w:type="dxa"/>
              <w:bottom w:w="100" w:type="dxa"/>
              <w:end w:w="100" w:type="dxa"/>
            </w:tcMar>
          </w:tcPr>
          <w:p>
            <w:r>
              <w:rPr>
                <w:b/>
                <w:color w:val="FFFFFF"/>
                <w:sz w:val="18"/>
              </w:rPr>
              <w:t>Typical pain points</w:t>
            </w:r>
          </w:p>
        </w:tc>
        <w:tc>
          <w:tcPr>
            <w:tcW w:type="dxa" w:w="3888"/>
            <w:shd w:fill="0F4761"/>
            <w:vAlign w:val="center"/>
            <w:tcMar>
              <w:top w:w="100" w:type="dxa"/>
              <w:start w:w="100" w:type="dxa"/>
              <w:bottom w:w="100" w:type="dxa"/>
              <w:end w:w="100" w:type="dxa"/>
            </w:tcMar>
          </w:tcPr>
          <w:p>
            <w:r>
              <w:rPr>
                <w:b/>
                <w:color w:val="FFFFFF"/>
                <w:sz w:val="18"/>
              </w:rPr>
              <w:t>AI / Microsoft role</w:t>
            </w:r>
          </w:p>
        </w:tc>
      </w:tr>
      <w:tr>
        <w:tc>
          <w:tcPr>
            <w:tcW w:type="dxa" w:w="1944"/>
            <w:vAlign w:val="center"/>
            <w:tcMar>
              <w:top w:w="100" w:type="dxa"/>
              <w:start w:w="100" w:type="dxa"/>
              <w:bottom w:w="100" w:type="dxa"/>
              <w:end w:w="100" w:type="dxa"/>
            </w:tcMar>
          </w:tcPr>
          <w:p>
            <w:pPr>
              <w:spacing w:after="40"/>
            </w:pPr>
            <w:r>
              <w:rPr>
                <w:sz w:val="17"/>
              </w:rPr>
              <w:t>Product discovery and experimentation</w:t>
            </w:r>
          </w:p>
        </w:tc>
        <w:tc>
          <w:tcPr>
            <w:tcW w:type="dxa" w:w="2088"/>
            <w:vAlign w:val="center"/>
            <w:tcMar>
              <w:top w:w="100" w:type="dxa"/>
              <w:start w:w="100" w:type="dxa"/>
              <w:bottom w:w="100" w:type="dxa"/>
              <w:end w:w="100" w:type="dxa"/>
            </w:tcMar>
          </w:tcPr>
          <w:p>
            <w:pPr>
              <w:spacing w:after="40"/>
            </w:pPr>
            <w:r>
              <w:rPr>
                <w:sz w:val="17"/>
              </w:rPr>
              <w:t>Validate demand and improve activation/retention</w:t>
            </w:r>
          </w:p>
        </w:tc>
        <w:tc>
          <w:tcPr>
            <w:tcW w:type="dxa" w:w="2232"/>
            <w:vAlign w:val="center"/>
            <w:tcMar>
              <w:top w:w="100" w:type="dxa"/>
              <w:start w:w="100" w:type="dxa"/>
              <w:bottom w:w="100" w:type="dxa"/>
              <w:end w:w="100" w:type="dxa"/>
            </w:tcMar>
          </w:tcPr>
          <w:p>
            <w:pPr>
              <w:spacing w:after="40"/>
            </w:pPr>
            <w:r>
              <w:rPr>
                <w:sz w:val="17"/>
              </w:rPr>
              <w:t>Fragmented insights, weak experiment design, slow synthesis</w:t>
            </w:r>
          </w:p>
        </w:tc>
        <w:tc>
          <w:tcPr>
            <w:tcW w:type="dxa" w:w="3888"/>
            <w:vAlign w:val="center"/>
            <w:tcMar>
              <w:top w:w="100" w:type="dxa"/>
              <w:start w:w="100" w:type="dxa"/>
              <w:bottom w:w="100" w:type="dxa"/>
              <w:end w:w="100" w:type="dxa"/>
            </w:tcMar>
          </w:tcPr>
          <w:p>
            <w:pPr>
              <w:spacing w:after="40"/>
            </w:pPr>
            <w:r>
              <w:rPr>
                <w:sz w:val="17"/>
              </w:rPr>
              <w:t>Copilot-supported research synthesis, experiment backlog, and natural-language product analytics.</w:t>
            </w:r>
          </w:p>
        </w:tc>
      </w:tr>
      <w:tr>
        <w:tc>
          <w:tcPr>
            <w:tcW w:type="dxa" w:w="1944"/>
            <w:vAlign w:val="center"/>
            <w:tcMar>
              <w:top w:w="100" w:type="dxa"/>
              <w:start w:w="100" w:type="dxa"/>
              <w:bottom w:w="100" w:type="dxa"/>
              <w:end w:w="100" w:type="dxa"/>
            </w:tcMar>
          </w:tcPr>
          <w:p>
            <w:pPr>
              <w:spacing w:after="40"/>
            </w:pPr>
            <w:r>
              <w:rPr>
                <w:sz w:val="17"/>
              </w:rPr>
              <w:t>Software delivery and DevSecOps</w:t>
            </w:r>
          </w:p>
        </w:tc>
        <w:tc>
          <w:tcPr>
            <w:tcW w:type="dxa" w:w="2088"/>
            <w:vAlign w:val="center"/>
            <w:tcMar>
              <w:top w:w="100" w:type="dxa"/>
              <w:start w:w="100" w:type="dxa"/>
              <w:bottom w:w="100" w:type="dxa"/>
              <w:end w:w="100" w:type="dxa"/>
            </w:tcMar>
          </w:tcPr>
          <w:p>
            <w:pPr>
              <w:spacing w:after="40"/>
            </w:pPr>
            <w:r>
              <w:rPr>
                <w:sz w:val="17"/>
              </w:rPr>
              <w:t>Ship reliable features rapidly</w:t>
            </w:r>
          </w:p>
        </w:tc>
        <w:tc>
          <w:tcPr>
            <w:tcW w:type="dxa" w:w="2232"/>
            <w:vAlign w:val="center"/>
            <w:tcMar>
              <w:top w:w="100" w:type="dxa"/>
              <w:start w:w="100" w:type="dxa"/>
              <w:bottom w:w="100" w:type="dxa"/>
              <w:end w:w="100" w:type="dxa"/>
            </w:tcMar>
          </w:tcPr>
          <w:p>
            <w:pPr>
              <w:spacing w:after="40"/>
            </w:pPr>
            <w:r>
              <w:rPr>
                <w:sz w:val="17"/>
              </w:rPr>
              <w:t>PR bottlenecks, security debt, inconsistent standards</w:t>
            </w:r>
          </w:p>
        </w:tc>
        <w:tc>
          <w:tcPr>
            <w:tcW w:type="dxa" w:w="3888"/>
            <w:vAlign w:val="center"/>
            <w:tcMar>
              <w:top w:w="100" w:type="dxa"/>
              <w:start w:w="100" w:type="dxa"/>
              <w:bottom w:w="100" w:type="dxa"/>
              <w:end w:w="100" w:type="dxa"/>
            </w:tcMar>
          </w:tcPr>
          <w:p>
            <w:pPr>
              <w:spacing w:after="40"/>
            </w:pPr>
            <w:r>
              <w:rPr>
                <w:sz w:val="17"/>
              </w:rPr>
              <w:t>GitHub Copilot, GitHub Advanced Security, policy-as-code, automated remediation, and deployment intelligence.</w:t>
            </w:r>
          </w:p>
        </w:tc>
      </w:tr>
      <w:tr>
        <w:tc>
          <w:tcPr>
            <w:tcW w:type="dxa" w:w="1944"/>
            <w:vAlign w:val="center"/>
            <w:tcMar>
              <w:top w:w="100" w:type="dxa"/>
              <w:start w:w="100" w:type="dxa"/>
              <w:bottom w:w="100" w:type="dxa"/>
              <w:end w:w="100" w:type="dxa"/>
            </w:tcMar>
          </w:tcPr>
          <w:p>
            <w:pPr>
              <w:spacing w:after="40"/>
            </w:pPr>
            <w:r>
              <w:rPr>
                <w:sz w:val="17"/>
              </w:rPr>
              <w:t>Customer acquisition and lifecycle growth</w:t>
            </w:r>
          </w:p>
        </w:tc>
        <w:tc>
          <w:tcPr>
            <w:tcW w:type="dxa" w:w="2088"/>
            <w:vAlign w:val="center"/>
            <w:tcMar>
              <w:top w:w="100" w:type="dxa"/>
              <w:start w:w="100" w:type="dxa"/>
              <w:bottom w:w="100" w:type="dxa"/>
              <w:end w:w="100" w:type="dxa"/>
            </w:tcMar>
          </w:tcPr>
          <w:p>
            <w:pPr>
              <w:spacing w:after="40"/>
            </w:pPr>
            <w:r>
              <w:rPr>
                <w:sz w:val="17"/>
              </w:rPr>
              <w:t>Acquire, activate, retain, and expand users</w:t>
            </w:r>
          </w:p>
        </w:tc>
        <w:tc>
          <w:tcPr>
            <w:tcW w:type="dxa" w:w="2232"/>
            <w:vAlign w:val="center"/>
            <w:tcMar>
              <w:top w:w="100" w:type="dxa"/>
              <w:start w:w="100" w:type="dxa"/>
              <w:bottom w:w="100" w:type="dxa"/>
              <w:end w:w="100" w:type="dxa"/>
            </w:tcMar>
          </w:tcPr>
          <w:p>
            <w:pPr>
              <w:spacing w:after="40"/>
            </w:pPr>
            <w:r>
              <w:rPr>
                <w:sz w:val="17"/>
              </w:rPr>
              <w:t>Rising CAC, generic journeys, channel fragmentation</w:t>
            </w:r>
          </w:p>
        </w:tc>
        <w:tc>
          <w:tcPr>
            <w:tcW w:type="dxa" w:w="3888"/>
            <w:vAlign w:val="center"/>
            <w:tcMar>
              <w:top w:w="100" w:type="dxa"/>
              <w:start w:w="100" w:type="dxa"/>
              <w:bottom w:w="100" w:type="dxa"/>
              <w:end w:w="100" w:type="dxa"/>
            </w:tcMar>
          </w:tcPr>
          <w:p>
            <w:pPr>
              <w:spacing w:after="40"/>
            </w:pPr>
            <w:r>
              <w:rPr>
                <w:sz w:val="17"/>
              </w:rPr>
              <w:t>Real-time segmentation, next-best action, content copilots, and propensity models.</w:t>
            </w:r>
          </w:p>
        </w:tc>
      </w:tr>
      <w:tr>
        <w:tc>
          <w:tcPr>
            <w:tcW w:type="dxa" w:w="1944"/>
            <w:vAlign w:val="center"/>
            <w:tcMar>
              <w:top w:w="100" w:type="dxa"/>
              <w:start w:w="100" w:type="dxa"/>
              <w:bottom w:w="100" w:type="dxa"/>
              <w:end w:w="100" w:type="dxa"/>
            </w:tcMar>
          </w:tcPr>
          <w:p>
            <w:pPr>
              <w:spacing w:after="40"/>
            </w:pPr>
            <w:r>
              <w:rPr>
                <w:sz w:val="17"/>
              </w:rPr>
              <w:t>Customer operations</w:t>
            </w:r>
          </w:p>
        </w:tc>
        <w:tc>
          <w:tcPr>
            <w:tcW w:type="dxa" w:w="2088"/>
            <w:vAlign w:val="center"/>
            <w:tcMar>
              <w:top w:w="100" w:type="dxa"/>
              <w:start w:w="100" w:type="dxa"/>
              <w:bottom w:w="100" w:type="dxa"/>
              <w:end w:w="100" w:type="dxa"/>
            </w:tcMar>
          </w:tcPr>
          <w:p>
            <w:pPr>
              <w:spacing w:after="40"/>
            </w:pPr>
            <w:r>
              <w:rPr>
                <w:sz w:val="17"/>
              </w:rPr>
              <w:t>Resolve issues and protect experience</w:t>
            </w:r>
          </w:p>
        </w:tc>
        <w:tc>
          <w:tcPr>
            <w:tcW w:type="dxa" w:w="2232"/>
            <w:vAlign w:val="center"/>
            <w:tcMar>
              <w:top w:w="100" w:type="dxa"/>
              <w:start w:w="100" w:type="dxa"/>
              <w:bottom w:w="100" w:type="dxa"/>
              <w:end w:w="100" w:type="dxa"/>
            </w:tcMar>
          </w:tcPr>
          <w:p>
            <w:pPr>
              <w:spacing w:after="40"/>
            </w:pPr>
            <w:r>
              <w:rPr>
                <w:sz w:val="17"/>
              </w:rPr>
              <w:t>High contact volume, disconnected knowledge, multilingual needs</w:t>
            </w:r>
          </w:p>
        </w:tc>
        <w:tc>
          <w:tcPr>
            <w:tcW w:type="dxa" w:w="3888"/>
            <w:vAlign w:val="center"/>
            <w:tcMar>
              <w:top w:w="100" w:type="dxa"/>
              <w:start w:w="100" w:type="dxa"/>
              <w:bottom w:w="100" w:type="dxa"/>
              <w:end w:w="100" w:type="dxa"/>
            </w:tcMar>
          </w:tcPr>
          <w:p>
            <w:pPr>
              <w:spacing w:after="40"/>
            </w:pPr>
            <w:r>
              <w:rPr>
                <w:sz w:val="17"/>
              </w:rPr>
              <w:t>Grounded self-service agents, agent assist, summarization, and automated quality review.</w:t>
            </w:r>
          </w:p>
        </w:tc>
      </w:tr>
      <w:tr>
        <w:tc>
          <w:tcPr>
            <w:tcW w:type="dxa" w:w="1944"/>
            <w:vAlign w:val="center"/>
            <w:tcMar>
              <w:top w:w="100" w:type="dxa"/>
              <w:start w:w="100" w:type="dxa"/>
              <w:bottom w:w="100" w:type="dxa"/>
              <w:end w:w="100" w:type="dxa"/>
            </w:tcMar>
          </w:tcPr>
          <w:p>
            <w:pPr>
              <w:spacing w:after="40"/>
            </w:pPr>
            <w:r>
              <w:rPr>
                <w:sz w:val="17"/>
              </w:rPr>
              <w:t>Data product lifecycle</w:t>
            </w:r>
          </w:p>
        </w:tc>
        <w:tc>
          <w:tcPr>
            <w:tcW w:type="dxa" w:w="2088"/>
            <w:vAlign w:val="center"/>
            <w:tcMar>
              <w:top w:w="100" w:type="dxa"/>
              <w:start w:w="100" w:type="dxa"/>
              <w:bottom w:w="100" w:type="dxa"/>
              <w:end w:w="100" w:type="dxa"/>
            </w:tcMar>
          </w:tcPr>
          <w:p>
            <w:pPr>
              <w:spacing w:after="40"/>
            </w:pPr>
            <w:r>
              <w:rPr>
                <w:sz w:val="17"/>
              </w:rPr>
              <w:t>Create trustworthy reusable data products</w:t>
            </w:r>
          </w:p>
        </w:tc>
        <w:tc>
          <w:tcPr>
            <w:tcW w:type="dxa" w:w="2232"/>
            <w:vAlign w:val="center"/>
            <w:tcMar>
              <w:top w:w="100" w:type="dxa"/>
              <w:start w:w="100" w:type="dxa"/>
              <w:bottom w:w="100" w:type="dxa"/>
              <w:end w:w="100" w:type="dxa"/>
            </w:tcMar>
          </w:tcPr>
          <w:p>
            <w:pPr>
              <w:spacing w:after="40"/>
            </w:pPr>
            <w:r>
              <w:rPr>
                <w:sz w:val="17"/>
              </w:rPr>
              <w:t>Silos, duplicated pipelines, semantic inconsistency</w:t>
            </w:r>
          </w:p>
        </w:tc>
        <w:tc>
          <w:tcPr>
            <w:tcW w:type="dxa" w:w="3888"/>
            <w:vAlign w:val="center"/>
            <w:tcMar>
              <w:top w:w="100" w:type="dxa"/>
              <w:start w:w="100" w:type="dxa"/>
              <w:bottom w:w="100" w:type="dxa"/>
              <w:end w:w="100" w:type="dxa"/>
            </w:tcMar>
          </w:tcPr>
          <w:p>
            <w:pPr>
              <w:spacing w:after="40"/>
            </w:pPr>
            <w:r>
              <w:rPr>
                <w:sz w:val="17"/>
              </w:rPr>
              <w:t>Microsoft Fabric OneLake, data domains, lineage, semantic models, and governed self-service.</w:t>
            </w:r>
          </w:p>
        </w:tc>
      </w:tr>
      <w:tr>
        <w:tc>
          <w:tcPr>
            <w:tcW w:type="dxa" w:w="1944"/>
            <w:vAlign w:val="center"/>
            <w:tcMar>
              <w:top w:w="100" w:type="dxa"/>
              <w:start w:w="100" w:type="dxa"/>
              <w:bottom w:w="100" w:type="dxa"/>
              <w:end w:w="100" w:type="dxa"/>
            </w:tcMar>
          </w:tcPr>
          <w:p>
            <w:pPr>
              <w:spacing w:after="40"/>
            </w:pPr>
            <w:r>
              <w:rPr>
                <w:sz w:val="17"/>
              </w:rPr>
              <w:t>AI product lifecycle</w:t>
            </w:r>
          </w:p>
        </w:tc>
        <w:tc>
          <w:tcPr>
            <w:tcW w:type="dxa" w:w="2088"/>
            <w:vAlign w:val="center"/>
            <w:tcMar>
              <w:top w:w="100" w:type="dxa"/>
              <w:start w:w="100" w:type="dxa"/>
              <w:bottom w:w="100" w:type="dxa"/>
              <w:end w:w="100" w:type="dxa"/>
            </w:tcMar>
          </w:tcPr>
          <w:p>
            <w:pPr>
              <w:spacing w:after="40"/>
            </w:pPr>
            <w:r>
              <w:rPr>
                <w:sz w:val="17"/>
              </w:rPr>
              <w:t>Prototype, evaluate, deploy, and monitor AI features</w:t>
            </w:r>
          </w:p>
        </w:tc>
        <w:tc>
          <w:tcPr>
            <w:tcW w:type="dxa" w:w="2232"/>
            <w:vAlign w:val="center"/>
            <w:tcMar>
              <w:top w:w="100" w:type="dxa"/>
              <w:start w:w="100" w:type="dxa"/>
              <w:bottom w:w="100" w:type="dxa"/>
              <w:end w:w="100" w:type="dxa"/>
            </w:tcMar>
          </w:tcPr>
          <w:p>
            <w:pPr>
              <w:spacing w:after="40"/>
            </w:pPr>
            <w:r>
              <w:rPr>
                <w:sz w:val="17"/>
              </w:rPr>
              <w:t>Pilot sprawl, unclear quality gates, cost/latency drift</w:t>
            </w:r>
          </w:p>
        </w:tc>
        <w:tc>
          <w:tcPr>
            <w:tcW w:type="dxa" w:w="3888"/>
            <w:vAlign w:val="center"/>
            <w:tcMar>
              <w:top w:w="100" w:type="dxa"/>
              <w:start w:w="100" w:type="dxa"/>
              <w:bottom w:w="100" w:type="dxa"/>
              <w:end w:w="100" w:type="dxa"/>
            </w:tcMar>
          </w:tcPr>
          <w:p>
            <w:pPr>
              <w:spacing w:after="40"/>
            </w:pPr>
            <w:r>
              <w:rPr>
                <w:sz w:val="17"/>
              </w:rPr>
              <w:t>Microsoft Foundry model selection, prompt flow, evaluations, content safety, tracing, and observability.</w:t>
            </w:r>
          </w:p>
        </w:tc>
      </w:tr>
      <w:tr>
        <w:tc>
          <w:tcPr>
            <w:tcW w:type="dxa" w:w="1944"/>
            <w:vAlign w:val="center"/>
            <w:tcMar>
              <w:top w:w="100" w:type="dxa"/>
              <w:start w:w="100" w:type="dxa"/>
              <w:bottom w:w="100" w:type="dxa"/>
              <w:end w:w="100" w:type="dxa"/>
            </w:tcMar>
          </w:tcPr>
          <w:p>
            <w:pPr>
              <w:spacing w:after="40"/>
            </w:pPr>
            <w:r>
              <w:rPr>
                <w:sz w:val="17"/>
              </w:rPr>
              <w:t>Cloud and AI economics</w:t>
            </w:r>
          </w:p>
        </w:tc>
        <w:tc>
          <w:tcPr>
            <w:tcW w:type="dxa" w:w="2088"/>
            <w:vAlign w:val="center"/>
            <w:tcMar>
              <w:top w:w="100" w:type="dxa"/>
              <w:start w:w="100" w:type="dxa"/>
              <w:bottom w:w="100" w:type="dxa"/>
              <w:end w:w="100" w:type="dxa"/>
            </w:tcMar>
          </w:tcPr>
          <w:p>
            <w:pPr>
              <w:spacing w:after="40"/>
            </w:pPr>
            <w:r>
              <w:rPr>
                <w:sz w:val="17"/>
              </w:rPr>
              <w:t>Optimize gross margin and runway</w:t>
            </w:r>
          </w:p>
        </w:tc>
        <w:tc>
          <w:tcPr>
            <w:tcW w:type="dxa" w:w="2232"/>
            <w:vAlign w:val="center"/>
            <w:tcMar>
              <w:top w:w="100" w:type="dxa"/>
              <w:start w:w="100" w:type="dxa"/>
              <w:bottom w:w="100" w:type="dxa"/>
              <w:end w:w="100" w:type="dxa"/>
            </w:tcMar>
          </w:tcPr>
          <w:p>
            <w:pPr>
              <w:spacing w:after="40"/>
            </w:pPr>
            <w:r>
              <w:rPr>
                <w:sz w:val="17"/>
              </w:rPr>
              <w:t>Unallocated spend, overprovisioning, uncontrolled tokens</w:t>
            </w:r>
          </w:p>
        </w:tc>
        <w:tc>
          <w:tcPr>
            <w:tcW w:type="dxa" w:w="3888"/>
            <w:vAlign w:val="center"/>
            <w:tcMar>
              <w:top w:w="100" w:type="dxa"/>
              <w:start w:w="100" w:type="dxa"/>
              <w:bottom w:w="100" w:type="dxa"/>
              <w:end w:w="100" w:type="dxa"/>
            </w:tcMar>
          </w:tcPr>
          <w:p>
            <w:pPr>
              <w:spacing w:after="40"/>
            </w:pPr>
            <w:r>
              <w:rPr>
                <w:sz w:val="17"/>
              </w:rPr>
              <w:t>FinOps tagging, budgets, unit-cost telemetry, model routing, caching, and capacity planning.</w:t>
            </w:r>
          </w:p>
        </w:tc>
      </w:tr>
      <w:tr>
        <w:tc>
          <w:tcPr>
            <w:tcW w:type="dxa" w:w="1944"/>
            <w:vAlign w:val="center"/>
            <w:tcMar>
              <w:top w:w="100" w:type="dxa"/>
              <w:start w:w="100" w:type="dxa"/>
              <w:bottom w:w="100" w:type="dxa"/>
              <w:end w:w="100" w:type="dxa"/>
            </w:tcMar>
          </w:tcPr>
          <w:p>
            <w:pPr>
              <w:spacing w:after="40"/>
            </w:pPr>
            <w:r>
              <w:rPr>
                <w:sz w:val="17"/>
              </w:rPr>
              <w:t>Trust, risk, and compliance</w:t>
            </w:r>
          </w:p>
        </w:tc>
        <w:tc>
          <w:tcPr>
            <w:tcW w:type="dxa" w:w="2088"/>
            <w:vAlign w:val="center"/>
            <w:tcMar>
              <w:top w:w="100" w:type="dxa"/>
              <w:start w:w="100" w:type="dxa"/>
              <w:bottom w:w="100" w:type="dxa"/>
              <w:end w:w="100" w:type="dxa"/>
            </w:tcMar>
          </w:tcPr>
          <w:p>
            <w:pPr>
              <w:spacing w:after="40"/>
            </w:pPr>
            <w:r>
              <w:rPr>
                <w:sz w:val="17"/>
              </w:rPr>
              <w:t>Protect users and satisfy obligations</w:t>
            </w:r>
          </w:p>
        </w:tc>
        <w:tc>
          <w:tcPr>
            <w:tcW w:type="dxa" w:w="2232"/>
            <w:vAlign w:val="center"/>
            <w:tcMar>
              <w:top w:w="100" w:type="dxa"/>
              <w:start w:w="100" w:type="dxa"/>
              <w:bottom w:w="100" w:type="dxa"/>
              <w:end w:w="100" w:type="dxa"/>
            </w:tcMar>
          </w:tcPr>
          <w:p>
            <w:pPr>
              <w:spacing w:after="40"/>
            </w:pPr>
            <w:r>
              <w:rPr>
                <w:sz w:val="17"/>
              </w:rPr>
              <w:t>Late-stage controls and weak evidence collection</w:t>
            </w:r>
          </w:p>
        </w:tc>
        <w:tc>
          <w:tcPr>
            <w:tcW w:type="dxa" w:w="3888"/>
            <w:vAlign w:val="center"/>
            <w:tcMar>
              <w:top w:w="100" w:type="dxa"/>
              <w:start w:w="100" w:type="dxa"/>
              <w:bottom w:w="100" w:type="dxa"/>
              <w:end w:w="100" w:type="dxa"/>
            </w:tcMar>
          </w:tcPr>
          <w:p>
            <w:pPr>
              <w:spacing w:after="40"/>
            </w:pPr>
            <w:r>
              <w:rPr>
                <w:sz w:val="17"/>
              </w:rPr>
              <w:t>Purview, Defender, Entra, audit trails, data lifecycle policy, and responsible AI controls.</w:t>
            </w:r>
          </w:p>
        </w:tc>
      </w:tr>
    </w:tbl>
    <w:p>
      <w:pPr>
        <w:spacing w:after="40"/>
      </w:pPr>
    </w:p>
    <w:p>
      <w:pPr>
        <w:pStyle w:val="Heading1"/>
      </w:pPr>
      <w:r>
        <w:t>Key Systems</w:t>
      </w:r>
    </w:p>
    <w:tbl>
      <w:tblPr>
        <w:tblStyle w:val="TableGrid"/>
        <w:tblW w:type="auto" w:w="0"/>
        <w:jc w:val="center"/>
        <w:tblLook w:firstColumn="1" w:firstRow="1" w:lastColumn="0" w:lastRow="0" w:noHBand="0" w:noVBand="1" w:val="04A0"/>
      </w:tblPr>
      <w:tblGrid>
        <w:gridCol w:w="2487"/>
        <w:gridCol w:w="2487"/>
        <w:gridCol w:w="2487"/>
        <w:gridCol w:w="2487"/>
      </w:tblGrid>
      <w:tr>
        <w:trPr>
          <w:tblHeader w:val="true"/>
        </w:trPr>
        <w:tc>
          <w:tcPr>
            <w:tcW w:type="dxa" w:w="2016"/>
            <w:shd w:fill="0F4761"/>
            <w:vAlign w:val="center"/>
            <w:tcMar>
              <w:top w:w="100" w:type="dxa"/>
              <w:start w:w="100" w:type="dxa"/>
              <w:bottom w:w="100" w:type="dxa"/>
              <w:end w:w="100" w:type="dxa"/>
            </w:tcMar>
          </w:tcPr>
          <w:p>
            <w:r>
              <w:rPr>
                <w:b/>
                <w:color w:val="FFFFFF"/>
                <w:sz w:val="18"/>
              </w:rPr>
              <w:t>System</w:t>
            </w:r>
          </w:p>
        </w:tc>
        <w:tc>
          <w:tcPr>
            <w:tcW w:type="dxa" w:w="2232"/>
            <w:shd w:fill="0F4761"/>
            <w:vAlign w:val="center"/>
            <w:tcMar>
              <w:top w:w="100" w:type="dxa"/>
              <w:start w:w="100" w:type="dxa"/>
              <w:bottom w:w="100" w:type="dxa"/>
              <w:end w:w="100" w:type="dxa"/>
            </w:tcMar>
          </w:tcPr>
          <w:p>
            <w:r>
              <w:rPr>
                <w:b/>
                <w:color w:val="FFFFFF"/>
                <w:sz w:val="18"/>
              </w:rPr>
              <w:t>System function</w:t>
            </w:r>
          </w:p>
        </w:tc>
        <w:tc>
          <w:tcPr>
            <w:tcW w:type="dxa" w:w="2232"/>
            <w:shd w:fill="0F4761"/>
            <w:vAlign w:val="center"/>
            <w:tcMar>
              <w:top w:w="100" w:type="dxa"/>
              <w:start w:w="100" w:type="dxa"/>
              <w:bottom w:w="100" w:type="dxa"/>
              <w:end w:w="100" w:type="dxa"/>
            </w:tcMar>
          </w:tcPr>
          <w:p>
            <w:r>
              <w:rPr>
                <w:b/>
                <w:color w:val="FFFFFF"/>
                <w:sz w:val="18"/>
              </w:rPr>
              <w:t>Typical pain points</w:t>
            </w:r>
          </w:p>
        </w:tc>
        <w:tc>
          <w:tcPr>
            <w:tcW w:type="dxa" w:w="3744"/>
            <w:shd w:fill="0F4761"/>
            <w:vAlign w:val="center"/>
            <w:tcMar>
              <w:top w:w="100" w:type="dxa"/>
              <w:start w:w="100" w:type="dxa"/>
              <w:bottom w:w="100" w:type="dxa"/>
              <w:end w:w="100" w:type="dxa"/>
            </w:tcMar>
          </w:tcPr>
          <w:p>
            <w:r>
              <w:rPr>
                <w:b/>
                <w:color w:val="FFFFFF"/>
                <w:sz w:val="18"/>
              </w:rPr>
              <w:t>AI / Microsoft role</w:t>
            </w:r>
          </w:p>
        </w:tc>
      </w:tr>
      <w:tr>
        <w:tc>
          <w:tcPr>
            <w:tcW w:type="dxa" w:w="2016"/>
            <w:vAlign w:val="center"/>
            <w:tcMar>
              <w:top w:w="100" w:type="dxa"/>
              <w:start w:w="100" w:type="dxa"/>
              <w:bottom w:w="100" w:type="dxa"/>
              <w:end w:w="100" w:type="dxa"/>
            </w:tcMar>
          </w:tcPr>
          <w:p>
            <w:pPr>
              <w:spacing w:after="40"/>
            </w:pPr>
            <w:r>
              <w:rPr>
                <w:sz w:val="17"/>
              </w:rPr>
              <w:t>Digital product platform</w:t>
            </w:r>
          </w:p>
        </w:tc>
        <w:tc>
          <w:tcPr>
            <w:tcW w:type="dxa" w:w="2232"/>
            <w:vAlign w:val="center"/>
            <w:tcMar>
              <w:top w:w="100" w:type="dxa"/>
              <w:start w:w="100" w:type="dxa"/>
              <w:bottom w:w="100" w:type="dxa"/>
              <w:end w:w="100" w:type="dxa"/>
            </w:tcMar>
          </w:tcPr>
          <w:p>
            <w:pPr>
              <w:spacing w:after="40"/>
            </w:pPr>
            <w:r>
              <w:rPr>
                <w:sz w:val="17"/>
              </w:rPr>
              <w:t>Web/mobile APIs, microservices, event flows</w:t>
            </w:r>
          </w:p>
        </w:tc>
        <w:tc>
          <w:tcPr>
            <w:tcW w:type="dxa" w:w="2232"/>
            <w:vAlign w:val="center"/>
            <w:tcMar>
              <w:top w:w="100" w:type="dxa"/>
              <w:start w:w="100" w:type="dxa"/>
              <w:bottom w:w="100" w:type="dxa"/>
              <w:end w:w="100" w:type="dxa"/>
            </w:tcMar>
          </w:tcPr>
          <w:p>
            <w:pPr>
              <w:spacing w:after="40"/>
            </w:pPr>
            <w:r>
              <w:rPr>
                <w:sz w:val="17"/>
              </w:rPr>
              <w:t>Latency, release coupling, peak demand</w:t>
            </w:r>
          </w:p>
        </w:tc>
        <w:tc>
          <w:tcPr>
            <w:tcW w:type="dxa" w:w="3744"/>
            <w:vAlign w:val="center"/>
            <w:tcMar>
              <w:top w:w="100" w:type="dxa"/>
              <w:start w:w="100" w:type="dxa"/>
              <w:bottom w:w="100" w:type="dxa"/>
              <w:end w:w="100" w:type="dxa"/>
            </w:tcMar>
          </w:tcPr>
          <w:p>
            <w:pPr>
              <w:spacing w:after="40"/>
            </w:pPr>
            <w:r>
              <w:rPr>
                <w:sz w:val="17"/>
              </w:rPr>
              <w:t>Azure Kubernetes Service, Container Apps, API Management, Front Door, managed databases.</w:t>
            </w:r>
          </w:p>
        </w:tc>
      </w:tr>
      <w:tr>
        <w:tc>
          <w:tcPr>
            <w:tcW w:type="dxa" w:w="2016"/>
            <w:vAlign w:val="center"/>
            <w:tcMar>
              <w:top w:w="100" w:type="dxa"/>
              <w:start w:w="100" w:type="dxa"/>
              <w:bottom w:w="100" w:type="dxa"/>
              <w:end w:w="100" w:type="dxa"/>
            </w:tcMar>
          </w:tcPr>
          <w:p>
            <w:pPr>
              <w:spacing w:after="40"/>
            </w:pPr>
            <w:r>
              <w:rPr>
                <w:sz w:val="17"/>
              </w:rPr>
              <w:t>Developer platform</w:t>
            </w:r>
          </w:p>
        </w:tc>
        <w:tc>
          <w:tcPr>
            <w:tcW w:type="dxa" w:w="2232"/>
            <w:vAlign w:val="center"/>
            <w:tcMar>
              <w:top w:w="100" w:type="dxa"/>
              <w:start w:w="100" w:type="dxa"/>
              <w:bottom w:w="100" w:type="dxa"/>
              <w:end w:w="100" w:type="dxa"/>
            </w:tcMar>
          </w:tcPr>
          <w:p>
            <w:pPr>
              <w:spacing w:after="40"/>
            </w:pPr>
            <w:r>
              <w:rPr>
                <w:sz w:val="17"/>
              </w:rPr>
              <w:t>Source, CI/CD, environments, developer portal</w:t>
            </w:r>
          </w:p>
        </w:tc>
        <w:tc>
          <w:tcPr>
            <w:tcW w:type="dxa" w:w="2232"/>
            <w:vAlign w:val="center"/>
            <w:tcMar>
              <w:top w:w="100" w:type="dxa"/>
              <w:start w:w="100" w:type="dxa"/>
              <w:bottom w:w="100" w:type="dxa"/>
              <w:end w:w="100" w:type="dxa"/>
            </w:tcMar>
          </w:tcPr>
          <w:p>
            <w:pPr>
              <w:spacing w:after="40"/>
            </w:pPr>
            <w:r>
              <w:rPr>
                <w:sz w:val="17"/>
              </w:rPr>
              <w:t>Tool fragmentation, inconsistent controls</w:t>
            </w:r>
          </w:p>
        </w:tc>
        <w:tc>
          <w:tcPr>
            <w:tcW w:type="dxa" w:w="3744"/>
            <w:vAlign w:val="center"/>
            <w:tcMar>
              <w:top w:w="100" w:type="dxa"/>
              <w:start w:w="100" w:type="dxa"/>
              <w:bottom w:w="100" w:type="dxa"/>
              <w:end w:w="100" w:type="dxa"/>
            </w:tcMar>
          </w:tcPr>
          <w:p>
            <w:pPr>
              <w:spacing w:after="40"/>
            </w:pPr>
            <w:r>
              <w:rPr>
                <w:sz w:val="17"/>
              </w:rPr>
              <w:t>GitHub Enterprise, Actions, Copilot, Advanced Security, reusable workflows.</w:t>
            </w:r>
          </w:p>
        </w:tc>
      </w:tr>
      <w:tr>
        <w:tc>
          <w:tcPr>
            <w:tcW w:type="dxa" w:w="2016"/>
            <w:vAlign w:val="center"/>
            <w:tcMar>
              <w:top w:w="100" w:type="dxa"/>
              <w:start w:w="100" w:type="dxa"/>
              <w:bottom w:w="100" w:type="dxa"/>
              <w:end w:w="100" w:type="dxa"/>
            </w:tcMar>
          </w:tcPr>
          <w:p>
            <w:pPr>
              <w:spacing w:after="40"/>
            </w:pPr>
            <w:r>
              <w:rPr>
                <w:sz w:val="17"/>
              </w:rPr>
              <w:t>Data and analytics platform</w:t>
            </w:r>
          </w:p>
        </w:tc>
        <w:tc>
          <w:tcPr>
            <w:tcW w:type="dxa" w:w="2232"/>
            <w:vAlign w:val="center"/>
            <w:tcMar>
              <w:top w:w="100" w:type="dxa"/>
              <w:start w:w="100" w:type="dxa"/>
              <w:bottom w:w="100" w:type="dxa"/>
              <w:end w:w="100" w:type="dxa"/>
            </w:tcMar>
          </w:tcPr>
          <w:p>
            <w:pPr>
              <w:spacing w:after="40"/>
            </w:pPr>
            <w:r>
              <w:rPr>
                <w:sz w:val="17"/>
              </w:rPr>
              <w:t>Lakehouse, streaming, BI, semantic models</w:t>
            </w:r>
          </w:p>
        </w:tc>
        <w:tc>
          <w:tcPr>
            <w:tcW w:type="dxa" w:w="2232"/>
            <w:vAlign w:val="center"/>
            <w:tcMar>
              <w:top w:w="100" w:type="dxa"/>
              <w:start w:w="100" w:type="dxa"/>
              <w:bottom w:w="100" w:type="dxa"/>
              <w:end w:w="100" w:type="dxa"/>
            </w:tcMar>
          </w:tcPr>
          <w:p>
            <w:pPr>
              <w:spacing w:after="40"/>
            </w:pPr>
            <w:r>
              <w:rPr>
                <w:sz w:val="17"/>
              </w:rPr>
              <w:t>Silos, duplicate data, delayed insight</w:t>
            </w:r>
          </w:p>
        </w:tc>
        <w:tc>
          <w:tcPr>
            <w:tcW w:type="dxa" w:w="3744"/>
            <w:vAlign w:val="center"/>
            <w:tcMar>
              <w:top w:w="100" w:type="dxa"/>
              <w:start w:w="100" w:type="dxa"/>
              <w:bottom w:w="100" w:type="dxa"/>
              <w:end w:w="100" w:type="dxa"/>
            </w:tcMar>
          </w:tcPr>
          <w:p>
            <w:pPr>
              <w:spacing w:after="40"/>
            </w:pPr>
            <w:r>
              <w:rPr>
                <w:sz w:val="17"/>
              </w:rPr>
              <w:t>Microsoft Fabric, OneLake, Real-Time Intelligence, Power BI, Purview.</w:t>
            </w:r>
          </w:p>
        </w:tc>
      </w:tr>
      <w:tr>
        <w:tc>
          <w:tcPr>
            <w:tcW w:type="dxa" w:w="2016"/>
            <w:vAlign w:val="center"/>
            <w:tcMar>
              <w:top w:w="100" w:type="dxa"/>
              <w:start w:w="100" w:type="dxa"/>
              <w:bottom w:w="100" w:type="dxa"/>
              <w:end w:w="100" w:type="dxa"/>
            </w:tcMar>
          </w:tcPr>
          <w:p>
            <w:pPr>
              <w:spacing w:after="40"/>
            </w:pPr>
            <w:r>
              <w:rPr>
                <w:sz w:val="17"/>
              </w:rPr>
              <w:t>AI application platform</w:t>
            </w:r>
          </w:p>
        </w:tc>
        <w:tc>
          <w:tcPr>
            <w:tcW w:type="dxa" w:w="2232"/>
            <w:vAlign w:val="center"/>
            <w:tcMar>
              <w:top w:w="100" w:type="dxa"/>
              <w:start w:w="100" w:type="dxa"/>
              <w:bottom w:w="100" w:type="dxa"/>
              <w:end w:w="100" w:type="dxa"/>
            </w:tcMar>
          </w:tcPr>
          <w:p>
            <w:pPr>
              <w:spacing w:after="40"/>
            </w:pPr>
            <w:r>
              <w:rPr>
                <w:sz w:val="17"/>
              </w:rPr>
              <w:t>Models, orchestration, RAG, agents, evaluations</w:t>
            </w:r>
          </w:p>
        </w:tc>
        <w:tc>
          <w:tcPr>
            <w:tcW w:type="dxa" w:w="2232"/>
            <w:vAlign w:val="center"/>
            <w:tcMar>
              <w:top w:w="100" w:type="dxa"/>
              <w:start w:w="100" w:type="dxa"/>
              <w:bottom w:w="100" w:type="dxa"/>
              <w:end w:w="100" w:type="dxa"/>
            </w:tcMar>
          </w:tcPr>
          <w:p>
            <w:pPr>
              <w:spacing w:after="40"/>
            </w:pPr>
            <w:r>
              <w:rPr>
                <w:sz w:val="17"/>
              </w:rPr>
              <w:t>Model sprawl, hallucination, opaque quality</w:t>
            </w:r>
          </w:p>
        </w:tc>
        <w:tc>
          <w:tcPr>
            <w:tcW w:type="dxa" w:w="3744"/>
            <w:vAlign w:val="center"/>
            <w:tcMar>
              <w:top w:w="100" w:type="dxa"/>
              <w:start w:w="100" w:type="dxa"/>
              <w:bottom w:w="100" w:type="dxa"/>
              <w:end w:w="100" w:type="dxa"/>
            </w:tcMar>
          </w:tcPr>
          <w:p>
            <w:pPr>
              <w:spacing w:after="40"/>
            </w:pPr>
            <w:r>
              <w:rPr>
                <w:sz w:val="17"/>
              </w:rPr>
              <w:t>Microsoft Foundry, Azure AI Search, model catalog, evaluations, tracing, content safety.</w:t>
            </w:r>
          </w:p>
        </w:tc>
      </w:tr>
      <w:tr>
        <w:tc>
          <w:tcPr>
            <w:tcW w:type="dxa" w:w="2016"/>
            <w:vAlign w:val="center"/>
            <w:tcMar>
              <w:top w:w="100" w:type="dxa"/>
              <w:start w:w="100" w:type="dxa"/>
              <w:bottom w:w="100" w:type="dxa"/>
              <w:end w:w="100" w:type="dxa"/>
            </w:tcMar>
          </w:tcPr>
          <w:p>
            <w:pPr>
              <w:spacing w:after="40"/>
            </w:pPr>
            <w:r>
              <w:rPr>
                <w:sz w:val="17"/>
              </w:rPr>
              <w:t>Identity and security fabric</w:t>
            </w:r>
          </w:p>
        </w:tc>
        <w:tc>
          <w:tcPr>
            <w:tcW w:type="dxa" w:w="2232"/>
            <w:vAlign w:val="center"/>
            <w:tcMar>
              <w:top w:w="100" w:type="dxa"/>
              <w:start w:w="100" w:type="dxa"/>
              <w:bottom w:w="100" w:type="dxa"/>
              <w:end w:w="100" w:type="dxa"/>
            </w:tcMar>
          </w:tcPr>
          <w:p>
            <w:pPr>
              <w:spacing w:after="40"/>
            </w:pPr>
            <w:r>
              <w:rPr>
                <w:sz w:val="17"/>
              </w:rPr>
              <w:t>Workforce/customer identity, posture, detection</w:t>
            </w:r>
          </w:p>
        </w:tc>
        <w:tc>
          <w:tcPr>
            <w:tcW w:type="dxa" w:w="2232"/>
            <w:vAlign w:val="center"/>
            <w:tcMar>
              <w:top w:w="100" w:type="dxa"/>
              <w:start w:w="100" w:type="dxa"/>
              <w:bottom w:w="100" w:type="dxa"/>
              <w:end w:w="100" w:type="dxa"/>
            </w:tcMar>
          </w:tcPr>
          <w:p>
            <w:pPr>
              <w:spacing w:after="40"/>
            </w:pPr>
            <w:r>
              <w:rPr>
                <w:sz w:val="17"/>
              </w:rPr>
              <w:t>Privilege sprawl, account abuse, alert overload</w:t>
            </w:r>
          </w:p>
        </w:tc>
        <w:tc>
          <w:tcPr>
            <w:tcW w:type="dxa" w:w="3744"/>
            <w:vAlign w:val="center"/>
            <w:tcMar>
              <w:top w:w="100" w:type="dxa"/>
              <w:start w:w="100" w:type="dxa"/>
              <w:bottom w:w="100" w:type="dxa"/>
              <w:end w:w="100" w:type="dxa"/>
            </w:tcMar>
          </w:tcPr>
          <w:p>
            <w:pPr>
              <w:spacing w:after="40"/>
            </w:pPr>
            <w:r>
              <w:rPr>
                <w:sz w:val="17"/>
              </w:rPr>
              <w:t>Microsoft Entra, Defender XDR, Sentinel, Defender for Cloud, Security Copilot.</w:t>
            </w:r>
          </w:p>
        </w:tc>
      </w:tr>
      <w:tr>
        <w:tc>
          <w:tcPr>
            <w:tcW w:type="dxa" w:w="2016"/>
            <w:vAlign w:val="center"/>
            <w:tcMar>
              <w:top w:w="100" w:type="dxa"/>
              <w:start w:w="100" w:type="dxa"/>
              <w:bottom w:w="100" w:type="dxa"/>
              <w:end w:w="100" w:type="dxa"/>
            </w:tcMar>
          </w:tcPr>
          <w:p>
            <w:pPr>
              <w:spacing w:after="40"/>
            </w:pPr>
            <w:r>
              <w:rPr>
                <w:sz w:val="17"/>
              </w:rPr>
              <w:t>Customer engagement stack</w:t>
            </w:r>
          </w:p>
        </w:tc>
        <w:tc>
          <w:tcPr>
            <w:tcW w:type="dxa" w:w="2232"/>
            <w:vAlign w:val="center"/>
            <w:tcMar>
              <w:top w:w="100" w:type="dxa"/>
              <w:start w:w="100" w:type="dxa"/>
              <w:bottom w:w="100" w:type="dxa"/>
              <w:end w:w="100" w:type="dxa"/>
            </w:tcMar>
          </w:tcPr>
          <w:p>
            <w:pPr>
              <w:spacing w:after="40"/>
            </w:pPr>
            <w:r>
              <w:rPr>
                <w:sz w:val="17"/>
              </w:rPr>
              <w:t>CRM, support, marketing, product telemetry</w:t>
            </w:r>
          </w:p>
        </w:tc>
        <w:tc>
          <w:tcPr>
            <w:tcW w:type="dxa" w:w="2232"/>
            <w:vAlign w:val="center"/>
            <w:tcMar>
              <w:top w:w="100" w:type="dxa"/>
              <w:start w:w="100" w:type="dxa"/>
              <w:bottom w:w="100" w:type="dxa"/>
              <w:end w:w="100" w:type="dxa"/>
            </w:tcMar>
          </w:tcPr>
          <w:p>
            <w:pPr>
              <w:spacing w:after="40"/>
            </w:pPr>
            <w:r>
              <w:rPr>
                <w:sz w:val="17"/>
              </w:rPr>
              <w:t>360-degree view gaps, manual handling</w:t>
            </w:r>
          </w:p>
        </w:tc>
        <w:tc>
          <w:tcPr>
            <w:tcW w:type="dxa" w:w="3744"/>
            <w:vAlign w:val="center"/>
            <w:tcMar>
              <w:top w:w="100" w:type="dxa"/>
              <w:start w:w="100" w:type="dxa"/>
              <w:bottom w:w="100" w:type="dxa"/>
              <w:end w:w="100" w:type="dxa"/>
            </w:tcMar>
          </w:tcPr>
          <w:p>
            <w:pPr>
              <w:spacing w:after="40"/>
            </w:pPr>
            <w:r>
              <w:rPr>
                <w:sz w:val="17"/>
              </w:rPr>
              <w:t>Dynamics 365, Copilot Studio, Fabric, Azure Communication Services.</w:t>
            </w:r>
          </w:p>
        </w:tc>
      </w:tr>
    </w:tbl>
    <w:p>
      <w:pPr>
        <w:spacing w:after="40"/>
      </w:pPr>
    </w:p>
    <w:p>
      <w:pPr>
        <w:pStyle w:val="Heading1"/>
      </w:pPr>
      <w:r>
        <w:t>Important Roles</w:t>
      </w:r>
    </w:p>
    <w:tbl>
      <w:tblPr>
        <w:tblStyle w:val="TableGrid"/>
        <w:tblW w:type="auto" w:w="0"/>
        <w:jc w:val="center"/>
        <w:tblLook w:firstColumn="1" w:firstRow="1" w:lastColumn="0" w:lastRow="0" w:noHBand="0" w:noVBand="1" w:val="04A0"/>
      </w:tblPr>
      <w:tblGrid>
        <w:gridCol w:w="2487"/>
        <w:gridCol w:w="2487"/>
        <w:gridCol w:w="2487"/>
        <w:gridCol w:w="2487"/>
      </w:tblGrid>
      <w:tr>
        <w:trPr>
          <w:tblHeader w:val="true"/>
        </w:trPr>
        <w:tc>
          <w:tcPr>
            <w:tcW w:type="dxa" w:w="1944"/>
            <w:shd w:fill="0F4761"/>
            <w:vAlign w:val="center"/>
            <w:tcMar>
              <w:top w:w="100" w:type="dxa"/>
              <w:start w:w="100" w:type="dxa"/>
              <w:bottom w:w="100" w:type="dxa"/>
              <w:end w:w="100" w:type="dxa"/>
            </w:tcMar>
          </w:tcPr>
          <w:p>
            <w:r>
              <w:rPr>
                <w:b/>
                <w:color w:val="FFFFFF"/>
                <w:sz w:val="18"/>
              </w:rPr>
              <w:t>Role</w:t>
            </w:r>
          </w:p>
        </w:tc>
        <w:tc>
          <w:tcPr>
            <w:tcW w:type="dxa" w:w="2376"/>
            <w:shd w:fill="0F4761"/>
            <w:vAlign w:val="center"/>
            <w:tcMar>
              <w:top w:w="100" w:type="dxa"/>
              <w:start w:w="100" w:type="dxa"/>
              <w:bottom w:w="100" w:type="dxa"/>
              <w:end w:w="100" w:type="dxa"/>
            </w:tcMar>
          </w:tcPr>
          <w:p>
            <w:r>
              <w:rPr>
                <w:b/>
                <w:color w:val="FFFFFF"/>
                <w:sz w:val="18"/>
              </w:rPr>
              <w:t>Daily focus</w:t>
            </w:r>
          </w:p>
        </w:tc>
        <w:tc>
          <w:tcPr>
            <w:tcW w:type="dxa" w:w="2376"/>
            <w:shd w:fill="0F4761"/>
            <w:vAlign w:val="center"/>
            <w:tcMar>
              <w:top w:w="100" w:type="dxa"/>
              <w:start w:w="100" w:type="dxa"/>
              <w:bottom w:w="100" w:type="dxa"/>
              <w:end w:w="100" w:type="dxa"/>
            </w:tcMar>
          </w:tcPr>
          <w:p>
            <w:r>
              <w:rPr>
                <w:b/>
                <w:color w:val="FFFFFF"/>
                <w:sz w:val="18"/>
              </w:rPr>
              <w:t>Main pain points</w:t>
            </w:r>
          </w:p>
        </w:tc>
        <w:tc>
          <w:tcPr>
            <w:tcW w:type="dxa" w:w="3528"/>
            <w:shd w:fill="0F4761"/>
            <w:vAlign w:val="center"/>
            <w:tcMar>
              <w:top w:w="100" w:type="dxa"/>
              <w:start w:w="100" w:type="dxa"/>
              <w:bottom w:w="100" w:type="dxa"/>
              <w:end w:w="100" w:type="dxa"/>
            </w:tcMar>
          </w:tcPr>
          <w:p>
            <w:r>
              <w:rPr>
                <w:b/>
                <w:color w:val="FFFFFF"/>
                <w:sz w:val="18"/>
              </w:rPr>
              <w:t>AI role</w:t>
            </w:r>
          </w:p>
        </w:tc>
      </w:tr>
      <w:tr>
        <w:tc>
          <w:tcPr>
            <w:tcW w:type="dxa" w:w="1944"/>
            <w:vAlign w:val="center"/>
            <w:tcMar>
              <w:top w:w="100" w:type="dxa"/>
              <w:start w:w="100" w:type="dxa"/>
              <w:bottom w:w="100" w:type="dxa"/>
              <w:end w:w="100" w:type="dxa"/>
            </w:tcMar>
          </w:tcPr>
          <w:p>
            <w:pPr>
              <w:spacing w:after="40"/>
            </w:pPr>
            <w:r>
              <w:rPr>
                <w:sz w:val="17"/>
              </w:rPr>
              <w:t>Founder / CEO</w:t>
            </w:r>
          </w:p>
        </w:tc>
        <w:tc>
          <w:tcPr>
            <w:tcW w:type="dxa" w:w="2376"/>
            <w:vAlign w:val="center"/>
            <w:tcMar>
              <w:top w:w="100" w:type="dxa"/>
              <w:start w:w="100" w:type="dxa"/>
              <w:bottom w:w="100" w:type="dxa"/>
              <w:end w:w="100" w:type="dxa"/>
            </w:tcMar>
          </w:tcPr>
          <w:p>
            <w:pPr>
              <w:spacing w:after="40"/>
            </w:pPr>
            <w:r>
              <w:rPr>
                <w:sz w:val="17"/>
              </w:rPr>
              <w:t>Growth, runway, category leadership</w:t>
            </w:r>
          </w:p>
        </w:tc>
        <w:tc>
          <w:tcPr>
            <w:tcW w:type="dxa" w:w="2376"/>
            <w:vAlign w:val="center"/>
            <w:tcMar>
              <w:top w:w="100" w:type="dxa"/>
              <w:start w:w="100" w:type="dxa"/>
              <w:bottom w:w="100" w:type="dxa"/>
              <w:end w:w="100" w:type="dxa"/>
            </w:tcMar>
          </w:tcPr>
          <w:p>
            <w:pPr>
              <w:spacing w:after="40"/>
            </w:pPr>
            <w:r>
              <w:rPr>
                <w:sz w:val="17"/>
              </w:rPr>
              <w:t>Scaling without losing speed or trust</w:t>
            </w:r>
          </w:p>
        </w:tc>
        <w:tc>
          <w:tcPr>
            <w:tcW w:type="dxa" w:w="3528"/>
            <w:vAlign w:val="center"/>
            <w:tcMar>
              <w:top w:w="100" w:type="dxa"/>
              <w:start w:w="100" w:type="dxa"/>
              <w:bottom w:w="100" w:type="dxa"/>
              <w:end w:w="100" w:type="dxa"/>
            </w:tcMar>
          </w:tcPr>
          <w:p>
            <w:pPr>
              <w:spacing w:after="40"/>
            </w:pPr>
            <w:r>
              <w:rPr>
                <w:sz w:val="17"/>
              </w:rPr>
              <w:t>Portfolio of AI bets tied to enterprise value and adoption.</w:t>
            </w:r>
          </w:p>
        </w:tc>
      </w:tr>
      <w:tr>
        <w:tc>
          <w:tcPr>
            <w:tcW w:type="dxa" w:w="1944"/>
            <w:vAlign w:val="center"/>
            <w:tcMar>
              <w:top w:w="100" w:type="dxa"/>
              <w:start w:w="100" w:type="dxa"/>
              <w:bottom w:w="100" w:type="dxa"/>
              <w:end w:w="100" w:type="dxa"/>
            </w:tcMar>
          </w:tcPr>
          <w:p>
            <w:pPr>
              <w:spacing w:after="40"/>
            </w:pPr>
            <w:r>
              <w:rPr>
                <w:sz w:val="17"/>
              </w:rPr>
              <w:t>CTO / VP Engineering</w:t>
            </w:r>
          </w:p>
        </w:tc>
        <w:tc>
          <w:tcPr>
            <w:tcW w:type="dxa" w:w="2376"/>
            <w:vAlign w:val="center"/>
            <w:tcMar>
              <w:top w:w="100" w:type="dxa"/>
              <w:start w:w="100" w:type="dxa"/>
              <w:bottom w:w="100" w:type="dxa"/>
              <w:end w:w="100" w:type="dxa"/>
            </w:tcMar>
          </w:tcPr>
          <w:p>
            <w:pPr>
              <w:spacing w:after="40"/>
            </w:pPr>
            <w:r>
              <w:rPr>
                <w:sz w:val="17"/>
              </w:rPr>
              <w:t>Architecture, delivery pace, reliability</w:t>
            </w:r>
          </w:p>
        </w:tc>
        <w:tc>
          <w:tcPr>
            <w:tcW w:type="dxa" w:w="2376"/>
            <w:vAlign w:val="center"/>
            <w:tcMar>
              <w:top w:w="100" w:type="dxa"/>
              <w:start w:w="100" w:type="dxa"/>
              <w:bottom w:w="100" w:type="dxa"/>
              <w:end w:w="100" w:type="dxa"/>
            </w:tcMar>
          </w:tcPr>
          <w:p>
            <w:pPr>
              <w:spacing w:after="40"/>
            </w:pPr>
            <w:r>
              <w:rPr>
                <w:sz w:val="17"/>
              </w:rPr>
              <w:t>Platform fragmentation, talent leverage</w:t>
            </w:r>
          </w:p>
        </w:tc>
        <w:tc>
          <w:tcPr>
            <w:tcW w:type="dxa" w:w="3528"/>
            <w:vAlign w:val="center"/>
            <w:tcMar>
              <w:top w:w="100" w:type="dxa"/>
              <w:start w:w="100" w:type="dxa"/>
              <w:bottom w:w="100" w:type="dxa"/>
              <w:end w:w="100" w:type="dxa"/>
            </w:tcMar>
          </w:tcPr>
          <w:p>
            <w:pPr>
              <w:spacing w:after="40"/>
            </w:pPr>
            <w:r>
              <w:rPr>
                <w:sz w:val="17"/>
              </w:rPr>
              <w:t>AI-assisted SDLC, platform engineering, architecture modernization.</w:t>
            </w:r>
          </w:p>
        </w:tc>
      </w:tr>
      <w:tr>
        <w:tc>
          <w:tcPr>
            <w:tcW w:type="dxa" w:w="1944"/>
            <w:vAlign w:val="center"/>
            <w:tcMar>
              <w:top w:w="100" w:type="dxa"/>
              <w:start w:w="100" w:type="dxa"/>
              <w:bottom w:w="100" w:type="dxa"/>
              <w:end w:w="100" w:type="dxa"/>
            </w:tcMar>
          </w:tcPr>
          <w:p>
            <w:pPr>
              <w:spacing w:after="40"/>
            </w:pPr>
            <w:r>
              <w:rPr>
                <w:sz w:val="17"/>
              </w:rPr>
              <w:t>CPO / Growth Leader</w:t>
            </w:r>
          </w:p>
        </w:tc>
        <w:tc>
          <w:tcPr>
            <w:tcW w:type="dxa" w:w="2376"/>
            <w:vAlign w:val="center"/>
            <w:tcMar>
              <w:top w:w="100" w:type="dxa"/>
              <w:start w:w="100" w:type="dxa"/>
              <w:bottom w:w="100" w:type="dxa"/>
              <w:end w:w="100" w:type="dxa"/>
            </w:tcMar>
          </w:tcPr>
          <w:p>
            <w:pPr>
              <w:spacing w:after="40"/>
            </w:pPr>
            <w:r>
              <w:rPr>
                <w:sz w:val="17"/>
              </w:rPr>
              <w:t>Product-market fit, activation, retention</w:t>
            </w:r>
          </w:p>
        </w:tc>
        <w:tc>
          <w:tcPr>
            <w:tcW w:type="dxa" w:w="2376"/>
            <w:vAlign w:val="center"/>
            <w:tcMar>
              <w:top w:w="100" w:type="dxa"/>
              <w:start w:w="100" w:type="dxa"/>
              <w:bottom w:w="100" w:type="dxa"/>
              <w:end w:w="100" w:type="dxa"/>
            </w:tcMar>
          </w:tcPr>
          <w:p>
            <w:pPr>
              <w:spacing w:after="40"/>
            </w:pPr>
            <w:r>
              <w:rPr>
                <w:sz w:val="17"/>
              </w:rPr>
              <w:t>Weak differentiation, experimentation latency</w:t>
            </w:r>
          </w:p>
        </w:tc>
        <w:tc>
          <w:tcPr>
            <w:tcW w:type="dxa" w:w="3528"/>
            <w:vAlign w:val="center"/>
            <w:tcMar>
              <w:top w:w="100" w:type="dxa"/>
              <w:start w:w="100" w:type="dxa"/>
              <w:bottom w:w="100" w:type="dxa"/>
              <w:end w:w="100" w:type="dxa"/>
            </w:tcMar>
          </w:tcPr>
          <w:p>
            <w:pPr>
              <w:spacing w:after="40"/>
            </w:pPr>
            <w:r>
              <w:rPr>
                <w:sz w:val="17"/>
              </w:rPr>
              <w:t>Personalized experiences, insight copilots, rapid prototyping.</w:t>
            </w:r>
          </w:p>
        </w:tc>
      </w:tr>
      <w:tr>
        <w:tc>
          <w:tcPr>
            <w:tcW w:type="dxa" w:w="1944"/>
            <w:vAlign w:val="center"/>
            <w:tcMar>
              <w:top w:w="100" w:type="dxa"/>
              <w:start w:w="100" w:type="dxa"/>
              <w:bottom w:w="100" w:type="dxa"/>
              <w:end w:w="100" w:type="dxa"/>
            </w:tcMar>
          </w:tcPr>
          <w:p>
            <w:pPr>
              <w:spacing w:after="40"/>
            </w:pPr>
            <w:r>
              <w:rPr>
                <w:sz w:val="17"/>
              </w:rPr>
              <w:t>CISO / Risk Leader</w:t>
            </w:r>
          </w:p>
        </w:tc>
        <w:tc>
          <w:tcPr>
            <w:tcW w:type="dxa" w:w="2376"/>
            <w:vAlign w:val="center"/>
            <w:tcMar>
              <w:top w:w="100" w:type="dxa"/>
              <w:start w:w="100" w:type="dxa"/>
              <w:bottom w:w="100" w:type="dxa"/>
              <w:end w:w="100" w:type="dxa"/>
            </w:tcMar>
          </w:tcPr>
          <w:p>
            <w:pPr>
              <w:spacing w:after="40"/>
            </w:pPr>
            <w:r>
              <w:rPr>
                <w:sz w:val="17"/>
              </w:rPr>
              <w:t>Security posture, compliance, incident readiness</w:t>
            </w:r>
          </w:p>
        </w:tc>
        <w:tc>
          <w:tcPr>
            <w:tcW w:type="dxa" w:w="2376"/>
            <w:vAlign w:val="center"/>
            <w:tcMar>
              <w:top w:w="100" w:type="dxa"/>
              <w:start w:w="100" w:type="dxa"/>
              <w:bottom w:w="100" w:type="dxa"/>
              <w:end w:w="100" w:type="dxa"/>
            </w:tcMar>
          </w:tcPr>
          <w:p>
            <w:pPr>
              <w:spacing w:after="40"/>
            </w:pPr>
            <w:r>
              <w:rPr>
                <w:sz w:val="17"/>
              </w:rPr>
              <w:t>Expanding attack surface and evidence burden</w:t>
            </w:r>
          </w:p>
        </w:tc>
        <w:tc>
          <w:tcPr>
            <w:tcW w:type="dxa" w:w="3528"/>
            <w:vAlign w:val="center"/>
            <w:tcMar>
              <w:top w:w="100" w:type="dxa"/>
              <w:start w:w="100" w:type="dxa"/>
              <w:bottom w:w="100" w:type="dxa"/>
              <w:end w:w="100" w:type="dxa"/>
            </w:tcMar>
          </w:tcPr>
          <w:p>
            <w:pPr>
              <w:spacing w:after="40"/>
            </w:pPr>
            <w:r>
              <w:rPr>
                <w:sz w:val="17"/>
              </w:rPr>
              <w:t>Zero Trust, unified detection, data security, AI red teaming.</w:t>
            </w:r>
          </w:p>
        </w:tc>
      </w:tr>
      <w:tr>
        <w:tc>
          <w:tcPr>
            <w:tcW w:type="dxa" w:w="1944"/>
            <w:vAlign w:val="center"/>
            <w:tcMar>
              <w:top w:w="100" w:type="dxa"/>
              <w:start w:w="100" w:type="dxa"/>
              <w:bottom w:w="100" w:type="dxa"/>
              <w:end w:w="100" w:type="dxa"/>
            </w:tcMar>
          </w:tcPr>
          <w:p>
            <w:pPr>
              <w:spacing w:after="40"/>
            </w:pPr>
            <w:r>
              <w:rPr>
                <w:sz w:val="17"/>
              </w:rPr>
              <w:t>Chief Data / AI Officer</w:t>
            </w:r>
          </w:p>
        </w:tc>
        <w:tc>
          <w:tcPr>
            <w:tcW w:type="dxa" w:w="2376"/>
            <w:vAlign w:val="center"/>
            <w:tcMar>
              <w:top w:w="100" w:type="dxa"/>
              <w:start w:w="100" w:type="dxa"/>
              <w:bottom w:w="100" w:type="dxa"/>
              <w:end w:w="100" w:type="dxa"/>
            </w:tcMar>
          </w:tcPr>
          <w:p>
            <w:pPr>
              <w:spacing w:after="40"/>
            </w:pPr>
            <w:r>
              <w:rPr>
                <w:sz w:val="17"/>
              </w:rPr>
              <w:t>Data products, models, governance, value realization</w:t>
            </w:r>
          </w:p>
        </w:tc>
        <w:tc>
          <w:tcPr>
            <w:tcW w:type="dxa" w:w="2376"/>
            <w:vAlign w:val="center"/>
            <w:tcMar>
              <w:top w:w="100" w:type="dxa"/>
              <w:start w:w="100" w:type="dxa"/>
              <w:bottom w:w="100" w:type="dxa"/>
              <w:end w:w="100" w:type="dxa"/>
            </w:tcMar>
          </w:tcPr>
          <w:p>
            <w:pPr>
              <w:spacing w:after="40"/>
            </w:pPr>
            <w:r>
              <w:rPr>
                <w:sz w:val="17"/>
              </w:rPr>
              <w:t>Pilot sprawl and weak reuse</w:t>
            </w:r>
          </w:p>
        </w:tc>
        <w:tc>
          <w:tcPr>
            <w:tcW w:type="dxa" w:w="3528"/>
            <w:vAlign w:val="center"/>
            <w:tcMar>
              <w:top w:w="100" w:type="dxa"/>
              <w:start w:w="100" w:type="dxa"/>
              <w:bottom w:w="100" w:type="dxa"/>
              <w:end w:w="100" w:type="dxa"/>
            </w:tcMar>
          </w:tcPr>
          <w:p>
            <w:pPr>
              <w:spacing w:after="40"/>
            </w:pPr>
            <w:r>
              <w:rPr>
                <w:sz w:val="17"/>
              </w:rPr>
              <w:t>Fabric foundation, Foundry lifecycle, evaluation and responsible AI.</w:t>
            </w:r>
          </w:p>
        </w:tc>
      </w:tr>
      <w:tr>
        <w:tc>
          <w:tcPr>
            <w:tcW w:type="dxa" w:w="1944"/>
            <w:vAlign w:val="center"/>
            <w:tcMar>
              <w:top w:w="100" w:type="dxa"/>
              <w:start w:w="100" w:type="dxa"/>
              <w:bottom w:w="100" w:type="dxa"/>
              <w:end w:w="100" w:type="dxa"/>
            </w:tcMar>
          </w:tcPr>
          <w:p>
            <w:pPr>
              <w:spacing w:after="40"/>
            </w:pPr>
            <w:r>
              <w:rPr>
                <w:sz w:val="17"/>
              </w:rPr>
              <w:t>Platform / SRE Lead</w:t>
            </w:r>
          </w:p>
        </w:tc>
        <w:tc>
          <w:tcPr>
            <w:tcW w:type="dxa" w:w="2376"/>
            <w:vAlign w:val="center"/>
            <w:tcMar>
              <w:top w:w="100" w:type="dxa"/>
              <w:start w:w="100" w:type="dxa"/>
              <w:bottom w:w="100" w:type="dxa"/>
              <w:end w:w="100" w:type="dxa"/>
            </w:tcMar>
          </w:tcPr>
          <w:p>
            <w:pPr>
              <w:spacing w:after="40"/>
            </w:pPr>
            <w:r>
              <w:rPr>
                <w:sz w:val="17"/>
              </w:rPr>
              <w:t>Golden paths, SLOs, cost and reliability</w:t>
            </w:r>
          </w:p>
        </w:tc>
        <w:tc>
          <w:tcPr>
            <w:tcW w:type="dxa" w:w="2376"/>
            <w:vAlign w:val="center"/>
            <w:tcMar>
              <w:top w:w="100" w:type="dxa"/>
              <w:start w:w="100" w:type="dxa"/>
              <w:bottom w:w="100" w:type="dxa"/>
              <w:end w:w="100" w:type="dxa"/>
            </w:tcMar>
          </w:tcPr>
          <w:p>
            <w:pPr>
              <w:spacing w:after="40"/>
            </w:pPr>
            <w:r>
              <w:rPr>
                <w:sz w:val="17"/>
              </w:rPr>
              <w:t>Toil, noisy telemetry, configuration drift</w:t>
            </w:r>
          </w:p>
        </w:tc>
        <w:tc>
          <w:tcPr>
            <w:tcW w:type="dxa" w:w="3528"/>
            <w:vAlign w:val="center"/>
            <w:tcMar>
              <w:top w:w="100" w:type="dxa"/>
              <w:start w:w="100" w:type="dxa"/>
              <w:bottom w:w="100" w:type="dxa"/>
              <w:end w:w="100" w:type="dxa"/>
            </w:tcMar>
          </w:tcPr>
          <w:p>
            <w:pPr>
              <w:spacing w:after="40"/>
            </w:pPr>
            <w:r>
              <w:rPr>
                <w:sz w:val="17"/>
              </w:rPr>
              <w:t>Automation agents, observability, policy, self-service environments.</w:t>
            </w:r>
          </w:p>
        </w:tc>
      </w:tr>
      <w:tr>
        <w:tc>
          <w:tcPr>
            <w:tcW w:type="dxa" w:w="1944"/>
            <w:vAlign w:val="center"/>
            <w:tcMar>
              <w:top w:w="100" w:type="dxa"/>
              <w:start w:w="100" w:type="dxa"/>
              <w:bottom w:w="100" w:type="dxa"/>
              <w:end w:w="100" w:type="dxa"/>
            </w:tcMar>
          </w:tcPr>
          <w:p>
            <w:pPr>
              <w:spacing w:after="40"/>
            </w:pPr>
            <w:r>
              <w:rPr>
                <w:sz w:val="17"/>
              </w:rPr>
              <w:t>Product Manager</w:t>
            </w:r>
          </w:p>
        </w:tc>
        <w:tc>
          <w:tcPr>
            <w:tcW w:type="dxa" w:w="2376"/>
            <w:vAlign w:val="center"/>
            <w:tcMar>
              <w:top w:w="100" w:type="dxa"/>
              <w:start w:w="100" w:type="dxa"/>
              <w:bottom w:w="100" w:type="dxa"/>
              <w:end w:w="100" w:type="dxa"/>
            </w:tcMar>
          </w:tcPr>
          <w:p>
            <w:pPr>
              <w:spacing w:after="40"/>
            </w:pPr>
            <w:r>
              <w:rPr>
                <w:sz w:val="17"/>
              </w:rPr>
              <w:t>Prioritization, outcomes, cross-functional execution</w:t>
            </w:r>
          </w:p>
        </w:tc>
        <w:tc>
          <w:tcPr>
            <w:tcW w:type="dxa" w:w="2376"/>
            <w:vAlign w:val="center"/>
            <w:tcMar>
              <w:top w:w="100" w:type="dxa"/>
              <w:start w:w="100" w:type="dxa"/>
              <w:bottom w:w="100" w:type="dxa"/>
              <w:end w:w="100" w:type="dxa"/>
            </w:tcMar>
          </w:tcPr>
          <w:p>
            <w:pPr>
              <w:spacing w:after="40"/>
            </w:pPr>
            <w:r>
              <w:rPr>
                <w:sz w:val="17"/>
              </w:rPr>
              <w:t>Manual synthesis and ambiguous signals</w:t>
            </w:r>
          </w:p>
        </w:tc>
        <w:tc>
          <w:tcPr>
            <w:tcW w:type="dxa" w:w="3528"/>
            <w:vAlign w:val="center"/>
            <w:tcMar>
              <w:top w:w="100" w:type="dxa"/>
              <w:start w:w="100" w:type="dxa"/>
              <w:bottom w:w="100" w:type="dxa"/>
              <w:end w:w="100" w:type="dxa"/>
            </w:tcMar>
          </w:tcPr>
          <w:p>
            <w:pPr>
              <w:spacing w:after="40"/>
            </w:pPr>
            <w:r>
              <w:rPr>
                <w:sz w:val="17"/>
              </w:rPr>
              <w:t>Research synthesis, telemetry analysis, PRD acceleration.</w:t>
            </w:r>
          </w:p>
        </w:tc>
      </w:tr>
      <w:tr>
        <w:tc>
          <w:tcPr>
            <w:tcW w:type="dxa" w:w="1944"/>
            <w:vAlign w:val="center"/>
            <w:tcMar>
              <w:top w:w="100" w:type="dxa"/>
              <w:start w:w="100" w:type="dxa"/>
              <w:bottom w:w="100" w:type="dxa"/>
              <w:end w:w="100" w:type="dxa"/>
            </w:tcMar>
          </w:tcPr>
          <w:p>
            <w:pPr>
              <w:spacing w:after="40"/>
            </w:pPr>
            <w:r>
              <w:rPr>
                <w:sz w:val="17"/>
              </w:rPr>
              <w:t>FinOps / Finance Leader</w:t>
            </w:r>
          </w:p>
        </w:tc>
        <w:tc>
          <w:tcPr>
            <w:tcW w:type="dxa" w:w="2376"/>
            <w:vAlign w:val="center"/>
            <w:tcMar>
              <w:top w:w="100" w:type="dxa"/>
              <w:start w:w="100" w:type="dxa"/>
              <w:bottom w:w="100" w:type="dxa"/>
              <w:end w:w="100" w:type="dxa"/>
            </w:tcMar>
          </w:tcPr>
          <w:p>
            <w:pPr>
              <w:spacing w:after="40"/>
            </w:pPr>
            <w:r>
              <w:rPr>
                <w:sz w:val="17"/>
              </w:rPr>
              <w:t>Unit economics, forecasting, accountability</w:t>
            </w:r>
          </w:p>
        </w:tc>
        <w:tc>
          <w:tcPr>
            <w:tcW w:type="dxa" w:w="2376"/>
            <w:vAlign w:val="center"/>
            <w:tcMar>
              <w:top w:w="100" w:type="dxa"/>
              <w:start w:w="100" w:type="dxa"/>
              <w:bottom w:w="100" w:type="dxa"/>
              <w:end w:w="100" w:type="dxa"/>
            </w:tcMar>
          </w:tcPr>
          <w:p>
            <w:pPr>
              <w:spacing w:after="40"/>
            </w:pPr>
            <w:r>
              <w:rPr>
                <w:sz w:val="17"/>
              </w:rPr>
              <w:t>Unallocated cloud/AI cost and demand volatility</w:t>
            </w:r>
          </w:p>
        </w:tc>
        <w:tc>
          <w:tcPr>
            <w:tcW w:type="dxa" w:w="3528"/>
            <w:vAlign w:val="center"/>
            <w:tcMar>
              <w:top w:w="100" w:type="dxa"/>
              <w:start w:w="100" w:type="dxa"/>
              <w:bottom w:w="100" w:type="dxa"/>
              <w:end w:w="100" w:type="dxa"/>
            </w:tcMar>
          </w:tcPr>
          <w:p>
            <w:pPr>
              <w:spacing w:after="40"/>
            </w:pPr>
            <w:r>
              <w:rPr>
                <w:sz w:val="17"/>
              </w:rPr>
              <w:t>Cost allocation, forecasting, anomaly detection, AI unit economics.</w:t>
            </w:r>
          </w:p>
        </w:tc>
      </w:tr>
    </w:tbl>
    <w:p>
      <w:pPr>
        <w:spacing w:after="40"/>
      </w:pPr>
    </w:p>
    <w:p>
      <w:pPr>
        <w:pStyle w:val="Heading1"/>
      </w:pPr>
      <w:r>
        <w:t>Best-Practice Framework: SCALE-AI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2016"/>
            <w:shd w:fill="0F4761"/>
            <w:vAlign w:val="center"/>
            <w:tcMar>
              <w:top w:w="100" w:type="dxa"/>
              <w:start w:w="100" w:type="dxa"/>
              <w:bottom w:w="100" w:type="dxa"/>
              <w:end w:w="100" w:type="dxa"/>
            </w:tcMar>
          </w:tcPr>
          <w:p>
            <w:r>
              <w:rPr>
                <w:b/>
                <w:color w:val="FFFFFF"/>
                <w:sz w:val="18"/>
              </w:rPr>
              <w:t>Pillar</w:t>
            </w:r>
          </w:p>
        </w:tc>
        <w:tc>
          <w:tcPr>
            <w:tcW w:type="dxa" w:w="4824"/>
            <w:shd w:fill="0F4761"/>
            <w:vAlign w:val="center"/>
            <w:tcMar>
              <w:top w:w="100" w:type="dxa"/>
              <w:start w:w="100" w:type="dxa"/>
              <w:bottom w:w="100" w:type="dxa"/>
              <w:end w:w="100" w:type="dxa"/>
            </w:tcMar>
          </w:tcPr>
          <w:p>
            <w:r>
              <w:rPr>
                <w:b/>
                <w:color w:val="FFFFFF"/>
                <w:sz w:val="18"/>
              </w:rPr>
              <w:t>Best practice</w:t>
            </w:r>
          </w:p>
        </w:tc>
        <w:tc>
          <w:tcPr>
            <w:tcW w:type="dxa" w:w="3384"/>
            <w:shd w:fill="0F4761"/>
            <w:vAlign w:val="center"/>
            <w:tcMar>
              <w:top w:w="100" w:type="dxa"/>
              <w:start w:w="100" w:type="dxa"/>
              <w:bottom w:w="100" w:type="dxa"/>
              <w:end w:w="100" w:type="dxa"/>
            </w:tcMar>
          </w:tcPr>
          <w:p>
            <w:r>
              <w:rPr>
                <w:b/>
                <w:color w:val="FFFFFF"/>
                <w:sz w:val="18"/>
              </w:rPr>
              <w:t>Minimum evidence</w:t>
            </w:r>
          </w:p>
        </w:tc>
      </w:tr>
      <w:tr>
        <w:tc>
          <w:tcPr>
            <w:tcW w:type="dxa" w:w="2016"/>
            <w:vAlign w:val="center"/>
            <w:tcMar>
              <w:top w:w="100" w:type="dxa"/>
              <w:start w:w="100" w:type="dxa"/>
              <w:bottom w:w="100" w:type="dxa"/>
              <w:end w:w="100" w:type="dxa"/>
            </w:tcMar>
          </w:tcPr>
          <w:p>
            <w:pPr>
              <w:spacing w:after="40"/>
            </w:pPr>
            <w:r>
              <w:rPr>
                <w:sz w:val="17"/>
              </w:rPr>
              <w:t>S - Strategy and value</w:t>
            </w:r>
          </w:p>
        </w:tc>
        <w:tc>
          <w:tcPr>
            <w:tcW w:type="dxa" w:w="4824"/>
            <w:vAlign w:val="center"/>
            <w:tcMar>
              <w:top w:w="100" w:type="dxa"/>
              <w:start w:w="100" w:type="dxa"/>
              <w:bottom w:w="100" w:type="dxa"/>
              <w:end w:w="100" w:type="dxa"/>
            </w:tcMar>
          </w:tcPr>
          <w:p>
            <w:pPr>
              <w:spacing w:after="40"/>
            </w:pPr>
            <w:r>
              <w:rPr>
                <w:sz w:val="17"/>
              </w:rPr>
              <w:t>Prioritize 3-5 frontier scenarios using revenue, margin, customer, risk, and speed outcomes. Define baseline and target before building.</w:t>
            </w:r>
          </w:p>
        </w:tc>
        <w:tc>
          <w:tcPr>
            <w:tcW w:type="dxa" w:w="3384"/>
            <w:vAlign w:val="center"/>
            <w:tcMar>
              <w:top w:w="100" w:type="dxa"/>
              <w:start w:w="100" w:type="dxa"/>
              <w:bottom w:w="100" w:type="dxa"/>
              <w:end w:w="100" w:type="dxa"/>
            </w:tcMar>
          </w:tcPr>
          <w:p>
            <w:pPr>
              <w:spacing w:after="40"/>
            </w:pPr>
            <w:r>
              <w:rPr>
                <w:sz w:val="17"/>
              </w:rPr>
              <w:t>Value hypothesis, KPI tree, accountable executive, adoption owner.</w:t>
            </w:r>
          </w:p>
        </w:tc>
      </w:tr>
      <w:tr>
        <w:tc>
          <w:tcPr>
            <w:tcW w:type="dxa" w:w="2016"/>
            <w:vAlign w:val="center"/>
            <w:tcMar>
              <w:top w:w="100" w:type="dxa"/>
              <w:start w:w="100" w:type="dxa"/>
              <w:bottom w:w="100" w:type="dxa"/>
              <w:end w:w="100" w:type="dxa"/>
            </w:tcMar>
          </w:tcPr>
          <w:p>
            <w:pPr>
              <w:spacing w:after="40"/>
            </w:pPr>
            <w:r>
              <w:rPr>
                <w:sz w:val="17"/>
              </w:rPr>
              <w:t>C - Cloud and platform foundation</w:t>
            </w:r>
          </w:p>
        </w:tc>
        <w:tc>
          <w:tcPr>
            <w:tcW w:type="dxa" w:w="4824"/>
            <w:vAlign w:val="center"/>
            <w:tcMar>
              <w:top w:w="100" w:type="dxa"/>
              <w:start w:w="100" w:type="dxa"/>
              <w:bottom w:w="100" w:type="dxa"/>
              <w:end w:w="100" w:type="dxa"/>
            </w:tcMar>
          </w:tcPr>
          <w:p>
            <w:pPr>
              <w:spacing w:after="40"/>
            </w:pPr>
            <w:r>
              <w:rPr>
                <w:sz w:val="17"/>
              </w:rPr>
              <w:t>Use landing zones, platform engineering, API-first integration, identity-by-design, SRE, and automated policy.</w:t>
            </w:r>
          </w:p>
        </w:tc>
        <w:tc>
          <w:tcPr>
            <w:tcW w:type="dxa" w:w="3384"/>
            <w:vAlign w:val="center"/>
            <w:tcMar>
              <w:top w:w="100" w:type="dxa"/>
              <w:start w:w="100" w:type="dxa"/>
              <w:bottom w:w="100" w:type="dxa"/>
              <w:end w:w="100" w:type="dxa"/>
            </w:tcMar>
          </w:tcPr>
          <w:p>
            <w:pPr>
              <w:spacing w:after="40"/>
            </w:pPr>
            <w:r>
              <w:rPr>
                <w:sz w:val="17"/>
              </w:rPr>
              <w:t>Golden paths, environment strategy, SLOs, recovery objectives, policy-as-code.</w:t>
            </w:r>
          </w:p>
        </w:tc>
      </w:tr>
      <w:tr>
        <w:tc>
          <w:tcPr>
            <w:tcW w:type="dxa" w:w="2016"/>
            <w:vAlign w:val="center"/>
            <w:tcMar>
              <w:top w:w="100" w:type="dxa"/>
              <w:start w:w="100" w:type="dxa"/>
              <w:bottom w:w="100" w:type="dxa"/>
              <w:end w:w="100" w:type="dxa"/>
            </w:tcMar>
          </w:tcPr>
          <w:p>
            <w:pPr>
              <w:spacing w:after="40"/>
            </w:pPr>
            <w:r>
              <w:rPr>
                <w:sz w:val="17"/>
              </w:rPr>
              <w:t>A - AI engineering discipline</w:t>
            </w:r>
          </w:p>
        </w:tc>
        <w:tc>
          <w:tcPr>
            <w:tcW w:type="dxa" w:w="4824"/>
            <w:vAlign w:val="center"/>
            <w:tcMar>
              <w:top w:w="100" w:type="dxa"/>
              <w:start w:w="100" w:type="dxa"/>
              <w:bottom w:w="100" w:type="dxa"/>
              <w:end w:w="100" w:type="dxa"/>
            </w:tcMar>
          </w:tcPr>
          <w:p>
            <w:pPr>
              <w:spacing w:after="40"/>
            </w:pPr>
            <w:r>
              <w:rPr>
                <w:sz w:val="17"/>
              </w:rPr>
              <w:t>Adopt model choice, grounding, evaluation, prompt/version control, tracing, content safety, red teaming, and human oversight.</w:t>
            </w:r>
          </w:p>
        </w:tc>
        <w:tc>
          <w:tcPr>
            <w:tcW w:type="dxa" w:w="3384"/>
            <w:vAlign w:val="center"/>
            <w:tcMar>
              <w:top w:w="100" w:type="dxa"/>
              <w:start w:w="100" w:type="dxa"/>
              <w:bottom w:w="100" w:type="dxa"/>
              <w:end w:w="100" w:type="dxa"/>
            </w:tcMar>
          </w:tcPr>
          <w:p>
            <w:pPr>
              <w:spacing w:after="40"/>
            </w:pPr>
            <w:r>
              <w:rPr>
                <w:sz w:val="17"/>
              </w:rPr>
              <w:t>Evaluation suite, release gate, model routing, fallback, incident playbook.</w:t>
            </w:r>
          </w:p>
        </w:tc>
      </w:tr>
      <w:tr>
        <w:tc>
          <w:tcPr>
            <w:tcW w:type="dxa" w:w="2016"/>
            <w:vAlign w:val="center"/>
            <w:tcMar>
              <w:top w:w="100" w:type="dxa"/>
              <w:start w:w="100" w:type="dxa"/>
              <w:bottom w:w="100" w:type="dxa"/>
              <w:end w:w="100" w:type="dxa"/>
            </w:tcMar>
          </w:tcPr>
          <w:p>
            <w:pPr>
              <w:spacing w:after="40"/>
            </w:pPr>
            <w:r>
              <w:rPr>
                <w:sz w:val="17"/>
              </w:rPr>
              <w:t>L - Lakehouse and data products</w:t>
            </w:r>
          </w:p>
        </w:tc>
        <w:tc>
          <w:tcPr>
            <w:tcW w:type="dxa" w:w="4824"/>
            <w:vAlign w:val="center"/>
            <w:tcMar>
              <w:top w:w="100" w:type="dxa"/>
              <w:start w:w="100" w:type="dxa"/>
              <w:bottom w:w="100" w:type="dxa"/>
              <w:end w:w="100" w:type="dxa"/>
            </w:tcMar>
          </w:tcPr>
          <w:p>
            <w:pPr>
              <w:spacing w:after="40"/>
            </w:pPr>
            <w:r>
              <w:rPr>
                <w:sz w:val="17"/>
              </w:rPr>
              <w:t>Create governed, discoverable data products with ownership, quality SLAs, lineage, and reusable semantics.</w:t>
            </w:r>
          </w:p>
        </w:tc>
        <w:tc>
          <w:tcPr>
            <w:tcW w:type="dxa" w:w="3384"/>
            <w:vAlign w:val="center"/>
            <w:tcMar>
              <w:top w:w="100" w:type="dxa"/>
              <w:start w:w="100" w:type="dxa"/>
              <w:bottom w:w="100" w:type="dxa"/>
              <w:end w:w="100" w:type="dxa"/>
            </w:tcMar>
          </w:tcPr>
          <w:p>
            <w:pPr>
              <w:spacing w:after="40"/>
            </w:pPr>
            <w:r>
              <w:rPr>
                <w:sz w:val="17"/>
              </w:rPr>
              <w:t>Domain map, data contracts, semantic model, access policy, quality score.</w:t>
            </w:r>
          </w:p>
        </w:tc>
      </w:tr>
      <w:tr>
        <w:tc>
          <w:tcPr>
            <w:tcW w:type="dxa" w:w="2016"/>
            <w:vAlign w:val="center"/>
            <w:tcMar>
              <w:top w:w="100" w:type="dxa"/>
              <w:start w:w="100" w:type="dxa"/>
              <w:bottom w:w="100" w:type="dxa"/>
              <w:end w:w="100" w:type="dxa"/>
            </w:tcMar>
          </w:tcPr>
          <w:p>
            <w:pPr>
              <w:spacing w:after="40"/>
            </w:pPr>
            <w:r>
              <w:rPr>
                <w:sz w:val="17"/>
              </w:rPr>
              <w:t>E - Economics and efficiency</w:t>
            </w:r>
          </w:p>
        </w:tc>
        <w:tc>
          <w:tcPr>
            <w:tcW w:type="dxa" w:w="4824"/>
            <w:vAlign w:val="center"/>
            <w:tcMar>
              <w:top w:w="100" w:type="dxa"/>
              <w:start w:w="100" w:type="dxa"/>
              <w:bottom w:w="100" w:type="dxa"/>
              <w:end w:w="100" w:type="dxa"/>
            </w:tcMar>
          </w:tcPr>
          <w:p>
            <w:pPr>
              <w:spacing w:after="40"/>
            </w:pPr>
            <w:r>
              <w:rPr>
                <w:sz w:val="17"/>
              </w:rPr>
              <w:t>Measure cost per transaction, active user, model call, resolved case, and release. Optimize architecture against unit economics.</w:t>
            </w:r>
          </w:p>
        </w:tc>
        <w:tc>
          <w:tcPr>
            <w:tcW w:type="dxa" w:w="3384"/>
            <w:vAlign w:val="center"/>
            <w:tcMar>
              <w:top w:w="100" w:type="dxa"/>
              <w:start w:w="100" w:type="dxa"/>
              <w:bottom w:w="100" w:type="dxa"/>
              <w:end w:w="100" w:type="dxa"/>
            </w:tcMar>
          </w:tcPr>
          <w:p>
            <w:pPr>
              <w:spacing w:after="40"/>
            </w:pPr>
            <w:r>
              <w:rPr>
                <w:sz w:val="17"/>
              </w:rPr>
              <w:t>FinOps allocation, token budget, caching, capacity, cost anomaly alerts.</w:t>
            </w:r>
          </w:p>
        </w:tc>
      </w:tr>
      <w:tr>
        <w:tc>
          <w:tcPr>
            <w:tcW w:type="dxa" w:w="2016"/>
            <w:vAlign w:val="center"/>
            <w:tcMar>
              <w:top w:w="100" w:type="dxa"/>
              <w:start w:w="100" w:type="dxa"/>
              <w:bottom w:w="100" w:type="dxa"/>
              <w:end w:w="100" w:type="dxa"/>
            </w:tcMar>
          </w:tcPr>
          <w:p>
            <w:pPr>
              <w:spacing w:after="40"/>
            </w:pPr>
            <w:r>
              <w:rPr>
                <w:sz w:val="17"/>
              </w:rPr>
              <w:t>A - Adoption and operating model</w:t>
            </w:r>
          </w:p>
        </w:tc>
        <w:tc>
          <w:tcPr>
            <w:tcW w:type="dxa" w:w="4824"/>
            <w:vAlign w:val="center"/>
            <w:tcMar>
              <w:top w:w="100" w:type="dxa"/>
              <w:start w:w="100" w:type="dxa"/>
              <w:bottom w:w="100" w:type="dxa"/>
              <w:end w:w="100" w:type="dxa"/>
            </w:tcMar>
          </w:tcPr>
          <w:p>
            <w:pPr>
              <w:spacing w:after="40"/>
            </w:pPr>
            <w:r>
              <w:rPr>
                <w:sz w:val="17"/>
              </w:rPr>
              <w:t>Build role-based readiness, communities of practice, champions, change telemetry, and product-led adoption loops.</w:t>
            </w:r>
          </w:p>
        </w:tc>
        <w:tc>
          <w:tcPr>
            <w:tcW w:type="dxa" w:w="3384"/>
            <w:vAlign w:val="center"/>
            <w:tcMar>
              <w:top w:w="100" w:type="dxa"/>
              <w:start w:w="100" w:type="dxa"/>
              <w:bottom w:w="100" w:type="dxa"/>
              <w:end w:w="100" w:type="dxa"/>
            </w:tcMar>
          </w:tcPr>
          <w:p>
            <w:pPr>
              <w:spacing w:after="40"/>
            </w:pPr>
            <w:r>
              <w:rPr>
                <w:sz w:val="17"/>
              </w:rPr>
              <w:t>Skill plan, adoption funnel, feedback cadence, reusable playbooks.</w:t>
            </w:r>
          </w:p>
        </w:tc>
      </w:tr>
      <w:tr>
        <w:tc>
          <w:tcPr>
            <w:tcW w:type="dxa" w:w="2016"/>
            <w:vAlign w:val="center"/>
            <w:tcMar>
              <w:top w:w="100" w:type="dxa"/>
              <w:start w:w="100" w:type="dxa"/>
              <w:bottom w:w="100" w:type="dxa"/>
              <w:end w:w="100" w:type="dxa"/>
            </w:tcMar>
          </w:tcPr>
          <w:p>
            <w:pPr>
              <w:spacing w:after="40"/>
            </w:pPr>
            <w:r>
              <w:rPr>
                <w:sz w:val="17"/>
              </w:rPr>
              <w:t>I - Integrity, security, and compliance</w:t>
            </w:r>
          </w:p>
        </w:tc>
        <w:tc>
          <w:tcPr>
            <w:tcW w:type="dxa" w:w="4824"/>
            <w:vAlign w:val="center"/>
            <w:tcMar>
              <w:top w:w="100" w:type="dxa"/>
              <w:start w:w="100" w:type="dxa"/>
              <w:bottom w:w="100" w:type="dxa"/>
              <w:end w:w="100" w:type="dxa"/>
            </w:tcMar>
          </w:tcPr>
          <w:p>
            <w:pPr>
              <w:spacing w:after="40"/>
            </w:pPr>
            <w:r>
              <w:rPr>
                <w:sz w:val="17"/>
              </w:rPr>
              <w:t>Embed Zero Trust, secure-by-design engineering, privacy, responsible AI, auditability, and India-specific legal review.</w:t>
            </w:r>
          </w:p>
        </w:tc>
        <w:tc>
          <w:tcPr>
            <w:tcW w:type="dxa" w:w="3384"/>
            <w:vAlign w:val="center"/>
            <w:tcMar>
              <w:top w:w="100" w:type="dxa"/>
              <w:start w:w="100" w:type="dxa"/>
              <w:bottom w:w="100" w:type="dxa"/>
              <w:end w:w="100" w:type="dxa"/>
            </w:tcMar>
          </w:tcPr>
          <w:p>
            <w:pPr>
              <w:spacing w:after="40"/>
            </w:pPr>
            <w:r>
              <w:rPr>
                <w:sz w:val="17"/>
              </w:rPr>
              <w:t>Threat model, data classification, DPIA/legal review, AI risk register, evidence pack.</w:t>
            </w:r>
          </w:p>
        </w:tc>
      </w:tr>
    </w:tbl>
    <w:p>
      <w:pPr>
        <w:spacing w:after="40"/>
      </w:pPr>
    </w:p>
    <w:p>
      <w:pPr>
        <w:pStyle w:val="Heading1"/>
      </w:pPr>
      <w:r>
        <w:t>Frontier Transformation Conversation Guide</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2088"/>
            <w:shd w:fill="0F4761"/>
            <w:vAlign w:val="center"/>
            <w:tcMar>
              <w:top w:w="100" w:type="dxa"/>
              <w:start w:w="100" w:type="dxa"/>
              <w:bottom w:w="100" w:type="dxa"/>
              <w:end w:w="100" w:type="dxa"/>
            </w:tcMar>
          </w:tcPr>
          <w:p>
            <w:r>
              <w:rPr>
                <w:b/>
                <w:color w:val="FFFFFF"/>
                <w:sz w:val="18"/>
              </w:rPr>
              <w:t>Conversation stage</w:t>
            </w:r>
          </w:p>
        </w:tc>
        <w:tc>
          <w:tcPr>
            <w:tcW w:type="dxa" w:w="5400"/>
            <w:shd w:fill="0F4761"/>
            <w:vAlign w:val="center"/>
            <w:tcMar>
              <w:top w:w="100" w:type="dxa"/>
              <w:start w:w="100" w:type="dxa"/>
              <w:bottom w:w="100" w:type="dxa"/>
              <w:end w:w="100" w:type="dxa"/>
            </w:tcMar>
          </w:tcPr>
          <w:p>
            <w:r>
              <w:rPr>
                <w:b/>
                <w:color w:val="FFFFFF"/>
                <w:sz w:val="18"/>
              </w:rPr>
              <w:t>Prompt</w:t>
            </w:r>
          </w:p>
        </w:tc>
        <w:tc>
          <w:tcPr>
            <w:tcW w:type="dxa" w:w="2736"/>
            <w:shd w:fill="0F4761"/>
            <w:vAlign w:val="center"/>
            <w:tcMar>
              <w:top w:w="100" w:type="dxa"/>
              <w:start w:w="100" w:type="dxa"/>
              <w:bottom w:w="100" w:type="dxa"/>
              <w:end w:w="100" w:type="dxa"/>
            </w:tcMar>
          </w:tcPr>
          <w:p>
            <w:r>
              <w:rPr>
                <w:b/>
                <w:color w:val="FFFFFF"/>
                <w:sz w:val="18"/>
              </w:rPr>
              <w:t>Expected output</w:t>
            </w:r>
          </w:p>
        </w:tc>
      </w:tr>
      <w:tr>
        <w:tc>
          <w:tcPr>
            <w:tcW w:type="dxa" w:w="2088"/>
            <w:vAlign w:val="center"/>
            <w:tcMar>
              <w:top w:w="100" w:type="dxa"/>
              <w:start w:w="100" w:type="dxa"/>
              <w:bottom w:w="100" w:type="dxa"/>
              <w:end w:w="100" w:type="dxa"/>
            </w:tcMar>
          </w:tcPr>
          <w:p>
            <w:pPr>
              <w:spacing w:after="40"/>
            </w:pPr>
            <w:r>
              <w:rPr>
                <w:sz w:val="17"/>
              </w:rPr>
              <w:t>1. Business frontier</w:t>
            </w:r>
          </w:p>
        </w:tc>
        <w:tc>
          <w:tcPr>
            <w:tcW w:type="dxa" w:w="5400"/>
            <w:vAlign w:val="center"/>
            <w:tcMar>
              <w:top w:w="100" w:type="dxa"/>
              <w:start w:w="100" w:type="dxa"/>
              <w:bottom w:w="100" w:type="dxa"/>
              <w:end w:w="100" w:type="dxa"/>
            </w:tcMar>
          </w:tcPr>
          <w:p>
            <w:pPr>
              <w:spacing w:after="40"/>
            </w:pPr>
            <w:r>
              <w:rPr>
                <w:sz w:val="17"/>
              </w:rPr>
              <w:t>Which growth, margin, trust, or experience curve must change in the next 12 months?</w:t>
            </w:r>
          </w:p>
        </w:tc>
        <w:tc>
          <w:tcPr>
            <w:tcW w:type="dxa" w:w="2736"/>
            <w:vAlign w:val="center"/>
            <w:tcMar>
              <w:top w:w="100" w:type="dxa"/>
              <w:start w:w="100" w:type="dxa"/>
              <w:bottom w:w="100" w:type="dxa"/>
              <w:end w:w="100" w:type="dxa"/>
            </w:tcMar>
          </w:tcPr>
          <w:p>
            <w:pPr>
              <w:spacing w:after="40"/>
            </w:pPr>
            <w:r>
              <w:rPr>
                <w:sz w:val="17"/>
              </w:rPr>
              <w:t>Named enterprise outcome and KPI baseline.</w:t>
            </w:r>
          </w:p>
        </w:tc>
      </w:tr>
      <w:tr>
        <w:tc>
          <w:tcPr>
            <w:tcW w:type="dxa" w:w="2088"/>
            <w:vAlign w:val="center"/>
            <w:tcMar>
              <w:top w:w="100" w:type="dxa"/>
              <w:start w:w="100" w:type="dxa"/>
              <w:bottom w:w="100" w:type="dxa"/>
              <w:end w:w="100" w:type="dxa"/>
            </w:tcMar>
          </w:tcPr>
          <w:p>
            <w:pPr>
              <w:spacing w:after="40"/>
            </w:pPr>
            <w:r>
              <w:rPr>
                <w:sz w:val="17"/>
              </w:rPr>
              <w:t>2. Experience reinvention</w:t>
            </w:r>
          </w:p>
        </w:tc>
        <w:tc>
          <w:tcPr>
            <w:tcW w:type="dxa" w:w="5400"/>
            <w:vAlign w:val="center"/>
            <w:tcMar>
              <w:top w:w="100" w:type="dxa"/>
              <w:start w:w="100" w:type="dxa"/>
              <w:bottom w:w="100" w:type="dxa"/>
              <w:end w:w="100" w:type="dxa"/>
            </w:tcMar>
          </w:tcPr>
          <w:p>
            <w:pPr>
              <w:spacing w:after="40"/>
            </w:pPr>
            <w:r>
              <w:rPr>
                <w:sz w:val="17"/>
              </w:rPr>
              <w:t>Where could a multimodal copilot or agent remove friction or create a differentiated experience?</w:t>
            </w:r>
          </w:p>
        </w:tc>
        <w:tc>
          <w:tcPr>
            <w:tcW w:type="dxa" w:w="2736"/>
            <w:vAlign w:val="center"/>
            <w:tcMar>
              <w:top w:w="100" w:type="dxa"/>
              <w:start w:w="100" w:type="dxa"/>
              <w:bottom w:w="100" w:type="dxa"/>
              <w:end w:w="100" w:type="dxa"/>
            </w:tcMar>
          </w:tcPr>
          <w:p>
            <w:pPr>
              <w:spacing w:after="40"/>
            </w:pPr>
            <w:r>
              <w:rPr>
                <w:sz w:val="17"/>
              </w:rPr>
              <w:t>Priority journey and user segment.</w:t>
            </w:r>
          </w:p>
        </w:tc>
      </w:tr>
      <w:tr>
        <w:tc>
          <w:tcPr>
            <w:tcW w:type="dxa" w:w="2088"/>
            <w:vAlign w:val="center"/>
            <w:tcMar>
              <w:top w:w="100" w:type="dxa"/>
              <w:start w:w="100" w:type="dxa"/>
              <w:bottom w:w="100" w:type="dxa"/>
              <w:end w:w="100" w:type="dxa"/>
            </w:tcMar>
          </w:tcPr>
          <w:p>
            <w:pPr>
              <w:spacing w:after="40"/>
            </w:pPr>
            <w:r>
              <w:rPr>
                <w:sz w:val="17"/>
              </w:rPr>
              <w:t>3. Process and agent redesign</w:t>
            </w:r>
          </w:p>
        </w:tc>
        <w:tc>
          <w:tcPr>
            <w:tcW w:type="dxa" w:w="5400"/>
            <w:vAlign w:val="center"/>
            <w:tcMar>
              <w:top w:w="100" w:type="dxa"/>
              <w:start w:w="100" w:type="dxa"/>
              <w:bottom w:w="100" w:type="dxa"/>
              <w:end w:w="100" w:type="dxa"/>
            </w:tcMar>
          </w:tcPr>
          <w:p>
            <w:pPr>
              <w:spacing w:after="40"/>
            </w:pPr>
            <w:r>
              <w:rPr>
                <w:sz w:val="17"/>
              </w:rPr>
              <w:t>Which end-to-end workflow can be re-authored, not merely assisted? What decisions require human approval?</w:t>
            </w:r>
          </w:p>
        </w:tc>
        <w:tc>
          <w:tcPr>
            <w:tcW w:type="dxa" w:w="2736"/>
            <w:vAlign w:val="center"/>
            <w:tcMar>
              <w:top w:w="100" w:type="dxa"/>
              <w:start w:w="100" w:type="dxa"/>
              <w:bottom w:w="100" w:type="dxa"/>
              <w:end w:w="100" w:type="dxa"/>
            </w:tcMar>
          </w:tcPr>
          <w:p>
            <w:pPr>
              <w:spacing w:after="40"/>
            </w:pPr>
            <w:r>
              <w:rPr>
                <w:sz w:val="17"/>
              </w:rPr>
              <w:t>Agent boundary, tool access, escalation model.</w:t>
            </w:r>
          </w:p>
        </w:tc>
      </w:tr>
      <w:tr>
        <w:tc>
          <w:tcPr>
            <w:tcW w:type="dxa" w:w="2088"/>
            <w:vAlign w:val="center"/>
            <w:tcMar>
              <w:top w:w="100" w:type="dxa"/>
              <w:start w:w="100" w:type="dxa"/>
              <w:bottom w:w="100" w:type="dxa"/>
              <w:end w:w="100" w:type="dxa"/>
            </w:tcMar>
          </w:tcPr>
          <w:p>
            <w:pPr>
              <w:spacing w:after="40"/>
            </w:pPr>
            <w:r>
              <w:rPr>
                <w:sz w:val="17"/>
              </w:rPr>
              <w:t>4. Data and AI platform</w:t>
            </w:r>
          </w:p>
        </w:tc>
        <w:tc>
          <w:tcPr>
            <w:tcW w:type="dxa" w:w="5400"/>
            <w:vAlign w:val="center"/>
            <w:tcMar>
              <w:top w:w="100" w:type="dxa"/>
              <w:start w:w="100" w:type="dxa"/>
              <w:bottom w:w="100" w:type="dxa"/>
              <w:end w:w="100" w:type="dxa"/>
            </w:tcMar>
          </w:tcPr>
          <w:p>
            <w:pPr>
              <w:spacing w:after="40"/>
            </w:pPr>
            <w:r>
              <w:rPr>
                <w:sz w:val="17"/>
              </w:rPr>
              <w:t>What proprietary data creates advantage? How is it governed, grounded, evaluated, and reused?</w:t>
            </w:r>
          </w:p>
        </w:tc>
        <w:tc>
          <w:tcPr>
            <w:tcW w:type="dxa" w:w="2736"/>
            <w:vAlign w:val="center"/>
            <w:tcMar>
              <w:top w:w="100" w:type="dxa"/>
              <w:start w:w="100" w:type="dxa"/>
              <w:bottom w:w="100" w:type="dxa"/>
              <w:end w:w="100" w:type="dxa"/>
            </w:tcMar>
          </w:tcPr>
          <w:p>
            <w:pPr>
              <w:spacing w:after="40"/>
            </w:pPr>
            <w:r>
              <w:rPr>
                <w:sz w:val="17"/>
              </w:rPr>
              <w:t>Data products, evaluation set, lineage, access model.</w:t>
            </w:r>
          </w:p>
        </w:tc>
      </w:tr>
      <w:tr>
        <w:tc>
          <w:tcPr>
            <w:tcW w:type="dxa" w:w="2088"/>
            <w:vAlign w:val="center"/>
            <w:tcMar>
              <w:top w:w="100" w:type="dxa"/>
              <w:start w:w="100" w:type="dxa"/>
              <w:bottom w:w="100" w:type="dxa"/>
              <w:end w:w="100" w:type="dxa"/>
            </w:tcMar>
          </w:tcPr>
          <w:p>
            <w:pPr>
              <w:spacing w:after="40"/>
            </w:pPr>
            <w:r>
              <w:rPr>
                <w:sz w:val="17"/>
              </w:rPr>
              <w:t>5. Engineering system</w:t>
            </w:r>
          </w:p>
        </w:tc>
        <w:tc>
          <w:tcPr>
            <w:tcW w:type="dxa" w:w="5400"/>
            <w:vAlign w:val="center"/>
            <w:tcMar>
              <w:top w:w="100" w:type="dxa"/>
              <w:start w:w="100" w:type="dxa"/>
              <w:bottom w:w="100" w:type="dxa"/>
              <w:end w:w="100" w:type="dxa"/>
            </w:tcMar>
          </w:tcPr>
          <w:p>
            <w:pPr>
              <w:spacing w:after="40"/>
            </w:pPr>
            <w:r>
              <w:rPr>
                <w:sz w:val="17"/>
              </w:rPr>
              <w:t>Can teams release AI features safely and repeatedly with DORA, security, cost, and quality gates?</w:t>
            </w:r>
          </w:p>
        </w:tc>
        <w:tc>
          <w:tcPr>
            <w:tcW w:type="dxa" w:w="2736"/>
            <w:vAlign w:val="center"/>
            <w:tcMar>
              <w:top w:w="100" w:type="dxa"/>
              <w:start w:w="100" w:type="dxa"/>
              <w:bottom w:w="100" w:type="dxa"/>
              <w:end w:w="100" w:type="dxa"/>
            </w:tcMar>
          </w:tcPr>
          <w:p>
            <w:pPr>
              <w:spacing w:after="40"/>
            </w:pPr>
            <w:r>
              <w:rPr>
                <w:sz w:val="17"/>
              </w:rPr>
              <w:t>Paved road, CI/CD, test/evaluation gates.</w:t>
            </w:r>
          </w:p>
        </w:tc>
      </w:tr>
      <w:tr>
        <w:tc>
          <w:tcPr>
            <w:tcW w:type="dxa" w:w="2088"/>
            <w:vAlign w:val="center"/>
            <w:tcMar>
              <w:top w:w="100" w:type="dxa"/>
              <w:start w:w="100" w:type="dxa"/>
              <w:bottom w:w="100" w:type="dxa"/>
              <w:end w:w="100" w:type="dxa"/>
            </w:tcMar>
          </w:tcPr>
          <w:p>
            <w:pPr>
              <w:spacing w:after="40"/>
            </w:pPr>
            <w:r>
              <w:rPr>
                <w:sz w:val="17"/>
              </w:rPr>
              <w:t>6. Trust and resilience</w:t>
            </w:r>
          </w:p>
        </w:tc>
        <w:tc>
          <w:tcPr>
            <w:tcW w:type="dxa" w:w="5400"/>
            <w:vAlign w:val="center"/>
            <w:tcMar>
              <w:top w:w="100" w:type="dxa"/>
              <w:start w:w="100" w:type="dxa"/>
              <w:bottom w:w="100" w:type="dxa"/>
              <w:end w:w="100" w:type="dxa"/>
            </w:tcMar>
          </w:tcPr>
          <w:p>
            <w:pPr>
              <w:spacing w:after="40"/>
            </w:pPr>
            <w:r>
              <w:rPr>
                <w:sz w:val="17"/>
              </w:rPr>
              <w:t>What could go wrong for customers, regulators, or the business? How will it be detected and contained?</w:t>
            </w:r>
          </w:p>
        </w:tc>
        <w:tc>
          <w:tcPr>
            <w:tcW w:type="dxa" w:w="2736"/>
            <w:vAlign w:val="center"/>
            <w:tcMar>
              <w:top w:w="100" w:type="dxa"/>
              <w:start w:w="100" w:type="dxa"/>
              <w:bottom w:w="100" w:type="dxa"/>
              <w:end w:w="100" w:type="dxa"/>
            </w:tcMar>
          </w:tcPr>
          <w:p>
            <w:pPr>
              <w:spacing w:after="40"/>
            </w:pPr>
            <w:r>
              <w:rPr>
                <w:sz w:val="17"/>
              </w:rPr>
              <w:t>Threat model, red-team findings, monitoring and incident ownership.</w:t>
            </w:r>
          </w:p>
        </w:tc>
      </w:tr>
      <w:tr>
        <w:tc>
          <w:tcPr>
            <w:tcW w:type="dxa" w:w="2088"/>
            <w:vAlign w:val="center"/>
            <w:tcMar>
              <w:top w:w="100" w:type="dxa"/>
              <w:start w:w="100" w:type="dxa"/>
              <w:bottom w:w="100" w:type="dxa"/>
              <w:end w:w="100" w:type="dxa"/>
            </w:tcMar>
          </w:tcPr>
          <w:p>
            <w:pPr>
              <w:spacing w:after="40"/>
            </w:pPr>
            <w:r>
              <w:rPr>
                <w:sz w:val="17"/>
              </w:rPr>
              <w:t>7. Value realization</w:t>
            </w:r>
          </w:p>
        </w:tc>
        <w:tc>
          <w:tcPr>
            <w:tcW w:type="dxa" w:w="5400"/>
            <w:vAlign w:val="center"/>
            <w:tcMar>
              <w:top w:w="100" w:type="dxa"/>
              <w:start w:w="100" w:type="dxa"/>
              <w:bottom w:w="100" w:type="dxa"/>
              <w:end w:w="100" w:type="dxa"/>
            </w:tcMar>
          </w:tcPr>
          <w:p>
            <w:pPr>
              <w:spacing w:after="40"/>
            </w:pPr>
            <w:r>
              <w:rPr>
                <w:sz w:val="17"/>
              </w:rPr>
              <w:t>What will prove impact at 30, 60, and 90 days, and what should stop if evidence is weak?</w:t>
            </w:r>
          </w:p>
        </w:tc>
        <w:tc>
          <w:tcPr>
            <w:tcW w:type="dxa" w:w="2736"/>
            <w:vAlign w:val="center"/>
            <w:tcMar>
              <w:top w:w="100" w:type="dxa"/>
              <w:start w:w="100" w:type="dxa"/>
              <w:bottom w:w="100" w:type="dxa"/>
              <w:end w:w="100" w:type="dxa"/>
            </w:tcMar>
          </w:tcPr>
          <w:p>
            <w:pPr>
              <w:spacing w:after="40"/>
            </w:pPr>
            <w:r>
              <w:rPr>
                <w:sz w:val="17"/>
              </w:rPr>
              <w:t>Benefits owner, dashboard, stage gates, scale/stop decision.</w:t>
            </w:r>
          </w:p>
        </w:tc>
      </w:tr>
    </w:tbl>
    <w:p>
      <w:pPr>
        <w:spacing w:after="40"/>
      </w:pPr>
    </w:p>
    <w:p>
      <w:pPr>
        <w:pStyle w:val="Heading1"/>
      </w:pPr>
      <w:r>
        <w:t>Sample Customer Stories</w:t>
      </w:r>
    </w:p>
    <w:p>
      <w:pPr>
        <w:pStyle w:val="Heading2"/>
      </w:pPr>
      <w:r>
        <w:t>Story 1: Sarvam AI - Indic generative AI at scale</w:t>
      </w:r>
    </w:p>
    <w:p>
      <w:r>
        <w:t>Context: Sarvam AI is developing generative AI for Indian languages and contexts, including a voice LLM intended initially for Hindi. Microsoft reported collaboration to use Azure AI infrastructure, including Azure OpenAI Service and Azure Machine Learning, for training, hosting, and scaling. Trainer angle: discuss multilingual model quality, speech latency, evaluation by language and dialect, cost-efficient inference, responsible AI, and ecosystem distribution through Azure.</w:t>
      </w:r>
    </w:p>
    <w:p>
      <w:r>
        <w:t>Source: https://news.microsoft.com/en-in/indian-startup-sarvam-ai-collaborates-with-microsoft-to-bring-its-indic-voice-large-language-model-llm-to-azure/</w:t>
      </w:r>
    </w:p>
    <w:p>
      <w:pPr>
        <w:pStyle w:val="Heading2"/>
      </w:pPr>
      <w:r>
        <w:t>Story 2: Udaan - cloud-native B2B commerce</w:t>
      </w:r>
    </w:p>
    <w:p>
      <w:r>
        <w:t>Context: Microsoft documented Udaan as an Indian B2B marketplace that ran on Azure from its beginning. The story highlights the productivity leverage of a small engineering team and the need to serve a fragmented Indian SME ecosystem. Trainer angle: explore marketplace architecture, multi-tenant scale, event-driven order and credit workflows, reliability, fraud controls, data products, and cost per transaction.</w:t>
      </w:r>
    </w:p>
    <w:p>
      <w:r>
        <w:t>Source: https://news.microsoft.com/en-in/features/udaan-digital-transformation-b2b-commerce-microsoft-cloud/</w:t>
      </w:r>
    </w:p>
    <w:p>
      <w:pPr>
        <w:pStyle w:val="Heading2"/>
      </w:pPr>
      <w:r>
        <w:t>Story 3: Myntra - generative AI for open-ended discovery</w:t>
      </w:r>
    </w:p>
    <w:p>
      <w:r>
        <w:t>Context: Microsoft cited Myntra using generative AI to address open-ended fashion search and help shoppers decide what to wear based on occasion. Trainer angle: cover multimodal retrieval, catalog grounding, recommendation quality, experimentation, conversion, safety, latency, and inference economics. This is a concise public example rather than a full implementation blueprint.</w:t>
      </w:r>
    </w:p>
    <w:p>
      <w:r>
        <w:t>Source: https://news.microsoft.com/en-in/microsoft-is-copiloting-every-sector-industry-and-citizen-in-india-to-transform-with-ai/</w:t>
      </w:r>
    </w:p>
    <w:p>
      <w:pPr>
        <w:pStyle w:val="Heading2"/>
      </w:pPr>
      <w:r>
        <w:t>Story 4: Composite example - growth-stage SaaS engineering system</w:t>
      </w:r>
    </w:p>
    <w:p>
      <w:r>
        <w:t>Illustrative scenario: A fictitious India-based B2B SaaS company standardizes GitHub Copilot, reusable GitHub Actions workflows, GitHub Advanced Security, Azure landing zones, and Microsoft Foundry evaluation gates. Target outcomes include shorter lead time, lower change failure rate, faster vulnerability remediation, and controlled AI cost per tenant. This is a composite scenario for workshop practice and must not be represented as a named customer result.</w:t>
      </w:r>
    </w:p>
    <w:p>
      <w:pPr>
        <w:pStyle w:val="Heading1"/>
      </w:pPr>
      <w:r>
        <w:t>Regulatory, Security and Governance Realities</w:t>
      </w:r>
    </w:p>
    <w:p>
      <w:r>
        <w:t>Digital Personal Data Protection Act, 2023 and applicable rules/guidance: establish lawful processing, notices/consent where applicable, data-principal rights, processor controls, breach response, retention, and cross-border/legal review with qualified counsel.</w:t>
      </w:r>
    </w:p>
    <w:p>
      <w:r>
        <w:t>CERT-In Directions (2022): incorporate incident reporting, time synchronization, log retention, and designated point-of-contact requirements into operational playbooks where applicable.</w:t>
      </w:r>
    </w:p>
    <w:p>
      <w:r>
        <w:t>Reserve Bank of India and sector-specific regulation: fintechs and regulated partners must map cloud, outsourcing, cybersecurity, payment-data, audit, resilience, and third-party obligations to the exact regulated entity and use case.</w:t>
      </w:r>
    </w:p>
    <w:p>
      <w:r>
        <w:t>AI governance: use Microsoft Responsible AI principles, risk classification, impact assessment, evaluation, transparency, human oversight, security testing, and post-deployment monitoring.</w:t>
      </w:r>
    </w:p>
    <w:p>
      <w:r>
        <w:t>Data residency is not a universal proxy for compliance: classify data and determine contractual, sectoral, customer, and legal requirements workload by workload.</w:t>
      </w:r>
    </w:p>
    <w:p>
      <w:r>
        <w:t>Open-source and model supply chain: govern licenses, provenance, model cards, SBOMs, dependencies, secrets, and third-party model/service risks.</w:t>
      </w:r>
    </w:p>
    <w:p>
      <w:r>
        <w:t>Important: This primer is operational guidance, not legal advice. Validate current regulatory obligations with legal, privacy, security, and sector specialists before customer use.</w:t>
      </w:r>
    </w:p>
    <w:p>
      <w:pPr>
        <w:pStyle w:val="Heading1"/>
      </w:pPr>
      <w:r>
        <w:t>90-Day Best-Practice Activation Plan</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1656"/>
            <w:shd w:fill="0F4761"/>
            <w:vAlign w:val="center"/>
            <w:tcMar>
              <w:top w:w="100" w:type="dxa"/>
              <w:start w:w="100" w:type="dxa"/>
              <w:bottom w:w="100" w:type="dxa"/>
              <w:end w:w="100" w:type="dxa"/>
            </w:tcMar>
          </w:tcPr>
          <w:p>
            <w:r>
              <w:rPr>
                <w:b/>
                <w:color w:val="FFFFFF"/>
                <w:sz w:val="18"/>
              </w:rPr>
              <w:t>Horizon</w:t>
            </w:r>
          </w:p>
        </w:tc>
        <w:tc>
          <w:tcPr>
            <w:tcW w:type="dxa" w:w="5616"/>
            <w:shd w:fill="0F4761"/>
            <w:vAlign w:val="center"/>
            <w:tcMar>
              <w:top w:w="100" w:type="dxa"/>
              <w:start w:w="100" w:type="dxa"/>
              <w:bottom w:w="100" w:type="dxa"/>
              <w:end w:w="100" w:type="dxa"/>
            </w:tcMar>
          </w:tcPr>
          <w:p>
            <w:r>
              <w:rPr>
                <w:b/>
                <w:color w:val="FFFFFF"/>
                <w:sz w:val="18"/>
              </w:rPr>
              <w:t>Actions</w:t>
            </w:r>
          </w:p>
        </w:tc>
        <w:tc>
          <w:tcPr>
            <w:tcW w:type="dxa" w:w="3240"/>
            <w:shd w:fill="0F4761"/>
            <w:vAlign w:val="center"/>
            <w:tcMar>
              <w:top w:w="100" w:type="dxa"/>
              <w:start w:w="100" w:type="dxa"/>
              <w:bottom w:w="100" w:type="dxa"/>
              <w:end w:w="100" w:type="dxa"/>
            </w:tcMar>
          </w:tcPr>
          <w:p>
            <w:r>
              <w:rPr>
                <w:b/>
                <w:color w:val="FFFFFF"/>
                <w:sz w:val="18"/>
              </w:rPr>
              <w:t>Evidence of progress</w:t>
            </w:r>
          </w:p>
        </w:tc>
      </w:tr>
      <w:tr>
        <w:tc>
          <w:tcPr>
            <w:tcW w:type="dxa" w:w="1656"/>
            <w:vAlign w:val="center"/>
            <w:tcMar>
              <w:top w:w="100" w:type="dxa"/>
              <w:start w:w="100" w:type="dxa"/>
              <w:bottom w:w="100" w:type="dxa"/>
              <w:end w:w="100" w:type="dxa"/>
            </w:tcMar>
          </w:tcPr>
          <w:p>
            <w:pPr>
              <w:spacing w:after="40"/>
            </w:pPr>
            <w:r>
              <w:rPr>
                <w:sz w:val="17"/>
              </w:rPr>
              <w:t>Days 0-30</w:t>
            </w:r>
          </w:p>
        </w:tc>
        <w:tc>
          <w:tcPr>
            <w:tcW w:type="dxa" w:w="5616"/>
            <w:vAlign w:val="center"/>
            <w:tcMar>
              <w:top w:w="100" w:type="dxa"/>
              <w:start w:w="100" w:type="dxa"/>
              <w:bottom w:w="100" w:type="dxa"/>
              <w:end w:w="100" w:type="dxa"/>
            </w:tcMar>
          </w:tcPr>
          <w:p>
            <w:pPr>
              <w:spacing w:after="40"/>
            </w:pPr>
            <w:r>
              <w:rPr>
                <w:sz w:val="17"/>
              </w:rPr>
              <w:t>Select two priority scenarios; baseline KPIs; map data and risks; establish executive, product, adoption, and engineering owners.</w:t>
            </w:r>
          </w:p>
        </w:tc>
        <w:tc>
          <w:tcPr>
            <w:tcW w:type="dxa" w:w="3240"/>
            <w:vAlign w:val="center"/>
            <w:tcMar>
              <w:top w:w="100" w:type="dxa"/>
              <w:start w:w="100" w:type="dxa"/>
              <w:bottom w:w="100" w:type="dxa"/>
              <w:end w:w="100" w:type="dxa"/>
            </w:tcMar>
          </w:tcPr>
          <w:p>
            <w:pPr>
              <w:spacing w:after="40"/>
            </w:pPr>
            <w:r>
              <w:rPr>
                <w:sz w:val="17"/>
              </w:rPr>
              <w:t>Value canvas, architecture hypothesis, risk register, baseline dashboard.</w:t>
            </w:r>
          </w:p>
        </w:tc>
      </w:tr>
      <w:tr>
        <w:tc>
          <w:tcPr>
            <w:tcW w:type="dxa" w:w="1656"/>
            <w:vAlign w:val="center"/>
            <w:tcMar>
              <w:top w:w="100" w:type="dxa"/>
              <w:start w:w="100" w:type="dxa"/>
              <w:bottom w:w="100" w:type="dxa"/>
              <w:end w:w="100" w:type="dxa"/>
            </w:tcMar>
          </w:tcPr>
          <w:p>
            <w:pPr>
              <w:spacing w:after="40"/>
            </w:pPr>
            <w:r>
              <w:rPr>
                <w:sz w:val="17"/>
              </w:rPr>
              <w:t>Days 31-60</w:t>
            </w:r>
          </w:p>
        </w:tc>
        <w:tc>
          <w:tcPr>
            <w:tcW w:type="dxa" w:w="5616"/>
            <w:vAlign w:val="center"/>
            <w:tcMar>
              <w:top w:w="100" w:type="dxa"/>
              <w:start w:w="100" w:type="dxa"/>
              <w:bottom w:w="100" w:type="dxa"/>
              <w:end w:w="100" w:type="dxa"/>
            </w:tcMar>
          </w:tcPr>
          <w:p>
            <w:pPr>
              <w:spacing w:after="40"/>
            </w:pPr>
            <w:r>
              <w:rPr>
                <w:sz w:val="17"/>
              </w:rPr>
              <w:t>Build a thin vertical slice; automate secure delivery; implement evaluation, observability, cost telemetry, and human escalation.</w:t>
            </w:r>
          </w:p>
        </w:tc>
        <w:tc>
          <w:tcPr>
            <w:tcW w:type="dxa" w:w="3240"/>
            <w:vAlign w:val="center"/>
            <w:tcMar>
              <w:top w:w="100" w:type="dxa"/>
              <w:start w:w="100" w:type="dxa"/>
              <w:bottom w:w="100" w:type="dxa"/>
              <w:end w:w="100" w:type="dxa"/>
            </w:tcMar>
          </w:tcPr>
          <w:p>
            <w:pPr>
              <w:spacing w:after="40"/>
            </w:pPr>
            <w:r>
              <w:rPr>
                <w:sz w:val="17"/>
              </w:rPr>
              <w:t>Working pilot, evaluation report, threat model, unit-cost view, user feedback.</w:t>
            </w:r>
          </w:p>
        </w:tc>
      </w:tr>
      <w:tr>
        <w:tc>
          <w:tcPr>
            <w:tcW w:type="dxa" w:w="1656"/>
            <w:vAlign w:val="center"/>
            <w:tcMar>
              <w:top w:w="100" w:type="dxa"/>
              <w:start w:w="100" w:type="dxa"/>
              <w:bottom w:w="100" w:type="dxa"/>
              <w:end w:w="100" w:type="dxa"/>
            </w:tcMar>
          </w:tcPr>
          <w:p>
            <w:pPr>
              <w:spacing w:after="40"/>
            </w:pPr>
            <w:r>
              <w:rPr>
                <w:sz w:val="17"/>
              </w:rPr>
              <w:t>Days 61-90</w:t>
            </w:r>
          </w:p>
        </w:tc>
        <w:tc>
          <w:tcPr>
            <w:tcW w:type="dxa" w:w="5616"/>
            <w:vAlign w:val="center"/>
            <w:tcMar>
              <w:top w:w="100" w:type="dxa"/>
              <w:start w:w="100" w:type="dxa"/>
              <w:bottom w:w="100" w:type="dxa"/>
              <w:end w:w="100" w:type="dxa"/>
            </w:tcMar>
          </w:tcPr>
          <w:p>
            <w:pPr>
              <w:spacing w:after="40"/>
            </w:pPr>
            <w:r>
              <w:rPr>
                <w:sz w:val="17"/>
              </w:rPr>
              <w:t>Run controlled production cohort; compare outcome vs baseline; remediate gaps; decide scale, pivot, or stop.</w:t>
            </w:r>
          </w:p>
        </w:tc>
        <w:tc>
          <w:tcPr>
            <w:tcW w:type="dxa" w:w="3240"/>
            <w:vAlign w:val="center"/>
            <w:tcMar>
              <w:top w:w="100" w:type="dxa"/>
              <w:start w:w="100" w:type="dxa"/>
              <w:bottom w:w="100" w:type="dxa"/>
              <w:end w:w="100" w:type="dxa"/>
            </w:tcMar>
          </w:tcPr>
          <w:p>
            <w:pPr>
              <w:spacing w:after="40"/>
            </w:pPr>
            <w:r>
              <w:rPr>
                <w:sz w:val="17"/>
              </w:rPr>
              <w:t>Benefits review, adoption funnel, reliability/security scorecard, scale decision.</w:t>
            </w:r>
          </w:p>
        </w:tc>
      </w:tr>
    </w:tbl>
    <w:p>
      <w:pPr>
        <w:spacing w:after="40"/>
      </w:pPr>
    </w:p>
    <w:p>
      <w:pPr>
        <w:pStyle w:val="Heading1"/>
      </w:pPr>
      <w:r>
        <w:t>Dashboard Measurement Model</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1872"/>
            <w:shd w:fill="0F4761"/>
            <w:vAlign w:val="center"/>
            <w:tcMar>
              <w:top w:w="100" w:type="dxa"/>
              <w:start w:w="100" w:type="dxa"/>
              <w:bottom w:w="100" w:type="dxa"/>
              <w:end w:w="100" w:type="dxa"/>
            </w:tcMar>
          </w:tcPr>
          <w:p>
            <w:r>
              <w:rPr>
                <w:b/>
                <w:color w:val="FFFFFF"/>
                <w:sz w:val="18"/>
              </w:rPr>
              <w:t>Dimension</w:t>
            </w:r>
          </w:p>
        </w:tc>
        <w:tc>
          <w:tcPr>
            <w:tcW w:type="dxa" w:w="4824"/>
            <w:shd w:fill="0F4761"/>
            <w:vAlign w:val="center"/>
            <w:tcMar>
              <w:top w:w="100" w:type="dxa"/>
              <w:start w:w="100" w:type="dxa"/>
              <w:bottom w:w="100" w:type="dxa"/>
              <w:end w:w="100" w:type="dxa"/>
            </w:tcMar>
          </w:tcPr>
          <w:p>
            <w:r>
              <w:rPr>
                <w:b/>
                <w:color w:val="FFFFFF"/>
                <w:sz w:val="18"/>
              </w:rPr>
              <w:t>Example KPIs</w:t>
            </w:r>
          </w:p>
        </w:tc>
        <w:tc>
          <w:tcPr>
            <w:tcW w:type="dxa" w:w="3816"/>
            <w:shd w:fill="0F4761"/>
            <w:vAlign w:val="center"/>
            <w:tcMar>
              <w:top w:w="100" w:type="dxa"/>
              <w:start w:w="100" w:type="dxa"/>
              <w:bottom w:w="100" w:type="dxa"/>
              <w:end w:w="100" w:type="dxa"/>
            </w:tcMar>
          </w:tcPr>
          <w:p>
            <w:r>
              <w:rPr>
                <w:b/>
                <w:color w:val="FFFFFF"/>
                <w:sz w:val="18"/>
              </w:rPr>
              <w:t>Interpretation</w:t>
            </w:r>
          </w:p>
        </w:tc>
      </w:tr>
      <w:tr>
        <w:tc>
          <w:tcPr>
            <w:tcW w:type="dxa" w:w="1872"/>
            <w:vAlign w:val="center"/>
            <w:tcMar>
              <w:top w:w="100" w:type="dxa"/>
              <w:start w:w="100" w:type="dxa"/>
              <w:bottom w:w="100" w:type="dxa"/>
              <w:end w:w="100" w:type="dxa"/>
            </w:tcMar>
          </w:tcPr>
          <w:p>
            <w:pPr>
              <w:spacing w:after="40"/>
            </w:pPr>
            <w:r>
              <w:rPr>
                <w:sz w:val="17"/>
              </w:rPr>
              <w:t>Business value</w:t>
            </w:r>
          </w:p>
        </w:tc>
        <w:tc>
          <w:tcPr>
            <w:tcW w:type="dxa" w:w="4824"/>
            <w:vAlign w:val="center"/>
            <w:tcMar>
              <w:top w:w="100" w:type="dxa"/>
              <w:start w:w="100" w:type="dxa"/>
              <w:bottom w:w="100" w:type="dxa"/>
              <w:end w:w="100" w:type="dxa"/>
            </w:tcMar>
          </w:tcPr>
          <w:p>
            <w:pPr>
              <w:spacing w:after="40"/>
            </w:pPr>
            <w:r>
              <w:rPr>
                <w:sz w:val="17"/>
              </w:rPr>
              <w:t>Revenue influenced, conversion uplift, cost avoided, gross-margin impact</w:t>
            </w:r>
          </w:p>
        </w:tc>
        <w:tc>
          <w:tcPr>
            <w:tcW w:type="dxa" w:w="3816"/>
            <w:vAlign w:val="center"/>
            <w:tcMar>
              <w:top w:w="100" w:type="dxa"/>
              <w:start w:w="100" w:type="dxa"/>
              <w:bottom w:w="100" w:type="dxa"/>
              <w:end w:w="100" w:type="dxa"/>
            </w:tcMar>
          </w:tcPr>
          <w:p>
            <w:pPr>
              <w:spacing w:after="40"/>
            </w:pPr>
            <w:r>
              <w:rPr>
                <w:sz w:val="17"/>
              </w:rPr>
              <w:t>Is the transformation changing enterprise value?</w:t>
            </w:r>
          </w:p>
        </w:tc>
      </w:tr>
      <w:tr>
        <w:tc>
          <w:tcPr>
            <w:tcW w:type="dxa" w:w="1872"/>
            <w:vAlign w:val="center"/>
            <w:tcMar>
              <w:top w:w="100" w:type="dxa"/>
              <w:start w:w="100" w:type="dxa"/>
              <w:bottom w:w="100" w:type="dxa"/>
              <w:end w:w="100" w:type="dxa"/>
            </w:tcMar>
          </w:tcPr>
          <w:p>
            <w:pPr>
              <w:spacing w:after="40"/>
            </w:pPr>
            <w:r>
              <w:rPr>
                <w:sz w:val="17"/>
              </w:rPr>
              <w:t>Customer and adoption</w:t>
            </w:r>
          </w:p>
        </w:tc>
        <w:tc>
          <w:tcPr>
            <w:tcW w:type="dxa" w:w="4824"/>
            <w:vAlign w:val="center"/>
            <w:tcMar>
              <w:top w:w="100" w:type="dxa"/>
              <w:start w:w="100" w:type="dxa"/>
              <w:bottom w:w="100" w:type="dxa"/>
              <w:end w:w="100" w:type="dxa"/>
            </w:tcMar>
          </w:tcPr>
          <w:p>
            <w:pPr>
              <w:spacing w:after="40"/>
            </w:pPr>
            <w:r>
              <w:rPr>
                <w:sz w:val="17"/>
              </w:rPr>
              <w:t>Active users, task completion, containment, CSAT/NPS, repeat use</w:t>
            </w:r>
          </w:p>
        </w:tc>
        <w:tc>
          <w:tcPr>
            <w:tcW w:type="dxa" w:w="3816"/>
            <w:vAlign w:val="center"/>
            <w:tcMar>
              <w:top w:w="100" w:type="dxa"/>
              <w:start w:w="100" w:type="dxa"/>
              <w:bottom w:w="100" w:type="dxa"/>
              <w:end w:w="100" w:type="dxa"/>
            </w:tcMar>
          </w:tcPr>
          <w:p>
            <w:pPr>
              <w:spacing w:after="40"/>
            </w:pPr>
            <w:r>
              <w:rPr>
                <w:sz w:val="17"/>
              </w:rPr>
              <w:t>Are users obtaining repeatable value?</w:t>
            </w:r>
          </w:p>
        </w:tc>
      </w:tr>
      <w:tr>
        <w:tc>
          <w:tcPr>
            <w:tcW w:type="dxa" w:w="1872"/>
            <w:vAlign w:val="center"/>
            <w:tcMar>
              <w:top w:w="100" w:type="dxa"/>
              <w:start w:w="100" w:type="dxa"/>
              <w:bottom w:w="100" w:type="dxa"/>
              <w:end w:w="100" w:type="dxa"/>
            </w:tcMar>
          </w:tcPr>
          <w:p>
            <w:pPr>
              <w:spacing w:after="40"/>
            </w:pPr>
            <w:r>
              <w:rPr>
                <w:sz w:val="17"/>
              </w:rPr>
              <w:t>Engineering velocity</w:t>
            </w:r>
          </w:p>
        </w:tc>
        <w:tc>
          <w:tcPr>
            <w:tcW w:type="dxa" w:w="4824"/>
            <w:vAlign w:val="center"/>
            <w:tcMar>
              <w:top w:w="100" w:type="dxa"/>
              <w:start w:w="100" w:type="dxa"/>
              <w:bottom w:w="100" w:type="dxa"/>
              <w:end w:w="100" w:type="dxa"/>
            </w:tcMar>
          </w:tcPr>
          <w:p>
            <w:pPr>
              <w:spacing w:after="40"/>
            </w:pPr>
            <w:r>
              <w:rPr>
                <w:sz w:val="17"/>
              </w:rPr>
              <w:t>Deployment frequency, lead time, change failure rate, MTTR</w:t>
            </w:r>
          </w:p>
        </w:tc>
        <w:tc>
          <w:tcPr>
            <w:tcW w:type="dxa" w:w="3816"/>
            <w:vAlign w:val="center"/>
            <w:tcMar>
              <w:top w:w="100" w:type="dxa"/>
              <w:start w:w="100" w:type="dxa"/>
              <w:bottom w:w="100" w:type="dxa"/>
              <w:end w:w="100" w:type="dxa"/>
            </w:tcMar>
          </w:tcPr>
          <w:p>
            <w:pPr>
              <w:spacing w:after="40"/>
            </w:pPr>
            <w:r>
              <w:rPr>
                <w:sz w:val="17"/>
              </w:rPr>
              <w:t>Is the engineering system improving safely?</w:t>
            </w:r>
          </w:p>
        </w:tc>
      </w:tr>
      <w:tr>
        <w:tc>
          <w:tcPr>
            <w:tcW w:type="dxa" w:w="1872"/>
            <w:vAlign w:val="center"/>
            <w:tcMar>
              <w:top w:w="100" w:type="dxa"/>
              <w:start w:w="100" w:type="dxa"/>
              <w:bottom w:w="100" w:type="dxa"/>
              <w:end w:w="100" w:type="dxa"/>
            </w:tcMar>
          </w:tcPr>
          <w:p>
            <w:pPr>
              <w:spacing w:after="40"/>
            </w:pPr>
            <w:r>
              <w:rPr>
                <w:sz w:val="17"/>
              </w:rPr>
              <w:t>AI quality</w:t>
            </w:r>
          </w:p>
        </w:tc>
        <w:tc>
          <w:tcPr>
            <w:tcW w:type="dxa" w:w="4824"/>
            <w:vAlign w:val="center"/>
            <w:tcMar>
              <w:top w:w="100" w:type="dxa"/>
              <w:start w:w="100" w:type="dxa"/>
              <w:bottom w:w="100" w:type="dxa"/>
              <w:end w:w="100" w:type="dxa"/>
            </w:tcMar>
          </w:tcPr>
          <w:p>
            <w:pPr>
              <w:spacing w:after="40"/>
            </w:pPr>
            <w:r>
              <w:rPr>
                <w:sz w:val="17"/>
              </w:rPr>
              <w:t>Groundedness, task success, safety pass rate, escalation rate, drift</w:t>
            </w:r>
          </w:p>
        </w:tc>
        <w:tc>
          <w:tcPr>
            <w:tcW w:type="dxa" w:w="3816"/>
            <w:vAlign w:val="center"/>
            <w:tcMar>
              <w:top w:w="100" w:type="dxa"/>
              <w:start w:w="100" w:type="dxa"/>
              <w:bottom w:w="100" w:type="dxa"/>
              <w:end w:w="100" w:type="dxa"/>
            </w:tcMar>
          </w:tcPr>
          <w:p>
            <w:pPr>
              <w:spacing w:after="40"/>
            </w:pPr>
            <w:r>
              <w:rPr>
                <w:sz w:val="17"/>
              </w:rPr>
              <w:t>Is the AI reliable for the intended task?</w:t>
            </w:r>
          </w:p>
        </w:tc>
      </w:tr>
      <w:tr>
        <w:tc>
          <w:tcPr>
            <w:tcW w:type="dxa" w:w="1872"/>
            <w:vAlign w:val="center"/>
            <w:tcMar>
              <w:top w:w="100" w:type="dxa"/>
              <w:start w:w="100" w:type="dxa"/>
              <w:bottom w:w="100" w:type="dxa"/>
              <w:end w:w="100" w:type="dxa"/>
            </w:tcMar>
          </w:tcPr>
          <w:p>
            <w:pPr>
              <w:spacing w:after="40"/>
            </w:pPr>
            <w:r>
              <w:rPr>
                <w:sz w:val="17"/>
              </w:rPr>
              <w:t>Trust and security</w:t>
            </w:r>
          </w:p>
        </w:tc>
        <w:tc>
          <w:tcPr>
            <w:tcW w:type="dxa" w:w="4824"/>
            <w:vAlign w:val="center"/>
            <w:tcMar>
              <w:top w:w="100" w:type="dxa"/>
              <w:start w:w="100" w:type="dxa"/>
              <w:bottom w:w="100" w:type="dxa"/>
              <w:end w:w="100" w:type="dxa"/>
            </w:tcMar>
          </w:tcPr>
          <w:p>
            <w:pPr>
              <w:spacing w:after="40"/>
            </w:pPr>
            <w:r>
              <w:rPr>
                <w:sz w:val="17"/>
              </w:rPr>
              <w:t>Critical findings, mean time to remediate, policy compliance, incidents</w:t>
            </w:r>
          </w:p>
        </w:tc>
        <w:tc>
          <w:tcPr>
            <w:tcW w:type="dxa" w:w="3816"/>
            <w:vAlign w:val="center"/>
            <w:tcMar>
              <w:top w:w="100" w:type="dxa"/>
              <w:start w:w="100" w:type="dxa"/>
              <w:bottom w:w="100" w:type="dxa"/>
              <w:end w:w="100" w:type="dxa"/>
            </w:tcMar>
          </w:tcPr>
          <w:p>
            <w:pPr>
              <w:spacing w:after="40"/>
            </w:pPr>
            <w:r>
              <w:rPr>
                <w:sz w:val="17"/>
              </w:rPr>
              <w:t>Is risk controlled and evidenced?</w:t>
            </w:r>
          </w:p>
        </w:tc>
      </w:tr>
      <w:tr>
        <w:tc>
          <w:tcPr>
            <w:tcW w:type="dxa" w:w="1872"/>
            <w:vAlign w:val="center"/>
            <w:tcMar>
              <w:top w:w="100" w:type="dxa"/>
              <w:start w:w="100" w:type="dxa"/>
              <w:bottom w:w="100" w:type="dxa"/>
              <w:end w:w="100" w:type="dxa"/>
            </w:tcMar>
          </w:tcPr>
          <w:p>
            <w:pPr>
              <w:spacing w:after="40"/>
            </w:pPr>
            <w:r>
              <w:rPr>
                <w:sz w:val="17"/>
              </w:rPr>
              <w:t>Economics</w:t>
            </w:r>
          </w:p>
        </w:tc>
        <w:tc>
          <w:tcPr>
            <w:tcW w:type="dxa" w:w="4824"/>
            <w:vAlign w:val="center"/>
            <w:tcMar>
              <w:top w:w="100" w:type="dxa"/>
              <w:start w:w="100" w:type="dxa"/>
              <w:bottom w:w="100" w:type="dxa"/>
              <w:end w:w="100" w:type="dxa"/>
            </w:tcMar>
          </w:tcPr>
          <w:p>
            <w:pPr>
              <w:spacing w:after="40"/>
            </w:pPr>
            <w:r>
              <w:rPr>
                <w:sz w:val="17"/>
              </w:rPr>
              <w:t>Cloud cost per transaction, AI cost per successful task, utilization</w:t>
            </w:r>
          </w:p>
        </w:tc>
        <w:tc>
          <w:tcPr>
            <w:tcW w:type="dxa" w:w="3816"/>
            <w:vAlign w:val="center"/>
            <w:tcMar>
              <w:top w:w="100" w:type="dxa"/>
              <w:start w:w="100" w:type="dxa"/>
              <w:bottom w:w="100" w:type="dxa"/>
              <w:end w:w="100" w:type="dxa"/>
            </w:tcMar>
          </w:tcPr>
          <w:p>
            <w:pPr>
              <w:spacing w:after="40"/>
            </w:pPr>
            <w:r>
              <w:rPr>
                <w:sz w:val="17"/>
              </w:rPr>
              <w:t>Can the solution scale with viable unit economics?</w:t>
            </w:r>
          </w:p>
        </w:tc>
      </w:tr>
      <w:tr>
        <w:tc>
          <w:tcPr>
            <w:tcW w:type="dxa" w:w="1872"/>
            <w:vAlign w:val="center"/>
            <w:tcMar>
              <w:top w:w="100" w:type="dxa"/>
              <w:start w:w="100" w:type="dxa"/>
              <w:bottom w:w="100" w:type="dxa"/>
              <w:end w:w="100" w:type="dxa"/>
            </w:tcMar>
          </w:tcPr>
          <w:p>
            <w:pPr>
              <w:spacing w:after="40"/>
            </w:pPr>
            <w:r>
              <w:rPr>
                <w:sz w:val="17"/>
              </w:rPr>
              <w:t>Readiness</w:t>
            </w:r>
          </w:p>
        </w:tc>
        <w:tc>
          <w:tcPr>
            <w:tcW w:type="dxa" w:w="4824"/>
            <w:vAlign w:val="center"/>
            <w:tcMar>
              <w:top w:w="100" w:type="dxa"/>
              <w:start w:w="100" w:type="dxa"/>
              <w:bottom w:w="100" w:type="dxa"/>
              <w:end w:w="100" w:type="dxa"/>
            </w:tcMar>
          </w:tcPr>
          <w:p>
            <w:pPr>
              <w:spacing w:after="40"/>
            </w:pPr>
            <w:r>
              <w:rPr>
                <w:sz w:val="17"/>
              </w:rPr>
              <w:t>Role coverage, skill attainment, reusable assets, adoption champions</w:t>
            </w:r>
          </w:p>
        </w:tc>
        <w:tc>
          <w:tcPr>
            <w:tcW w:type="dxa" w:w="3816"/>
            <w:vAlign w:val="center"/>
            <w:tcMar>
              <w:top w:w="100" w:type="dxa"/>
              <w:start w:w="100" w:type="dxa"/>
              <w:bottom w:w="100" w:type="dxa"/>
              <w:end w:w="100" w:type="dxa"/>
            </w:tcMar>
          </w:tcPr>
          <w:p>
            <w:pPr>
              <w:spacing w:after="40"/>
            </w:pPr>
            <w:r>
              <w:rPr>
                <w:sz w:val="17"/>
              </w:rPr>
              <w:t>Can the organization sustain and replicate the change?</w:t>
            </w:r>
          </w:p>
        </w:tc>
      </w:tr>
    </w:tbl>
    <w:p>
      <w:pPr>
        <w:spacing w:after="40"/>
      </w:pPr>
    </w:p>
    <w:p>
      <w:pPr>
        <w:pStyle w:val="Heading1"/>
      </w:pPr>
      <w:r>
        <w:t>Further Reading</w:t>
      </w:r>
    </w:p>
    <w:p>
      <w:r>
        <w:t>Frontier Transformation Industry Primers: https://learningpath.microsoft.com/12949</w:t>
      </w:r>
    </w:p>
    <w:p>
      <w:r>
        <w:t>Microsoft Industry Hub: https://aka.ms/industry</w:t>
      </w:r>
    </w:p>
    <w:p>
      <w:r>
        <w:t>Microsoft AI First Movers - India and South Asia: https://www.microsoft.com/en-in/aifirstmovers</w:t>
      </w:r>
    </w:p>
    <w:p>
      <w:r>
        <w:t>Azure customer stories: https://azure.microsoft.com/en-in/resources/customer-stories</w:t>
      </w:r>
    </w:p>
    <w:p>
      <w:r>
        <w:t>Microsoft Responsible AI: https://www.microsoft.com/ai/responsible-ai</w:t>
      </w:r>
    </w:p>
    <w:p>
      <w:r>
        <w:t>Microsoft Cloud Adoption Framework: https://learn.microsoft.com/azure/cloud-adoption-framework/</w:t>
      </w:r>
    </w:p>
    <w:p>
      <w:r>
        <w:t>Microsoft Azure Well-Architected Framework: https://learn.microsoft.com/azure/well-architected/</w:t>
      </w:r>
    </w:p>
    <w:p>
      <w:r>
        <w:t>CERT-In Directions: https://www.cert-in.org.in/</w:t>
      </w:r>
    </w:p>
    <w:sectPr w:rsidR="00BB18C0" w:rsidRPr="00F42CA5">
      <w:footerReference w:type="default" r:id="rId11"/>
      <w:pgSz w:w="11906" w:h="16838"/>
      <w:pgMar w:top="936" w:right="979" w:bottom="936"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61D59" w14:textId="77777777" w:rsidR="007C166D" w:rsidRDefault="007C166D" w:rsidP="006D5983">
      <w:pPr>
        <w:spacing w:after="0" w:line="240" w:lineRule="auto"/>
      </w:pPr>
      <w:r>
        <w:separator/>
      </w:r>
    </w:p>
  </w:endnote>
  <w:endnote w:type="continuationSeparator" w:id="0">
    <w:p w14:paraId="111135E2" w14:textId="77777777" w:rsidR="007C166D" w:rsidRDefault="007C166D" w:rsidP="006D5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Digital Natives in India | Frontier Transformation Conversation Guide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28267" w14:textId="77777777" w:rsidR="007C166D" w:rsidRDefault="007C166D" w:rsidP="006D5983">
      <w:pPr>
        <w:spacing w:after="0" w:line="240" w:lineRule="auto"/>
      </w:pPr>
      <w:r>
        <w:separator/>
      </w:r>
    </w:p>
  </w:footnote>
  <w:footnote w:type="continuationSeparator" w:id="0">
    <w:p w14:paraId="35108791" w14:textId="77777777" w:rsidR="007C166D" w:rsidRDefault="007C166D" w:rsidP="006D5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56A"/>
    <w:multiLevelType w:val="hybridMultilevel"/>
    <w:tmpl w:val="A50A09F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E6E76A3"/>
    <w:multiLevelType w:val="hybridMultilevel"/>
    <w:tmpl w:val="2C5C21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646E259E"/>
    <w:multiLevelType w:val="multilevel"/>
    <w:tmpl w:val="9DD8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3399B"/>
    <w:multiLevelType w:val="multilevel"/>
    <w:tmpl w:val="4B30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4481930">
    <w:abstractNumId w:val="1"/>
  </w:num>
  <w:num w:numId="2" w16cid:durableId="585113476">
    <w:abstractNumId w:val="2"/>
  </w:num>
  <w:num w:numId="3" w16cid:durableId="1579242748">
    <w:abstractNumId w:val="0"/>
  </w:num>
  <w:num w:numId="4" w16cid:durableId="861406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9C"/>
    <w:rsid w:val="0010425E"/>
    <w:rsid w:val="001230F6"/>
    <w:rsid w:val="001A7A72"/>
    <w:rsid w:val="001C5F9A"/>
    <w:rsid w:val="001F774B"/>
    <w:rsid w:val="002C62A4"/>
    <w:rsid w:val="0036569B"/>
    <w:rsid w:val="0037078F"/>
    <w:rsid w:val="003A6D45"/>
    <w:rsid w:val="00416B07"/>
    <w:rsid w:val="004C22E8"/>
    <w:rsid w:val="004D1434"/>
    <w:rsid w:val="00535AC4"/>
    <w:rsid w:val="0058666D"/>
    <w:rsid w:val="005A1F48"/>
    <w:rsid w:val="005B052E"/>
    <w:rsid w:val="005F2D73"/>
    <w:rsid w:val="006036FD"/>
    <w:rsid w:val="00664F39"/>
    <w:rsid w:val="006A3BDE"/>
    <w:rsid w:val="006D5983"/>
    <w:rsid w:val="00722BC8"/>
    <w:rsid w:val="00752180"/>
    <w:rsid w:val="0076462F"/>
    <w:rsid w:val="0078757A"/>
    <w:rsid w:val="007C166D"/>
    <w:rsid w:val="00826C51"/>
    <w:rsid w:val="008A6B80"/>
    <w:rsid w:val="008B7804"/>
    <w:rsid w:val="008D4309"/>
    <w:rsid w:val="009373FD"/>
    <w:rsid w:val="009560A0"/>
    <w:rsid w:val="00997C84"/>
    <w:rsid w:val="009E7606"/>
    <w:rsid w:val="009F68E1"/>
    <w:rsid w:val="00A9025B"/>
    <w:rsid w:val="00A957FF"/>
    <w:rsid w:val="00AB1684"/>
    <w:rsid w:val="00AC289E"/>
    <w:rsid w:val="00B10D78"/>
    <w:rsid w:val="00BA1B24"/>
    <w:rsid w:val="00BB18C0"/>
    <w:rsid w:val="00BF7DE5"/>
    <w:rsid w:val="00C4095C"/>
    <w:rsid w:val="00C442EC"/>
    <w:rsid w:val="00CB4A1E"/>
    <w:rsid w:val="00D12BEE"/>
    <w:rsid w:val="00D21D49"/>
    <w:rsid w:val="00DF18A5"/>
    <w:rsid w:val="00E6349C"/>
    <w:rsid w:val="00E91087"/>
    <w:rsid w:val="00E9112D"/>
    <w:rsid w:val="00E92D8B"/>
    <w:rsid w:val="00E97C22"/>
    <w:rsid w:val="00EB6764"/>
    <w:rsid w:val="00EE11F1"/>
    <w:rsid w:val="00F42CA5"/>
    <w:rsid w:val="00FD6FAB"/>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42AF9"/>
  <w15:chartTrackingRefBased/>
  <w15:docId w15:val="{2945E401-5175-4C5D-A0C3-C0255B91D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S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next w:val="Normal"/>
    <w:link w:val="Heading1Char"/>
    <w:uiPriority w:val="9"/>
    <w:qFormat/>
    <w:rsid w:val="00E6349C"/>
    <w:pPr>
      <w:keepNext/>
      <w:keepLines/>
      <w:spacing w:before="360" w:after="80"/>
      <w:outlineLvl w:val="0"/>
    </w:pPr>
    <w:rPr>
      <w:rFonts w:asciiTheme="majorHAnsi" w:eastAsiaTheme="majorEastAsia" w:hAnsiTheme="majorHAnsi" w:cstheme="majorBidi" w:ascii="Aptos Display" w:hAnsi="Aptos Display"/>
      <w:color w:val="0F4761"/>
      <w:sz w:val="32"/>
      <w:szCs w:val="50"/>
    </w:rPr>
  </w:style>
  <w:style w:type="paragraph" w:styleId="Heading2">
    <w:name w:val="heading 2"/>
    <w:basedOn w:val="Normal"/>
    <w:next w:val="Normal"/>
    <w:link w:val="Heading2Char"/>
    <w:uiPriority w:val="9"/>
    <w:unhideWhenUsed/>
    <w:qFormat/>
    <w:rsid w:val="00E6349C"/>
    <w:pPr>
      <w:keepNext/>
      <w:keepLines/>
      <w:spacing w:before="160" w:after="80"/>
      <w:outlineLvl w:val="1"/>
    </w:pPr>
    <w:rPr>
      <w:rFonts w:asciiTheme="majorHAnsi" w:eastAsiaTheme="majorEastAsia" w:hAnsiTheme="majorHAnsi" w:cstheme="majorBidi" w:ascii="Aptos Display" w:hAnsi="Aptos Display"/>
      <w:color w:val="0078D4"/>
      <w:sz w:val="24"/>
      <w:szCs w:val="40"/>
    </w:rPr>
  </w:style>
  <w:style w:type="paragraph" w:styleId="Heading3">
    <w:name w:val="heading 3"/>
    <w:basedOn w:val="Normal"/>
    <w:next w:val="Normal"/>
    <w:link w:val="Heading3Char"/>
    <w:uiPriority w:val="9"/>
    <w:semiHidden/>
    <w:unhideWhenUsed/>
    <w:qFormat/>
    <w:rsid w:val="00E6349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63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9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6349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6349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63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9C"/>
    <w:rPr>
      <w:rFonts w:eastAsiaTheme="majorEastAsia" w:cstheme="majorBidi"/>
      <w:color w:val="272727" w:themeColor="text1" w:themeTint="D8"/>
    </w:rPr>
  </w:style>
  <w:style w:type="paragraph" w:styleId="Title">
    <w:name w:val="Title"/>
    <w:basedOn w:val="Normal"/>
    <w:next w:val="Normal"/>
    <w:link w:val="TitleChar"/>
    <w:uiPriority w:val="10"/>
    <w:qFormat/>
    <w:rsid w:val="00E6349C"/>
    <w:pPr>
      <w:spacing w:after="80" w:line="240" w:lineRule="auto"/>
      <w:contextualSpacing/>
    </w:pPr>
    <w:rPr>
      <w:rFonts w:asciiTheme="majorHAnsi" w:eastAsiaTheme="majorEastAsia" w:hAnsiTheme="majorHAnsi" w:cstheme="majorBidi" w:ascii="Aptos Display" w:hAnsi="Aptos Display"/>
      <w:color w:val="0F4761"/>
      <w:spacing w:val="-10"/>
      <w:kern w:val="28"/>
      <w:sz w:val="52"/>
      <w:szCs w:val="71"/>
    </w:rPr>
  </w:style>
  <w:style w:type="character" w:customStyle="1" w:styleId="TitleChar">
    <w:name w:val="Title Char"/>
    <w:basedOn w:val="DefaultParagraphFont"/>
    <w:link w:val="Title"/>
    <w:uiPriority w:val="10"/>
    <w:rsid w:val="00E634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6349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6349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6349C"/>
    <w:pPr>
      <w:spacing w:before="160"/>
      <w:jc w:val="center"/>
    </w:pPr>
    <w:rPr>
      <w:i/>
      <w:iCs/>
      <w:color w:val="404040" w:themeColor="text1" w:themeTint="BF"/>
    </w:rPr>
  </w:style>
  <w:style w:type="character" w:customStyle="1" w:styleId="QuoteChar">
    <w:name w:val="Quote Char"/>
    <w:basedOn w:val="DefaultParagraphFont"/>
    <w:link w:val="Quote"/>
    <w:uiPriority w:val="29"/>
    <w:rsid w:val="00E6349C"/>
    <w:rPr>
      <w:i/>
      <w:iCs/>
      <w:color w:val="404040" w:themeColor="text1" w:themeTint="BF"/>
    </w:rPr>
  </w:style>
  <w:style w:type="paragraph" w:styleId="ListParagraph">
    <w:name w:val="List Paragraph"/>
    <w:basedOn w:val="Normal"/>
    <w:uiPriority w:val="34"/>
    <w:qFormat/>
    <w:rsid w:val="00E6349C"/>
    <w:pPr>
      <w:ind w:left="720"/>
      <w:contextualSpacing/>
    </w:pPr>
  </w:style>
  <w:style w:type="character" w:styleId="IntenseEmphasis">
    <w:name w:val="Intense Emphasis"/>
    <w:basedOn w:val="DefaultParagraphFont"/>
    <w:uiPriority w:val="21"/>
    <w:qFormat/>
    <w:rsid w:val="00E6349C"/>
    <w:rPr>
      <w:i/>
      <w:iCs/>
      <w:color w:val="0F4761" w:themeColor="accent1" w:themeShade="BF"/>
    </w:rPr>
  </w:style>
  <w:style w:type="paragraph" w:styleId="IntenseQuote">
    <w:name w:val="Intense Quote"/>
    <w:basedOn w:val="Normal"/>
    <w:next w:val="Normal"/>
    <w:link w:val="IntenseQuoteChar"/>
    <w:uiPriority w:val="30"/>
    <w:qFormat/>
    <w:rsid w:val="00E63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49C"/>
    <w:rPr>
      <w:i/>
      <w:iCs/>
      <w:color w:val="0F4761" w:themeColor="accent1" w:themeShade="BF"/>
    </w:rPr>
  </w:style>
  <w:style w:type="character" w:styleId="IntenseReference">
    <w:name w:val="Intense Reference"/>
    <w:basedOn w:val="DefaultParagraphFont"/>
    <w:uiPriority w:val="32"/>
    <w:qFormat/>
    <w:rsid w:val="00E6349C"/>
    <w:rPr>
      <w:b/>
      <w:bCs/>
      <w:smallCaps/>
      <w:color w:val="0F4761" w:themeColor="accent1" w:themeShade="BF"/>
      <w:spacing w:val="5"/>
    </w:rPr>
  </w:style>
  <w:style w:type="paragraph" w:styleId="Header">
    <w:name w:val="header"/>
    <w:basedOn w:val="Normal"/>
    <w:link w:val="HeaderChar"/>
    <w:uiPriority w:val="99"/>
    <w:unhideWhenUsed/>
    <w:rsid w:val="006D59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983"/>
  </w:style>
  <w:style w:type="paragraph" w:styleId="Footer">
    <w:name w:val="footer"/>
    <w:basedOn w:val="Normal"/>
    <w:link w:val="FooterChar"/>
    <w:uiPriority w:val="99"/>
    <w:unhideWhenUsed/>
    <w:rsid w:val="006D59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983"/>
  </w:style>
  <w:style w:type="character" w:styleId="BookTitle">
    <w:name w:val="Book Title"/>
    <w:basedOn w:val="DefaultParagraphFont"/>
    <w:uiPriority w:val="33"/>
    <w:qFormat/>
    <w:rsid w:val="00E91087"/>
    <w:rPr>
      <w:b/>
      <w:bCs/>
      <w:i/>
      <w:iCs/>
      <w:spacing w:val="5"/>
    </w:rPr>
  </w:style>
  <w:style w:type="paragraph" w:styleId="Caption">
    <w:name w:val="caption"/>
    <w:basedOn w:val="Normal"/>
    <w:next w:val="Normal"/>
    <w:uiPriority w:val="35"/>
    <w:semiHidden/>
    <w:unhideWhenUsed/>
    <w:qFormat/>
    <w:rsid w:val="00E91087"/>
    <w:pPr>
      <w:spacing w:after="200" w:line="240" w:lineRule="auto"/>
    </w:pPr>
    <w:rPr>
      <w:i/>
      <w:iCs/>
      <w:color w:val="0E2841" w:themeColor="text2"/>
      <w:sz w:val="18"/>
      <w:szCs w:val="22"/>
    </w:rPr>
  </w:style>
  <w:style w:type="character" w:styleId="Emphasis">
    <w:name w:val="Emphasis"/>
    <w:basedOn w:val="DefaultParagraphFont"/>
    <w:uiPriority w:val="20"/>
    <w:qFormat/>
    <w:rsid w:val="00E91087"/>
    <w:rPr>
      <w:i/>
      <w:iCs/>
    </w:rPr>
  </w:style>
  <w:style w:type="paragraph" w:styleId="NoSpacing">
    <w:name w:val="No Spacing"/>
    <w:uiPriority w:val="1"/>
    <w:qFormat/>
    <w:rsid w:val="00E91087"/>
    <w:pPr>
      <w:spacing w:after="0" w:line="240" w:lineRule="auto"/>
    </w:pPr>
  </w:style>
  <w:style w:type="character" w:styleId="Strong">
    <w:name w:val="Strong"/>
    <w:basedOn w:val="DefaultParagraphFont"/>
    <w:uiPriority w:val="22"/>
    <w:qFormat/>
    <w:rsid w:val="00E91087"/>
    <w:rPr>
      <w:b/>
      <w:bCs/>
    </w:rPr>
  </w:style>
  <w:style w:type="character" w:styleId="SubtleEmphasis">
    <w:name w:val="Subtle Emphasis"/>
    <w:basedOn w:val="DefaultParagraphFont"/>
    <w:uiPriority w:val="19"/>
    <w:qFormat/>
    <w:rsid w:val="00E91087"/>
    <w:rPr>
      <w:i/>
      <w:iCs/>
      <w:color w:val="404040" w:themeColor="text1" w:themeTint="BF"/>
    </w:rPr>
  </w:style>
  <w:style w:type="character" w:styleId="SubtleReference">
    <w:name w:val="Subtle Reference"/>
    <w:basedOn w:val="DefaultParagraphFont"/>
    <w:uiPriority w:val="31"/>
    <w:qFormat/>
    <w:rsid w:val="00E91087"/>
    <w:rPr>
      <w:smallCaps/>
      <w:color w:val="5A5A5A" w:themeColor="text1" w:themeTint="A5"/>
    </w:rPr>
  </w:style>
  <w:style w:type="paragraph" w:styleId="TOCHeading">
    <w:name w:val="TOC Heading"/>
    <w:basedOn w:val="Heading1"/>
    <w:next w:val="Normal"/>
    <w:uiPriority w:val="39"/>
    <w:semiHidden/>
    <w:unhideWhenUsed/>
    <w:qFormat/>
    <w:rsid w:val="00E91087"/>
    <w:pPr>
      <w:spacing w:before="240" w:after="0"/>
      <w:outlineLvl w:val="9"/>
    </w:pPr>
    <w:rPr>
      <w:sz w:val="32"/>
      <w:szCs w:val="40"/>
    </w:rPr>
  </w:style>
  <w:style w:type="table" w:styleId="TableGrid">
    <w:name w:val="Table Grid"/>
    <w:basedOn w:val="TableNormal"/>
    <w:uiPriority w:val="39"/>
    <w:rsid w:val="00997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97C8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9F68E1"/>
    <w:rPr>
      <w:color w:val="467886" w:themeColor="hyperlink"/>
      <w:u w:val="single"/>
    </w:rPr>
  </w:style>
  <w:style w:type="character" w:styleId="UnresolvedMention">
    <w:name w:val="Unresolved Mention"/>
    <w:basedOn w:val="DefaultParagraphFont"/>
    <w:uiPriority w:val="99"/>
    <w:semiHidden/>
    <w:unhideWhenUsed/>
    <w:rsid w:val="009F68E1"/>
    <w:rPr>
      <w:color w:val="605E5C"/>
      <w:shd w:val="clear" w:color="auto" w:fill="E1DFDD"/>
    </w:rPr>
  </w:style>
  <w:style w:type="character" w:styleId="FollowedHyperlink">
    <w:name w:val="FollowedHyperlink"/>
    <w:basedOn w:val="DefaultParagraphFont"/>
    <w:uiPriority w:val="99"/>
    <w:semiHidden/>
    <w:unhideWhenUsed/>
    <w:rsid w:val="00BB18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industry" TargetMode="External"/><Relationship Id="rId3" Type="http://schemas.openxmlformats.org/officeDocument/2006/relationships/settings" Target="settings.xml"/><Relationship Id="rId7" Type="http://schemas.openxmlformats.org/officeDocument/2006/relationships/hyperlink" Target="https://learningpath.microsoft.com/129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Shivender Pratap Singh</dc:creator>
  <keywords/>
  <dc:description/>
  <lastModifiedBy>Shivender Pratap Singh</lastModifiedBy>
  <revision>3</revision>
  <dcterms:created xsi:type="dcterms:W3CDTF">2026-09-11T05:37:12.9210104Z</dcterms:created>
  <dcterms:modified xsi:type="dcterms:W3CDTF">2026-09-11T05:37:12.9210104Z</dcterms:modified>
</coreProperties>
</file>