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投标文件</w:t>
      </w:r>
    </w:p>
    <w:p>
      <w:pPr>
        <w:jc w:val="center"/>
      </w:pPr>
      <w:r>
        <w:rPr>
          <w:b/>
        </w:rPr>
        <w:t>P3 真预览示例项目 · 技术标</w:t>
      </w:r>
    </w:p>
    <w:p>
      <w:r>
        <w:t>本文件用于浏览器契约:预览面板必须按 docx 的真实内容渲染,而不是拿章节 Markdown 冒充。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招标要求</w:t>
            </w:r>
          </w:p>
        </w:tc>
        <w:tc>
          <w:tcPr>
            <w:tcW w:type="dxa" w:w="2880"/>
          </w:tcPr>
          <w:p>
            <w:r>
              <w:t>响应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按期交付</w:t>
            </w:r>
          </w:p>
        </w:tc>
        <w:tc>
          <w:tcPr>
            <w:tcW w:type="dxa" w:w="2880"/>
          </w:tcPr>
          <w:p>
            <w:r>
              <w:t>完全响应</w:t>
            </w:r>
          </w:p>
        </w:tc>
      </w:tr>
    </w:tbl>
    <w:p>
      <w:r>
        <w:br w:type="page"/>
      </w:r>
    </w:p>
    <w:p>
      <w:pPr>
        <w:pStyle w:val="Heading2"/>
      </w:pPr>
      <w:r>
        <w:t>售后服务方案</w:t>
      </w:r>
    </w:p>
    <w:p>
      <w:r>
        <w:t>7×24 小时响应,2 小时到场。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