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F306" w14:textId="77777777" w:rsidR="006F7481" w:rsidRPr="007A73AC" w:rsidRDefault="00000000" w:rsidP="001C78BE">
      <w:pPr>
        <w:pStyle w:val="Title"/>
        <w:jc w:val="left"/>
        <w:rPr>
          <w:rFonts w:ascii="Arial" w:hAnsi="Arial" w:cs="Arial"/>
          <w:b/>
          <w:bCs/>
          <w:color w:val="000000" w:themeColor="text1"/>
          <w:sz w:val="22"/>
          <w:szCs w:val="22"/>
        </w:rPr>
      </w:pPr>
      <w:r w:rsidRPr="007A73AC">
        <w:rPr>
          <w:rFonts w:ascii="Arial" w:hAnsi="Arial" w:cs="Arial"/>
          <w:b/>
          <w:bCs/>
          <w:color w:val="000000" w:themeColor="text1"/>
          <w:sz w:val="22"/>
          <w:szCs w:val="22"/>
        </w:rPr>
        <w:t>ggterm: Grammar of Graphics for Terminal-Based Data Visualization</w:t>
      </w:r>
    </w:p>
    <w:p w14:paraId="55A6122F" w14:textId="0D2D775E" w:rsidR="006F7481" w:rsidRPr="007A73AC" w:rsidRDefault="006F7481" w:rsidP="001C78BE">
      <w:pPr>
        <w:pStyle w:val="Date"/>
        <w:jc w:val="left"/>
        <w:rPr>
          <w:rFonts w:ascii="Arial" w:hAnsi="Arial" w:cs="Arial"/>
          <w:color w:val="000000" w:themeColor="text1"/>
          <w:sz w:val="22"/>
          <w:szCs w:val="22"/>
        </w:rPr>
      </w:pPr>
    </w:p>
    <w:p w14:paraId="2093BC2E" w14:textId="0209F3C9" w:rsidR="001C78BE" w:rsidRPr="007A73AC" w:rsidRDefault="001C78BE" w:rsidP="001C78BE">
      <w:pPr>
        <w:pStyle w:val="BodyText"/>
        <w:rPr>
          <w:rFonts w:ascii="Arial" w:hAnsi="Arial" w:cs="Arial"/>
          <w:color w:val="000000" w:themeColor="text1"/>
          <w:sz w:val="22"/>
          <w:szCs w:val="22"/>
        </w:rPr>
      </w:pPr>
      <w:proofErr w:type="spellStart"/>
      <w:r w:rsidRPr="007A73AC">
        <w:rPr>
          <w:rFonts w:ascii="Arial" w:hAnsi="Arial" w:cs="Arial"/>
          <w:color w:val="000000" w:themeColor="text1"/>
          <w:sz w:val="22"/>
          <w:szCs w:val="22"/>
        </w:rPr>
        <w:t>Leran</w:t>
      </w:r>
      <w:proofErr w:type="spellEnd"/>
      <w:r w:rsidRPr="007A73AC">
        <w:rPr>
          <w:rFonts w:ascii="Arial" w:hAnsi="Arial" w:cs="Arial"/>
          <w:color w:val="000000" w:themeColor="text1"/>
          <w:sz w:val="22"/>
          <w:szCs w:val="22"/>
        </w:rPr>
        <w:t xml:space="preserve"> Wang</w:t>
      </w:r>
      <w:r w:rsidRPr="007A73AC">
        <w:rPr>
          <w:rFonts w:ascii="Arial" w:hAnsi="Arial" w:cs="Arial"/>
          <w:color w:val="000000" w:themeColor="text1"/>
          <w:sz w:val="22"/>
          <w:szCs w:val="22"/>
          <w:vertAlign w:val="superscript"/>
        </w:rPr>
        <w:t>1</w:t>
      </w:r>
      <w:r w:rsidRPr="007A73AC">
        <w:rPr>
          <w:rFonts w:ascii="Arial" w:hAnsi="Arial" w:cs="Arial"/>
          <w:color w:val="000000" w:themeColor="text1"/>
          <w:sz w:val="22"/>
          <w:szCs w:val="22"/>
        </w:rPr>
        <w:t>, Megan R. Johnson</w:t>
      </w:r>
      <w:r w:rsidRPr="007A73AC">
        <w:rPr>
          <w:rFonts w:ascii="Arial" w:hAnsi="Arial" w:cs="Arial"/>
          <w:color w:val="000000" w:themeColor="text1"/>
          <w:sz w:val="22"/>
          <w:szCs w:val="22"/>
          <w:vertAlign w:val="superscript"/>
        </w:rPr>
        <w:t>1</w:t>
      </w:r>
      <w:r w:rsidRPr="007A73AC">
        <w:rPr>
          <w:rFonts w:ascii="Arial" w:hAnsi="Arial" w:cs="Arial"/>
          <w:color w:val="000000" w:themeColor="text1"/>
          <w:sz w:val="22"/>
          <w:szCs w:val="22"/>
        </w:rPr>
        <w:t>, Lindsay Droit</w:t>
      </w:r>
      <w:r w:rsidRPr="007A73AC">
        <w:rPr>
          <w:rFonts w:ascii="Arial" w:hAnsi="Arial" w:cs="Arial"/>
          <w:color w:val="000000" w:themeColor="text1"/>
          <w:sz w:val="22"/>
          <w:szCs w:val="22"/>
          <w:vertAlign w:val="superscript"/>
        </w:rPr>
        <w:t>1</w:t>
      </w:r>
      <w:r w:rsidRPr="007A73AC">
        <w:rPr>
          <w:rFonts w:ascii="Arial" w:hAnsi="Arial" w:cs="Arial"/>
          <w:color w:val="000000" w:themeColor="text1"/>
          <w:sz w:val="22"/>
          <w:szCs w:val="22"/>
        </w:rPr>
        <w:t>, Scott A. Handley</w:t>
      </w:r>
      <w:r w:rsidRPr="007A73AC">
        <w:rPr>
          <w:rFonts w:ascii="Arial" w:hAnsi="Arial" w:cs="Arial"/>
          <w:color w:val="000000" w:themeColor="text1"/>
          <w:sz w:val="22"/>
          <w:szCs w:val="22"/>
          <w:vertAlign w:val="superscript"/>
        </w:rPr>
        <w:t>1</w:t>
      </w:r>
      <w:r w:rsidRPr="007A73AC">
        <w:rPr>
          <w:rFonts w:ascii="Arial" w:hAnsi="Arial" w:cs="Arial"/>
          <w:color w:val="000000" w:themeColor="text1"/>
          <w:sz w:val="22"/>
          <w:szCs w:val="22"/>
        </w:rPr>
        <w:t>*</w:t>
      </w:r>
    </w:p>
    <w:p w14:paraId="41A686B9" w14:textId="7AF1620B" w:rsidR="001C78BE" w:rsidRPr="007A73AC" w:rsidRDefault="001C78BE" w:rsidP="001C78BE">
      <w:pPr>
        <w:pStyle w:val="BodyText"/>
        <w:rPr>
          <w:rFonts w:ascii="Arial" w:hAnsi="Arial" w:cs="Arial"/>
          <w:color w:val="000000" w:themeColor="text1"/>
          <w:sz w:val="22"/>
          <w:szCs w:val="22"/>
        </w:rPr>
      </w:pPr>
      <w:r w:rsidRPr="007A73AC">
        <w:rPr>
          <w:rFonts w:ascii="Arial" w:hAnsi="Arial" w:cs="Arial"/>
          <w:color w:val="000000" w:themeColor="text1"/>
          <w:sz w:val="22"/>
          <w:szCs w:val="22"/>
        </w:rPr>
        <w:t xml:space="preserve">1 </w:t>
      </w:r>
      <w:r w:rsidRPr="007A73AC">
        <w:rPr>
          <w:rFonts w:ascii="Arial" w:hAnsi="Arial" w:cs="Arial"/>
          <w:color w:val="000000" w:themeColor="text1"/>
          <w:sz w:val="22"/>
          <w:szCs w:val="22"/>
        </w:rPr>
        <w:t>Department of Pathology and Immunology, Washington University School of Medicine, St. Louis, MO, USA</w:t>
      </w:r>
    </w:p>
    <w:p w14:paraId="77BF6CB3" w14:textId="437F8311" w:rsidR="001C78BE" w:rsidRPr="007A73AC" w:rsidRDefault="001C78BE" w:rsidP="001C78BE">
      <w:pPr>
        <w:pStyle w:val="BodyText"/>
        <w:rPr>
          <w:rFonts w:ascii="Arial" w:hAnsi="Arial" w:cs="Arial"/>
          <w:color w:val="000000" w:themeColor="text1"/>
          <w:sz w:val="22"/>
          <w:szCs w:val="22"/>
        </w:rPr>
      </w:pPr>
      <w:r w:rsidRPr="007A73AC">
        <w:rPr>
          <w:rFonts w:ascii="Arial" w:hAnsi="Arial" w:cs="Arial"/>
          <w:color w:val="000000" w:themeColor="text1"/>
          <w:sz w:val="22"/>
          <w:szCs w:val="22"/>
        </w:rPr>
        <w:t>*T</w:t>
      </w:r>
      <w:r w:rsidRPr="007A73AC">
        <w:rPr>
          <w:rFonts w:ascii="Arial" w:hAnsi="Arial" w:cs="Arial"/>
          <w:color w:val="000000" w:themeColor="text1"/>
          <w:sz w:val="22"/>
          <w:szCs w:val="22"/>
        </w:rPr>
        <w:t>o whom correspondence should be addressed</w:t>
      </w:r>
    </w:p>
    <w:p w14:paraId="54E8725B" w14:textId="440E5E09" w:rsidR="001C78BE" w:rsidRPr="007A73AC" w:rsidRDefault="001C78BE" w:rsidP="001C78BE">
      <w:pPr>
        <w:pStyle w:val="BodyText"/>
        <w:rPr>
          <w:rFonts w:ascii="Arial" w:hAnsi="Arial" w:cs="Arial"/>
          <w:color w:val="000000" w:themeColor="text1"/>
          <w:sz w:val="22"/>
          <w:szCs w:val="22"/>
        </w:rPr>
      </w:pPr>
      <w:r w:rsidRPr="007A73AC">
        <w:rPr>
          <w:rFonts w:ascii="Arial" w:hAnsi="Arial" w:cs="Arial"/>
          <w:color w:val="000000" w:themeColor="text1"/>
          <w:sz w:val="22"/>
          <w:szCs w:val="22"/>
        </w:rPr>
        <w:t>Corresponding author email: shandley@wustl.edu</w:t>
      </w:r>
    </w:p>
    <w:p w14:paraId="43701867" w14:textId="77777777" w:rsidR="001C78BE" w:rsidRPr="007A73AC" w:rsidRDefault="001C78BE" w:rsidP="001C78BE">
      <w:pPr>
        <w:pStyle w:val="BodyText"/>
        <w:rPr>
          <w:rFonts w:ascii="Arial" w:hAnsi="Arial" w:cs="Arial"/>
          <w:color w:val="000000" w:themeColor="text1"/>
          <w:sz w:val="22"/>
          <w:szCs w:val="22"/>
        </w:rPr>
      </w:pPr>
    </w:p>
    <w:p w14:paraId="3C04821D" w14:textId="77777777" w:rsidR="001C78BE" w:rsidRPr="007A73AC" w:rsidRDefault="001C78BE" w:rsidP="001C78BE">
      <w:pPr>
        <w:pStyle w:val="BodyText"/>
        <w:rPr>
          <w:rFonts w:ascii="Arial" w:hAnsi="Arial" w:cs="Arial"/>
          <w:color w:val="000000" w:themeColor="text1"/>
          <w:sz w:val="22"/>
          <w:szCs w:val="22"/>
        </w:rPr>
      </w:pPr>
    </w:p>
    <w:p w14:paraId="15A49666" w14:textId="77777777" w:rsidR="001C78BE" w:rsidRPr="007A73AC" w:rsidRDefault="001C78BE">
      <w:pPr>
        <w:rPr>
          <w:rFonts w:ascii="Arial" w:eastAsiaTheme="majorEastAsia" w:hAnsi="Arial" w:cs="Arial"/>
          <w:color w:val="000000" w:themeColor="text1"/>
          <w:sz w:val="22"/>
          <w:szCs w:val="22"/>
        </w:rPr>
      </w:pPr>
      <w:bookmarkStart w:id="0" w:name="abstract"/>
      <w:r w:rsidRPr="007A73AC">
        <w:rPr>
          <w:rFonts w:ascii="Arial" w:hAnsi="Arial" w:cs="Arial"/>
          <w:color w:val="000000" w:themeColor="text1"/>
          <w:sz w:val="22"/>
          <w:szCs w:val="22"/>
        </w:rPr>
        <w:br w:type="page"/>
      </w:r>
    </w:p>
    <w:p w14:paraId="5F146938" w14:textId="6C9FFC6C" w:rsidR="006F7481" w:rsidRPr="007A73AC" w:rsidRDefault="007A73AC">
      <w:pPr>
        <w:pStyle w:val="Heading2"/>
        <w:rPr>
          <w:rFonts w:ascii="Arial" w:hAnsi="Arial" w:cs="Arial"/>
          <w:b/>
          <w:bCs/>
          <w:color w:val="000000" w:themeColor="text1"/>
          <w:sz w:val="22"/>
          <w:szCs w:val="22"/>
        </w:rPr>
      </w:pPr>
      <w:r>
        <w:rPr>
          <w:rFonts w:ascii="Arial" w:hAnsi="Arial" w:cs="Arial"/>
          <w:b/>
          <w:bCs/>
          <w:color w:val="000000" w:themeColor="text1"/>
          <w:sz w:val="22"/>
          <w:szCs w:val="22"/>
        </w:rPr>
        <w:lastRenderedPageBreak/>
        <w:t>Abstract</w:t>
      </w:r>
    </w:p>
    <w:p w14:paraId="2D156283"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b/>
          <w:bCs/>
          <w:color w:val="000000" w:themeColor="text1"/>
          <w:sz w:val="22"/>
          <w:szCs w:val="22"/>
        </w:rPr>
        <w:t>Motivation:</w:t>
      </w:r>
      <w:r w:rsidRPr="007A73AC">
        <w:rPr>
          <w:rFonts w:ascii="Arial" w:hAnsi="Arial" w:cs="Arial"/>
          <w:color w:val="000000" w:themeColor="text1"/>
          <w:sz w:val="22"/>
          <w:szCs w:val="22"/>
        </w:rPr>
        <w:t xml:space="preserve"> AI coding assistants are transforming computational biology workflows, but they operate in terminal environments that lack visualization tools designed for programmatic composition. Researchers who use these assistants for data analysis must still switch to R or Python for plotting, breaking the conversational loop between analyst and assistant. Terminal plotting libraries exist but support only basic chart types through imperative APIs, offering neither the Grammar of Graphics nor the domain-specific visualizations that genomics and clinical research require.</w:t>
      </w:r>
    </w:p>
    <w:p w14:paraId="2870F4E9" w14:textId="77777777"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b/>
          <w:bCs/>
          <w:color w:val="000000" w:themeColor="text1"/>
          <w:sz w:val="22"/>
          <w:szCs w:val="22"/>
        </w:rPr>
        <w:t>Results:</w:t>
      </w:r>
      <w:r w:rsidRPr="007A73AC">
        <w:rPr>
          <w:rFonts w:ascii="Arial" w:hAnsi="Arial" w:cs="Arial"/>
          <w:color w:val="000000" w:themeColor="text1"/>
          <w:sz w:val="22"/>
          <w:szCs w:val="22"/>
        </w:rPr>
        <w:t xml:space="preserve"> We present ggterm, a Grammar of Graphics implementation that brings compositional visualization into the terminal where AI assistants operate. ggterm provides 66 geometry types, including 14 domain-specific visualizations for genomics, clinical research, and statistical diagnostics. Every plot is a declarative JSON specification that AI agents can generate, modify, and layer through conversation. A companion browser viewer renders plots as interactive Vega-Lite visualizations alongside the terminal session, and exports to PNG, SVG, and PDF for publication. Eight integration skills for Claude Code enable researchers to create and refine visualizations through natural language. In feature comparison against five terminal plotting alternatives, ggterm is the only tool combining Grammar of Graphics composition, scientific plot types, AI agent integration, and publication-quality export.</w:t>
      </w:r>
    </w:p>
    <w:p w14:paraId="107066C3" w14:textId="77777777"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b/>
          <w:bCs/>
          <w:color w:val="000000" w:themeColor="text1"/>
          <w:sz w:val="22"/>
          <w:szCs w:val="22"/>
        </w:rPr>
        <w:t>Availability and Implementation:</w:t>
      </w:r>
      <w:r w:rsidRPr="007A73AC">
        <w:rPr>
          <w:rFonts w:ascii="Arial" w:hAnsi="Arial" w:cs="Arial"/>
          <w:color w:val="000000" w:themeColor="text1"/>
          <w:sz w:val="22"/>
          <w:szCs w:val="22"/>
        </w:rPr>
        <w:t xml:space="preserve"> ggterm is implemented in TypeScript and freely available under the MIT license at https://github.com/shandley/ggterm. The package is distributed via npm as </w:t>
      </w:r>
      <w:r w:rsidRPr="007A73AC">
        <w:rPr>
          <w:rStyle w:val="VerbatimChar"/>
          <w:rFonts w:ascii="Arial" w:hAnsi="Arial" w:cs="Arial"/>
          <w:color w:val="000000" w:themeColor="text1"/>
          <w:szCs w:val="22"/>
        </w:rPr>
        <w:t>@ggterm/core</w:t>
      </w:r>
      <w:r w:rsidRPr="007A73AC">
        <w:rPr>
          <w:rFonts w:ascii="Arial" w:hAnsi="Arial" w:cs="Arial"/>
          <w:color w:val="000000" w:themeColor="text1"/>
          <w:sz w:val="22"/>
          <w:szCs w:val="22"/>
        </w:rPr>
        <w:t>.</w:t>
      </w:r>
    </w:p>
    <w:p w14:paraId="432311B1" w14:textId="3CEA560B" w:rsidR="006F7481" w:rsidRPr="007A73AC" w:rsidRDefault="00000000">
      <w:pPr>
        <w:pStyle w:val="Heading2"/>
        <w:rPr>
          <w:rFonts w:ascii="Arial" w:hAnsi="Arial" w:cs="Arial"/>
          <w:b/>
          <w:bCs/>
          <w:color w:val="000000" w:themeColor="text1"/>
          <w:sz w:val="22"/>
          <w:szCs w:val="22"/>
        </w:rPr>
      </w:pPr>
      <w:bookmarkStart w:id="1" w:name="introduction"/>
      <w:bookmarkEnd w:id="0"/>
      <w:r w:rsidRPr="007A73AC">
        <w:rPr>
          <w:rFonts w:ascii="Arial" w:hAnsi="Arial" w:cs="Arial"/>
          <w:b/>
          <w:bCs/>
          <w:color w:val="000000" w:themeColor="text1"/>
          <w:sz w:val="22"/>
          <w:szCs w:val="22"/>
        </w:rPr>
        <w:t>1. I</w:t>
      </w:r>
      <w:r w:rsidR="007A73AC">
        <w:rPr>
          <w:rFonts w:ascii="Arial" w:hAnsi="Arial" w:cs="Arial"/>
          <w:b/>
          <w:bCs/>
          <w:color w:val="000000" w:themeColor="text1"/>
          <w:sz w:val="22"/>
          <w:szCs w:val="22"/>
        </w:rPr>
        <w:t>ntroduction</w:t>
      </w:r>
    </w:p>
    <w:p w14:paraId="336A9EC0"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AI coding assistants are changing how researchers do computational biology (Perkel 2023). Tools like Codex (OpenAI 2025) and Claude Code (Anthropic 2025) operate within terminal sessions, generating and executing code through conversation. A researcher can ask an assistant to run a differential expression analysis, filter results, and fit a statistical model, all without leaving the terminal. But when the researcher wants to see the results, the conversation breaks. The assistant cannot produce a volcano plot or survival curve because no visualization toolkit in the terminal environment was designed for programmatic composition.</w:t>
      </w:r>
    </w:p>
    <w:p w14:paraId="1C58F15C" w14:textId="77777777"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color w:val="000000" w:themeColor="text1"/>
          <w:sz w:val="22"/>
          <w:szCs w:val="22"/>
        </w:rPr>
        <w:t>The standard workaround is to leave the terminal. Researchers switch to R, Python, or Jupyter to produce figures using ggplot2 (Wickham 2016) or matplotlib (Hunter 2007). Each visualization requires opening a different tool, loading the data again, and writing plotting code in a different language. This context switch discourages frequent inspection, so researchers batch their visualization at the end of a pipeline rather than checking intermediate results. Errors propagate further, and exploratory patterns go unnoticed until late in the analysis. The visualization libraries themselves are excellent; the problem is that they live outside the environment where the analytical conversation is happening.</w:t>
      </w:r>
    </w:p>
    <w:p w14:paraId="1B302673" w14:textId="77777777"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color w:val="000000" w:themeColor="text1"/>
          <w:sz w:val="22"/>
          <w:szCs w:val="22"/>
        </w:rPr>
        <w:t>A visualization toolkit designed for AI agents would need three properties. First, a declarative specification that agents can generate and modify without maintaining rendering state. Second, the Grammar of Graphics (Wilkinson 2005), which enables compositional construction by specifying data mappings, geometries, scales, and facets as independent layers (Wickham 2010). Third, the domain-specific chart types that bioinformatics and clinical research require: volcano plots for differential expression, Manhattan plots for genome-wide association, Kaplan-Meier curves for survival analysis (Kaplan and Meier 1958), forest plots for meta-analysis.</w:t>
      </w:r>
    </w:p>
    <w:p w14:paraId="213FBCF5" w14:textId="77777777"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color w:val="000000" w:themeColor="text1"/>
          <w:sz w:val="22"/>
          <w:szCs w:val="22"/>
        </w:rPr>
        <w:lastRenderedPageBreak/>
        <w:t>Terminal-based plotting tools exist but meet none of these requirements. plotext (Piccolomo 2023) provides scatter, line, bar, histogram, and heatmap plots through an imperative API. UnicodePlots.jl (Stocker and contributors 2015) supports 12 plot types including scatter, line, bar, histogram, boxplot, and density. gnuplot (Williams et al., n.d.) renders to a “dumb terminal” mode with ASCII characters. None implement the Grammar of Graphics. None offer scientific chart types. None produce a declarative specification that external tools or AI agents can consume and modify.</w:t>
      </w:r>
    </w:p>
    <w:p w14:paraId="2540B8CE" w14:textId="38788468" w:rsidR="006F7481" w:rsidRPr="007A73AC" w:rsidRDefault="00000000" w:rsidP="007A73AC">
      <w:pPr>
        <w:pStyle w:val="BodyText"/>
        <w:jc w:val="both"/>
        <w:rPr>
          <w:rFonts w:ascii="Arial" w:hAnsi="Arial" w:cs="Arial"/>
          <w:color w:val="000000" w:themeColor="text1"/>
          <w:sz w:val="22"/>
          <w:szCs w:val="22"/>
        </w:rPr>
      </w:pPr>
      <w:r w:rsidRPr="007A73AC">
        <w:rPr>
          <w:rFonts w:ascii="Arial" w:hAnsi="Arial" w:cs="Arial"/>
          <w:color w:val="000000" w:themeColor="text1"/>
          <w:sz w:val="22"/>
          <w:szCs w:val="22"/>
        </w:rPr>
        <w:t>We developed ggterm to fill this gap. ggterm is a TypeScript Grammar of Graphics engine with 66 geometry types and 75 scale functions. Every visualization is represented as a backend-agnostic PlotSpec, a JSON-serializable specification that separates what to visualize from how to render it. This specification can be rendered in the terminal, exported to Vega-Lite (Satyanarayan et al. 2017) for interactive browser visualization, or converted to PNG, SVG, and PDF for publication. Eight integration skills for Claude Code allow researchers to create and refine visualizations through natural language. During setup, ggterm scans the working directory for CSV, TSV, JSON, and JSONL files, infers column types and value ranges, and writes a data catalog that the assistant reads at conversation start. A researcher with a deseq2_results.csv file can begin a session and immediately hear “</w:t>
      </w:r>
      <w:r w:rsidRPr="007A73AC">
        <w:rPr>
          <w:rFonts w:ascii="Arial" w:hAnsi="Arial" w:cs="Arial"/>
          <w:i/>
          <w:iCs/>
          <w:color w:val="000000" w:themeColor="text1"/>
          <w:sz w:val="22"/>
          <w:szCs w:val="22"/>
        </w:rPr>
        <w:t>I see 20,000 genes with log2FoldChange and adjusted p-values</w:t>
      </w:r>
      <w:r w:rsidR="007A73AC" w:rsidRPr="007A73AC">
        <w:rPr>
          <w:rFonts w:ascii="Arial" w:hAnsi="Arial" w:cs="Arial"/>
          <w:i/>
          <w:iCs/>
          <w:color w:val="000000" w:themeColor="text1"/>
          <w:sz w:val="22"/>
          <w:szCs w:val="22"/>
        </w:rPr>
        <w:t xml:space="preserve">, </w:t>
      </w:r>
      <w:r w:rsidRPr="007A73AC">
        <w:rPr>
          <w:rFonts w:ascii="Arial" w:hAnsi="Arial" w:cs="Arial"/>
          <w:i/>
          <w:iCs/>
          <w:color w:val="000000" w:themeColor="text1"/>
          <w:sz w:val="22"/>
          <w:szCs w:val="22"/>
        </w:rPr>
        <w:t xml:space="preserve">want a volcano plot?”. </w:t>
      </w:r>
      <w:r w:rsidRPr="007A73AC">
        <w:rPr>
          <w:rFonts w:ascii="Arial" w:hAnsi="Arial" w:cs="Arial"/>
          <w:color w:val="000000" w:themeColor="text1"/>
          <w:sz w:val="22"/>
          <w:szCs w:val="22"/>
        </w:rPr>
        <w:t>Plotting history is maintained and easily accessible to users. The result is a system where an AI assistant can produce a volcano plot, adjust its thresholds, apply a publication style, and export a figure, all within a single conversational session.</w:t>
      </w:r>
    </w:p>
    <w:p w14:paraId="3EFE7A59" w14:textId="48FF1BF3" w:rsidR="006F7481" w:rsidRPr="007A73AC" w:rsidRDefault="00000000">
      <w:pPr>
        <w:pStyle w:val="Heading2"/>
        <w:rPr>
          <w:rFonts w:ascii="Arial" w:hAnsi="Arial" w:cs="Arial"/>
          <w:b/>
          <w:bCs/>
          <w:color w:val="000000" w:themeColor="text1"/>
          <w:sz w:val="22"/>
          <w:szCs w:val="22"/>
        </w:rPr>
      </w:pPr>
      <w:bookmarkStart w:id="2" w:name="implementation"/>
      <w:bookmarkEnd w:id="1"/>
      <w:r w:rsidRPr="007A73AC">
        <w:rPr>
          <w:rFonts w:ascii="Arial" w:hAnsi="Arial" w:cs="Arial"/>
          <w:b/>
          <w:bCs/>
          <w:color w:val="000000" w:themeColor="text1"/>
          <w:sz w:val="22"/>
          <w:szCs w:val="22"/>
        </w:rPr>
        <w:t xml:space="preserve">2. </w:t>
      </w:r>
      <w:r w:rsidR="007A73AC">
        <w:rPr>
          <w:rFonts w:ascii="Arial" w:hAnsi="Arial" w:cs="Arial"/>
          <w:b/>
          <w:bCs/>
          <w:color w:val="000000" w:themeColor="text1"/>
          <w:sz w:val="22"/>
          <w:szCs w:val="22"/>
        </w:rPr>
        <w:t>Implementation</w:t>
      </w:r>
    </w:p>
    <w:p w14:paraId="43A8750F" w14:textId="77777777" w:rsidR="006F7481" w:rsidRPr="007A73AC" w:rsidRDefault="00000000">
      <w:pPr>
        <w:pStyle w:val="Heading3"/>
        <w:rPr>
          <w:rFonts w:ascii="Arial" w:hAnsi="Arial" w:cs="Arial"/>
          <w:b/>
          <w:bCs/>
          <w:color w:val="000000" w:themeColor="text1"/>
          <w:sz w:val="22"/>
          <w:szCs w:val="22"/>
        </w:rPr>
      </w:pPr>
      <w:bookmarkStart w:id="3" w:name="architecture"/>
      <w:r w:rsidRPr="007A73AC">
        <w:rPr>
          <w:rFonts w:ascii="Arial" w:hAnsi="Arial" w:cs="Arial"/>
          <w:b/>
          <w:bCs/>
          <w:color w:val="000000" w:themeColor="text1"/>
          <w:sz w:val="22"/>
          <w:szCs w:val="22"/>
        </w:rPr>
        <w:t>2.1 Architecture</w:t>
      </w:r>
    </w:p>
    <w:p w14:paraId="309F9A4A" w14:textId="4F97926E" w:rsidR="006F7481"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 xml:space="preserve">ggterm implements Wilkinson’s Grammar of Graphics (Wilkinson 2005) through a seven-layer pipeline: data, aesthetics, geometries, statistics, scales, coordinates, and facets. Each visualization is represented internally as a </w:t>
      </w:r>
      <w:r w:rsidRPr="007A73AC">
        <w:rPr>
          <w:rStyle w:val="VerbatimChar"/>
          <w:rFonts w:ascii="Arial" w:hAnsi="Arial" w:cs="Arial"/>
          <w:color w:val="000000" w:themeColor="text1"/>
          <w:szCs w:val="22"/>
        </w:rPr>
        <w:t>PlotSpec</w:t>
      </w:r>
      <w:r w:rsidRPr="007A73AC">
        <w:rPr>
          <w:rFonts w:ascii="Arial" w:hAnsi="Arial" w:cs="Arial"/>
          <w:color w:val="000000" w:themeColor="text1"/>
          <w:sz w:val="22"/>
          <w:szCs w:val="22"/>
        </w:rPr>
        <w:t>, a JSON-serializable specification that separates what to visualize from how to render it. Two backends consume this specification. A terminal renderer uses Unicode block characters, Braille symbols, and ANSI 256-color or 24-bit color codes. A Vega-Lite exporter (Satyanarayan et al. 2017) produces interactive browser-based visualizations and static PNG, SVG, or PDF output</w:t>
      </w:r>
      <w:r w:rsidR="00EB7F52">
        <w:rPr>
          <w:rFonts w:ascii="Arial" w:hAnsi="Arial" w:cs="Arial"/>
          <w:color w:val="000000" w:themeColor="text1"/>
          <w:sz w:val="22"/>
          <w:szCs w:val="22"/>
        </w:rPr>
        <w:t xml:space="preserve"> (</w:t>
      </w:r>
      <w:r w:rsidR="00EB7F52">
        <w:rPr>
          <w:rFonts w:ascii="Arial" w:hAnsi="Arial" w:cs="Arial"/>
          <w:b/>
          <w:bCs/>
          <w:color w:val="000000" w:themeColor="text1"/>
          <w:sz w:val="22"/>
          <w:szCs w:val="22"/>
        </w:rPr>
        <w:t>Figure 1</w:t>
      </w:r>
      <w:r w:rsidR="00EB7F52">
        <w:rPr>
          <w:rFonts w:ascii="Arial" w:hAnsi="Arial" w:cs="Arial"/>
          <w:color w:val="000000" w:themeColor="text1"/>
          <w:sz w:val="22"/>
          <w:szCs w:val="22"/>
        </w:rPr>
        <w:t>)</w:t>
      </w:r>
      <w:r w:rsidRPr="007A73AC">
        <w:rPr>
          <w:rFonts w:ascii="Arial" w:hAnsi="Arial" w:cs="Arial"/>
          <w:color w:val="000000" w:themeColor="text1"/>
          <w:sz w:val="22"/>
          <w:szCs w:val="22"/>
        </w:rPr>
        <w:t>.</w:t>
      </w:r>
    </w:p>
    <w:p w14:paraId="0B3377D0" w14:textId="58A4F34C" w:rsidR="009D227E" w:rsidRPr="007C1A6D" w:rsidRDefault="009D227E" w:rsidP="009D227E">
      <w:pPr>
        <w:pStyle w:val="BodyText"/>
        <w:jc w:val="both"/>
        <w:rPr>
          <w:rFonts w:ascii="Arial" w:hAnsi="Arial" w:cs="Arial"/>
          <w:color w:val="000000" w:themeColor="text1"/>
          <w:sz w:val="22"/>
          <w:szCs w:val="22"/>
        </w:rPr>
      </w:pPr>
      <w:r>
        <w:rPr>
          <w:b/>
          <w:bCs/>
        </w:rPr>
        <w:t>Figure 1.</w:t>
      </w:r>
      <w:r>
        <w:t xml:space="preserve"> </w:t>
      </w:r>
      <w:r w:rsidRPr="007C1A6D">
        <w:rPr>
          <w:rFonts w:ascii="Arial" w:hAnsi="Arial" w:cs="Arial"/>
          <w:color w:val="000000" w:themeColor="text1"/>
          <w:sz w:val="22"/>
          <w:szCs w:val="22"/>
        </w:rPr>
        <w:t xml:space="preserve">Conversational visualization workflow with </w:t>
      </w:r>
      <w:proofErr w:type="spellStart"/>
      <w:r w:rsidRPr="007C1A6D">
        <w:rPr>
          <w:rFonts w:ascii="Arial" w:hAnsi="Arial" w:cs="Arial"/>
          <w:color w:val="000000" w:themeColor="text1"/>
          <w:sz w:val="22"/>
          <w:szCs w:val="22"/>
        </w:rPr>
        <w:t>ggterm</w:t>
      </w:r>
      <w:proofErr w:type="spellEnd"/>
      <w:r w:rsidRPr="007C1A6D">
        <w:rPr>
          <w:rFonts w:ascii="Arial" w:hAnsi="Arial" w:cs="Arial"/>
          <w:color w:val="000000" w:themeColor="text1"/>
          <w:sz w:val="22"/>
          <w:szCs w:val="22"/>
        </w:rPr>
        <w:t xml:space="preserve"> using a DeSeq2 differential expression dataset (500 genes from Hines et al., 2014). </w:t>
      </w:r>
      <w:r w:rsidR="004C3934" w:rsidRPr="007C1A6D">
        <w:rPr>
          <w:rFonts w:ascii="Arial" w:hAnsi="Arial" w:cs="Arial"/>
          <w:b/>
          <w:bCs/>
          <w:color w:val="000000" w:themeColor="text1"/>
          <w:sz w:val="22"/>
          <w:szCs w:val="22"/>
        </w:rPr>
        <w:t>(</w:t>
      </w:r>
      <w:r w:rsidRPr="007C1A6D">
        <w:rPr>
          <w:rFonts w:ascii="Arial" w:hAnsi="Arial" w:cs="Arial"/>
          <w:b/>
          <w:bCs/>
          <w:color w:val="000000" w:themeColor="text1"/>
          <w:sz w:val="22"/>
          <w:szCs w:val="22"/>
        </w:rPr>
        <w:t>A)</w:t>
      </w:r>
      <w:r w:rsidRPr="007C1A6D">
        <w:rPr>
          <w:rFonts w:ascii="Arial" w:hAnsi="Arial" w:cs="Arial"/>
          <w:color w:val="000000" w:themeColor="text1"/>
          <w:sz w:val="22"/>
          <w:szCs w:val="22"/>
        </w:rPr>
        <w:t xml:space="preserve"> </w:t>
      </w:r>
      <w:r w:rsidR="004C3934" w:rsidRPr="007C1A6D">
        <w:rPr>
          <w:rFonts w:ascii="Arial" w:hAnsi="Arial" w:cs="Arial"/>
          <w:color w:val="000000" w:themeColor="text1"/>
          <w:sz w:val="22"/>
          <w:szCs w:val="22"/>
        </w:rPr>
        <w:t>Initial</w:t>
      </w:r>
      <w:r w:rsidRPr="007C1A6D">
        <w:rPr>
          <w:rFonts w:ascii="Arial" w:hAnsi="Arial" w:cs="Arial"/>
          <w:color w:val="000000" w:themeColor="text1"/>
          <w:sz w:val="22"/>
          <w:szCs w:val="22"/>
        </w:rPr>
        <w:t xml:space="preserve"> volcano plot generated by the command “Load the differential expression results and show as a volcano plot”. Genes are colored by significance: u</w:t>
      </w:r>
      <w:r w:rsidRPr="007C1A6D">
        <w:rPr>
          <w:rFonts w:ascii="Arial" w:hAnsi="Arial" w:cs="Arial"/>
          <w:color w:val="000000" w:themeColor="text1"/>
          <w:sz w:val="22"/>
          <w:szCs w:val="22"/>
        </w:rPr>
        <w:t>pregulated (red, log2FC &gt; 1 and adjusted p &lt; 0.05),</w:t>
      </w:r>
      <w:r w:rsidRPr="007C1A6D">
        <w:rPr>
          <w:rFonts w:ascii="Arial" w:hAnsi="Arial" w:cs="Arial"/>
          <w:color w:val="000000" w:themeColor="text1"/>
          <w:sz w:val="22"/>
          <w:szCs w:val="22"/>
        </w:rPr>
        <w:t xml:space="preserve"> </w:t>
      </w:r>
      <w:r w:rsidRPr="007C1A6D">
        <w:rPr>
          <w:rFonts w:ascii="Arial" w:hAnsi="Arial" w:cs="Arial"/>
          <w:color w:val="000000" w:themeColor="text1"/>
          <w:sz w:val="22"/>
          <w:szCs w:val="22"/>
        </w:rPr>
        <w:t>downregulated (blue, log2FC &lt; -1 and adjusted p</w:t>
      </w:r>
      <w:r w:rsidRPr="007C1A6D">
        <w:rPr>
          <w:rFonts w:ascii="Arial" w:hAnsi="Arial" w:cs="Arial"/>
          <w:color w:val="000000" w:themeColor="text1"/>
          <w:sz w:val="22"/>
          <w:szCs w:val="22"/>
        </w:rPr>
        <w:t xml:space="preserve"> </w:t>
      </w:r>
      <w:r w:rsidRPr="007C1A6D">
        <w:rPr>
          <w:rFonts w:ascii="Arial" w:hAnsi="Arial" w:cs="Arial"/>
          <w:color w:val="000000" w:themeColor="text1"/>
          <w:sz w:val="22"/>
          <w:szCs w:val="22"/>
        </w:rPr>
        <w:t>&lt; 0.05), and non-significant (gray)</w:t>
      </w:r>
      <w:r w:rsidRPr="007C1A6D">
        <w:rPr>
          <w:rFonts w:ascii="Arial" w:hAnsi="Arial" w:cs="Arial"/>
          <w:color w:val="000000" w:themeColor="text1"/>
          <w:sz w:val="22"/>
          <w:szCs w:val="22"/>
        </w:rPr>
        <w:t>.</w:t>
      </w:r>
      <w:r w:rsidR="004C3934" w:rsidRPr="007C1A6D">
        <w:rPr>
          <w:rFonts w:ascii="Arial" w:hAnsi="Arial" w:cs="Arial"/>
          <w:color w:val="000000" w:themeColor="text1"/>
          <w:sz w:val="22"/>
          <w:szCs w:val="22"/>
        </w:rPr>
        <w:t xml:space="preserve"> Dashed lines indicate fold-change and significance thresholds. </w:t>
      </w:r>
      <w:r w:rsidR="004C3934" w:rsidRPr="007C1A6D">
        <w:rPr>
          <w:rFonts w:ascii="Arial" w:hAnsi="Arial" w:cs="Arial"/>
          <w:b/>
          <w:bCs/>
          <w:color w:val="000000" w:themeColor="text1"/>
          <w:sz w:val="22"/>
          <w:szCs w:val="22"/>
        </w:rPr>
        <w:t>(B)</w:t>
      </w:r>
      <w:r w:rsidR="004C3934" w:rsidRPr="007C1A6D">
        <w:rPr>
          <w:rFonts w:ascii="Arial" w:hAnsi="Arial" w:cs="Arial"/>
          <w:color w:val="000000" w:themeColor="text1"/>
          <w:sz w:val="22"/>
          <w:szCs w:val="22"/>
        </w:rPr>
        <w:t xml:space="preserve"> The same plot after the natural language command of “Label the top 10 most significant genes”, which adds text annotations without regenerating the plot. </w:t>
      </w:r>
      <w:r w:rsidR="004C3934" w:rsidRPr="007C1A6D">
        <w:rPr>
          <w:rFonts w:ascii="Arial" w:hAnsi="Arial" w:cs="Arial"/>
          <w:b/>
          <w:bCs/>
          <w:color w:val="000000" w:themeColor="text1"/>
          <w:sz w:val="22"/>
          <w:szCs w:val="22"/>
        </w:rPr>
        <w:t>(C)</w:t>
      </w:r>
      <w:r w:rsidR="004C3934" w:rsidRPr="007C1A6D">
        <w:rPr>
          <w:rFonts w:ascii="Arial" w:hAnsi="Arial" w:cs="Arial"/>
          <w:color w:val="000000" w:themeColor="text1"/>
          <w:sz w:val="22"/>
          <w:szCs w:val="22"/>
        </w:rPr>
        <w:t xml:space="preserve"> Kaplan-Meier survival curve</w:t>
      </w:r>
      <w:r w:rsidR="00573147" w:rsidRPr="007C1A6D">
        <w:rPr>
          <w:rFonts w:ascii="Arial" w:hAnsi="Arial" w:cs="Arial"/>
          <w:color w:val="000000" w:themeColor="text1"/>
          <w:sz w:val="22"/>
          <w:szCs w:val="22"/>
        </w:rPr>
        <w:t xml:space="preserve"> from </w:t>
      </w:r>
      <w:r w:rsidR="00573147" w:rsidRPr="007A73AC">
        <w:rPr>
          <w:rFonts w:ascii="Arial" w:hAnsi="Arial" w:cs="Arial"/>
          <w:color w:val="000000" w:themeColor="text1"/>
          <w:sz w:val="22"/>
          <w:szCs w:val="22"/>
        </w:rPr>
        <w:t>Loprinzi et al. (1994</w:t>
      </w:r>
      <w:r w:rsidR="00573147">
        <w:rPr>
          <w:rFonts w:ascii="Arial" w:hAnsi="Arial" w:cs="Arial"/>
          <w:color w:val="000000" w:themeColor="text1"/>
          <w:sz w:val="22"/>
          <w:szCs w:val="22"/>
        </w:rPr>
        <w:t>).</w:t>
      </w:r>
      <w:r w:rsidR="007C1A6D">
        <w:rPr>
          <w:rFonts w:ascii="Arial" w:hAnsi="Arial" w:cs="Arial"/>
          <w:color w:val="000000" w:themeColor="text1"/>
          <w:sz w:val="22"/>
          <w:szCs w:val="22"/>
        </w:rPr>
        <w:t xml:space="preserve"> Displaying better overall survival in females than males by ~400 days. </w:t>
      </w:r>
      <w:r w:rsidR="007C1A6D" w:rsidRPr="007C1A6D">
        <w:rPr>
          <w:rFonts w:ascii="Arial" w:hAnsi="Arial" w:cs="Arial"/>
          <w:b/>
          <w:bCs/>
          <w:color w:val="000000" w:themeColor="text1"/>
          <w:sz w:val="22"/>
          <w:szCs w:val="22"/>
        </w:rPr>
        <w:t>(D)</w:t>
      </w:r>
      <w:r w:rsidR="007C1A6D">
        <w:rPr>
          <w:rFonts w:ascii="Arial" w:hAnsi="Arial" w:cs="Arial"/>
          <w:color w:val="000000" w:themeColor="text1"/>
          <w:sz w:val="22"/>
          <w:szCs w:val="22"/>
        </w:rPr>
        <w:t xml:space="preserve"> The same survival curve reformatted in the Tufte style. Also displayed is an interactive footer allowing users to navigate History (H) and easily export SVG or PNG files or display a help page.</w:t>
      </w:r>
    </w:p>
    <w:p w14:paraId="75EEDA8D" w14:textId="77777777" w:rsidR="006F7481" w:rsidRPr="007A73AC" w:rsidRDefault="00000000">
      <w:pPr>
        <w:pStyle w:val="Heading3"/>
        <w:rPr>
          <w:rFonts w:ascii="Arial" w:hAnsi="Arial" w:cs="Arial"/>
          <w:b/>
          <w:bCs/>
          <w:color w:val="000000" w:themeColor="text1"/>
          <w:sz w:val="22"/>
          <w:szCs w:val="22"/>
        </w:rPr>
      </w:pPr>
      <w:bookmarkStart w:id="4" w:name="geometry-types"/>
      <w:bookmarkEnd w:id="3"/>
      <w:r w:rsidRPr="007A73AC">
        <w:rPr>
          <w:rFonts w:ascii="Arial" w:hAnsi="Arial" w:cs="Arial"/>
          <w:b/>
          <w:bCs/>
          <w:color w:val="000000" w:themeColor="text1"/>
          <w:sz w:val="22"/>
          <w:szCs w:val="22"/>
        </w:rPr>
        <w:t>2.2 Geometry types</w:t>
      </w:r>
    </w:p>
    <w:p w14:paraId="674352F9"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 xml:space="preserve">The 66 geometry types span bioinformatics and clinical research workflows (Table 1). Beyond standard visualizations (scatter, line, bar, histogram, density, boxplot, violin), ggterm provides 14 domain-specific types. For genomics, volcano plots show differential expression, MA plots display expression ratios, and Manhattan plots summarize genome-wide association results. </w:t>
      </w:r>
      <w:r w:rsidRPr="007A73AC">
        <w:rPr>
          <w:rFonts w:ascii="Arial" w:hAnsi="Arial" w:cs="Arial"/>
          <w:color w:val="000000" w:themeColor="text1"/>
          <w:sz w:val="22"/>
          <w:szCs w:val="22"/>
        </w:rPr>
        <w:lastRenderedPageBreak/>
        <w:t>Kaplan-Meier survival curves (Kaplan and Meier 1958), forest plots for meta-analysis, ROC curves, and Bland-Altman plots (Bland and Altman 1986) serve clinical research. Statistical diagnostics (Q-Q plots, ECDF curves, funnel plots, control charts, scree plots) and set analysis types (UpSet plots (Lex et al. 2014), dendrograms) round out the collection.</w:t>
      </w:r>
    </w:p>
    <w:p w14:paraId="1CD30F1F" w14:textId="77777777" w:rsidR="006F7481" w:rsidRPr="007A73AC" w:rsidRDefault="00000000">
      <w:pPr>
        <w:pStyle w:val="Heading3"/>
        <w:rPr>
          <w:rFonts w:ascii="Arial" w:hAnsi="Arial" w:cs="Arial"/>
          <w:b/>
          <w:bCs/>
          <w:color w:val="000000" w:themeColor="text1"/>
          <w:sz w:val="22"/>
          <w:szCs w:val="22"/>
        </w:rPr>
      </w:pPr>
      <w:bookmarkStart w:id="5" w:name="terminal-rendering"/>
      <w:bookmarkEnd w:id="4"/>
      <w:r w:rsidRPr="007A73AC">
        <w:rPr>
          <w:rFonts w:ascii="Arial" w:hAnsi="Arial" w:cs="Arial"/>
          <w:b/>
          <w:bCs/>
          <w:color w:val="000000" w:themeColor="text1"/>
          <w:sz w:val="22"/>
          <w:szCs w:val="22"/>
        </w:rPr>
        <w:t>2.3 Terminal rendering</w:t>
      </w:r>
    </w:p>
    <w:p w14:paraId="67F7EAFB"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The terminal renderer adapts to the host terminal’s capabilities. On terminals supporting 24-bit color (most modern terminals including iTerm2, Windows Terminal, and GNOME Terminal), ggterm uses full RGB color encoding. A Braille rendering mode uses Unicode Braille characters to achieve 2x4 sub-character resolution, providing eight times the effective pixel density of standard character-cell rendering. Automatic aspect ratio correction accounts for the rectangular shape of terminal characters.</w:t>
      </w:r>
    </w:p>
    <w:p w14:paraId="2CFE8D68" w14:textId="77777777" w:rsidR="006F7481" w:rsidRPr="007A73AC" w:rsidRDefault="00000000">
      <w:pPr>
        <w:pStyle w:val="Heading3"/>
        <w:rPr>
          <w:rFonts w:ascii="Arial" w:hAnsi="Arial" w:cs="Arial"/>
          <w:b/>
          <w:bCs/>
          <w:color w:val="000000" w:themeColor="text1"/>
          <w:sz w:val="22"/>
          <w:szCs w:val="22"/>
        </w:rPr>
      </w:pPr>
      <w:bookmarkStart w:id="6" w:name="publication-export"/>
      <w:bookmarkEnd w:id="5"/>
      <w:r w:rsidRPr="007A73AC">
        <w:rPr>
          <w:rFonts w:ascii="Arial" w:hAnsi="Arial" w:cs="Arial"/>
          <w:b/>
          <w:bCs/>
          <w:color w:val="000000" w:themeColor="text1"/>
          <w:sz w:val="22"/>
          <w:szCs w:val="22"/>
        </w:rPr>
        <w:t>2.4 Publication export</w:t>
      </w:r>
    </w:p>
    <w:p w14:paraId="3C8389AD"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ggterm converts its internal specifications to Vega-Lite, enabling export to PNG, SVG, and PDF. Six style presets produce publication-ready output: a default clean style following Wilke’s recommendations (Wilke 2019), a Tufte-inspired high data-ink ratio style, Nature journal format, The Economist chart style, APA academic format, and a minimal style. Any preset can be applied before export to produce figures suitable for journal submission without switching tools.</w:t>
      </w:r>
    </w:p>
    <w:p w14:paraId="1D4582D9" w14:textId="77777777" w:rsidR="006F7481" w:rsidRPr="007A73AC" w:rsidRDefault="00000000">
      <w:pPr>
        <w:pStyle w:val="Heading3"/>
        <w:rPr>
          <w:rFonts w:ascii="Arial" w:hAnsi="Arial" w:cs="Arial"/>
          <w:b/>
          <w:bCs/>
          <w:color w:val="000000" w:themeColor="text1"/>
          <w:sz w:val="22"/>
          <w:szCs w:val="22"/>
        </w:rPr>
      </w:pPr>
      <w:bookmarkStart w:id="7" w:name="live-viewer"/>
      <w:bookmarkEnd w:id="6"/>
      <w:r w:rsidRPr="007A73AC">
        <w:rPr>
          <w:rFonts w:ascii="Arial" w:hAnsi="Arial" w:cs="Arial"/>
          <w:b/>
          <w:bCs/>
          <w:color w:val="000000" w:themeColor="text1"/>
          <w:sz w:val="22"/>
          <w:szCs w:val="22"/>
        </w:rPr>
        <w:t>2.5 Live viewer</w:t>
      </w:r>
    </w:p>
    <w:p w14:paraId="0EB97FE0"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A companion browser panel connects to the ggterm server via Server-Sent Events. Each plot appears as an interactive Vega-Lite visualization with tooltips and pan/zoom controls. A command palette provides fuzzy search across all 66 geometry types, export actions, and style presets. A history sidebar allows browsing and retrieving any previous plot from the session. The terminal handles data and commands; the browser provides high-resolution interactive output.</w:t>
      </w:r>
    </w:p>
    <w:p w14:paraId="7D6B5AF6" w14:textId="77777777" w:rsidR="006F7481" w:rsidRPr="007A73AC" w:rsidRDefault="00000000">
      <w:pPr>
        <w:pStyle w:val="Heading3"/>
        <w:rPr>
          <w:rFonts w:ascii="Arial" w:hAnsi="Arial" w:cs="Arial"/>
          <w:b/>
          <w:bCs/>
          <w:color w:val="000000" w:themeColor="text1"/>
          <w:sz w:val="22"/>
          <w:szCs w:val="22"/>
        </w:rPr>
      </w:pPr>
      <w:bookmarkStart w:id="8" w:name="ai-agent-integration"/>
      <w:bookmarkEnd w:id="7"/>
      <w:r w:rsidRPr="007A73AC">
        <w:rPr>
          <w:rFonts w:ascii="Arial" w:hAnsi="Arial" w:cs="Arial"/>
          <w:b/>
          <w:bCs/>
          <w:color w:val="000000" w:themeColor="text1"/>
          <w:sz w:val="22"/>
          <w:szCs w:val="22"/>
        </w:rPr>
        <w:t>2.6 AI agent integration</w:t>
      </w:r>
    </w:p>
    <w:p w14:paraId="1A8D7E1D"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Eight deterministic skills for Claude Code enable natural language interaction with the visualization engine. Researchers describe what they want to see (“show a volcano plot of the differential expression results, colored by significance”) and the AI invokes specific CLI commands and file operations rather than generating arbitrary code. Skills cover data loading, plot creation, style application, customization, publication export, history retrieval, markdown report generation, and feature reference. Each skill operates within a defined tool-permission boundary.</w:t>
      </w:r>
    </w:p>
    <w:p w14:paraId="412BE3D8" w14:textId="77777777" w:rsidR="006F7481" w:rsidRPr="007A73AC" w:rsidRDefault="00000000">
      <w:pPr>
        <w:pStyle w:val="Heading2"/>
        <w:rPr>
          <w:rFonts w:ascii="Arial" w:hAnsi="Arial" w:cs="Arial"/>
          <w:b/>
          <w:bCs/>
          <w:color w:val="000000" w:themeColor="text1"/>
          <w:sz w:val="22"/>
          <w:szCs w:val="22"/>
        </w:rPr>
      </w:pPr>
      <w:bookmarkStart w:id="9" w:name="comparison"/>
      <w:bookmarkEnd w:id="2"/>
      <w:bookmarkEnd w:id="8"/>
      <w:r w:rsidRPr="007A73AC">
        <w:rPr>
          <w:rFonts w:ascii="Arial" w:hAnsi="Arial" w:cs="Arial"/>
          <w:b/>
          <w:bCs/>
          <w:color w:val="000000" w:themeColor="text1"/>
          <w:sz w:val="22"/>
          <w:szCs w:val="22"/>
        </w:rPr>
        <w:t>3. Comparison</w:t>
      </w:r>
    </w:p>
    <w:p w14:paraId="4BD0AFFB"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 xml:space="preserve">Table 1 compares ggterm against five terminal-capable plotting tools across features relevant to bioinformatics workflows. ggterm is the only tool that combines Grammar of Graphics composition, domain-specific scientific visualizations, and publication-quality export in a terminal environment. plotext offers the closest alternative for basic charts but lacks scientific types and compositional design. ggplot2 provides full Grammar of Graphics support and scientific plot types through extension </w:t>
      </w:r>
      <w:proofErr w:type="gramStart"/>
      <w:r w:rsidRPr="007A73AC">
        <w:rPr>
          <w:rFonts w:ascii="Arial" w:hAnsi="Arial" w:cs="Arial"/>
          <w:color w:val="000000" w:themeColor="text1"/>
          <w:sz w:val="22"/>
          <w:szCs w:val="22"/>
        </w:rPr>
        <w:t>packages, but</w:t>
      </w:r>
      <w:proofErr w:type="gramEnd"/>
      <w:r w:rsidRPr="007A73AC">
        <w:rPr>
          <w:rFonts w:ascii="Arial" w:hAnsi="Arial" w:cs="Arial"/>
          <w:color w:val="000000" w:themeColor="text1"/>
          <w:sz w:val="22"/>
          <w:szCs w:val="22"/>
        </w:rPr>
        <w:t xml:space="preserve"> requires a graphical display and cannot render in terminal environments.</w:t>
      </w:r>
    </w:p>
    <w:p w14:paraId="0A9FCCFA" w14:textId="77777777" w:rsidR="00E34E14" w:rsidRDefault="00E34E14">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1FFC1A36" w14:textId="09DD5202" w:rsidR="006F7481" w:rsidRPr="007A73AC" w:rsidRDefault="00000000">
      <w:pPr>
        <w:pStyle w:val="BodyText"/>
        <w:rPr>
          <w:rFonts w:ascii="Arial" w:hAnsi="Arial" w:cs="Arial"/>
          <w:color w:val="000000" w:themeColor="text1"/>
          <w:sz w:val="22"/>
          <w:szCs w:val="22"/>
        </w:rPr>
      </w:pPr>
      <w:r w:rsidRPr="007A73AC">
        <w:rPr>
          <w:rFonts w:ascii="Arial" w:hAnsi="Arial" w:cs="Arial"/>
          <w:b/>
          <w:bCs/>
          <w:color w:val="000000" w:themeColor="text1"/>
          <w:sz w:val="22"/>
          <w:szCs w:val="22"/>
        </w:rPr>
        <w:lastRenderedPageBreak/>
        <w:t>Table 1.</w:t>
      </w:r>
      <w:r w:rsidRPr="007A73AC">
        <w:rPr>
          <w:rFonts w:ascii="Arial" w:hAnsi="Arial" w:cs="Arial"/>
          <w:color w:val="000000" w:themeColor="text1"/>
          <w:sz w:val="22"/>
          <w:szCs w:val="22"/>
        </w:rPr>
        <w:t xml:space="preserve"> Feature comparison of terminal-capable plotting tools.</w:t>
      </w:r>
    </w:p>
    <w:tbl>
      <w:tblPr>
        <w:tblStyle w:val="Table"/>
        <w:tblW w:w="5000" w:type="pct"/>
        <w:tblLayout w:type="fixed"/>
        <w:tblLook w:val="0020" w:firstRow="1" w:lastRow="0" w:firstColumn="0" w:lastColumn="0" w:noHBand="0" w:noVBand="0"/>
      </w:tblPr>
      <w:tblGrid>
        <w:gridCol w:w="1437"/>
        <w:gridCol w:w="1277"/>
        <w:gridCol w:w="1436"/>
        <w:gridCol w:w="2554"/>
        <w:gridCol w:w="1436"/>
        <w:gridCol w:w="1436"/>
      </w:tblGrid>
      <w:tr w:rsidR="007A73AC" w:rsidRPr="007A73AC" w14:paraId="0EEEC15E" w14:textId="77777777" w:rsidTr="006F7481">
        <w:trPr>
          <w:cnfStyle w:val="100000000000" w:firstRow="1" w:lastRow="0" w:firstColumn="0" w:lastColumn="0" w:oddVBand="0" w:evenVBand="0" w:oddHBand="0" w:evenHBand="0" w:firstRowFirstColumn="0" w:firstRowLastColumn="0" w:lastRowFirstColumn="0" w:lastRowLastColumn="0"/>
          <w:tblHeader/>
        </w:trPr>
        <w:tc>
          <w:tcPr>
            <w:tcW w:w="1188" w:type="dxa"/>
          </w:tcPr>
          <w:p w14:paraId="25863DE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Feature</w:t>
            </w:r>
          </w:p>
        </w:tc>
        <w:tc>
          <w:tcPr>
            <w:tcW w:w="1056" w:type="dxa"/>
          </w:tcPr>
          <w:p w14:paraId="2A0231F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ggterm</w:t>
            </w:r>
          </w:p>
        </w:tc>
        <w:tc>
          <w:tcPr>
            <w:tcW w:w="1188" w:type="dxa"/>
          </w:tcPr>
          <w:p w14:paraId="3143C984"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plotext</w:t>
            </w:r>
          </w:p>
        </w:tc>
        <w:tc>
          <w:tcPr>
            <w:tcW w:w="2112" w:type="dxa"/>
          </w:tcPr>
          <w:p w14:paraId="10969F4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UnicodePlots.jl</w:t>
            </w:r>
          </w:p>
        </w:tc>
        <w:tc>
          <w:tcPr>
            <w:tcW w:w="1188" w:type="dxa"/>
          </w:tcPr>
          <w:p w14:paraId="7D6A1859"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gnuplot</w:t>
            </w:r>
          </w:p>
        </w:tc>
        <w:tc>
          <w:tcPr>
            <w:tcW w:w="1188" w:type="dxa"/>
          </w:tcPr>
          <w:p w14:paraId="6A35043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ggplot2</w:t>
            </w:r>
          </w:p>
        </w:tc>
      </w:tr>
      <w:tr w:rsidR="007A73AC" w:rsidRPr="007A73AC" w14:paraId="51EA24C7" w14:textId="77777777">
        <w:tc>
          <w:tcPr>
            <w:tcW w:w="1188" w:type="dxa"/>
          </w:tcPr>
          <w:p w14:paraId="787CE66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Grammar of Graphics</w:t>
            </w:r>
          </w:p>
        </w:tc>
        <w:tc>
          <w:tcPr>
            <w:tcW w:w="1056" w:type="dxa"/>
          </w:tcPr>
          <w:p w14:paraId="6A9FBA2F"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0CB682E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50C8ABF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3D7ADB1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2D347E9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r>
      <w:tr w:rsidR="007A73AC" w:rsidRPr="007A73AC" w14:paraId="6E6D93EE" w14:textId="77777777">
        <w:tc>
          <w:tcPr>
            <w:tcW w:w="1188" w:type="dxa"/>
          </w:tcPr>
          <w:p w14:paraId="1E91B4AC"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Terminal rendering</w:t>
            </w:r>
          </w:p>
        </w:tc>
        <w:tc>
          <w:tcPr>
            <w:tcW w:w="1056" w:type="dxa"/>
          </w:tcPr>
          <w:p w14:paraId="56CCDDCF"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0C66384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2112" w:type="dxa"/>
          </w:tcPr>
          <w:p w14:paraId="488A9D3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08BF210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 (dumb)</w:t>
            </w:r>
          </w:p>
        </w:tc>
        <w:tc>
          <w:tcPr>
            <w:tcW w:w="1188" w:type="dxa"/>
          </w:tcPr>
          <w:p w14:paraId="2761CFCC"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r>
      <w:tr w:rsidR="007A73AC" w:rsidRPr="007A73AC" w14:paraId="59CE531F" w14:textId="77777777">
        <w:tc>
          <w:tcPr>
            <w:tcW w:w="1188" w:type="dxa"/>
          </w:tcPr>
          <w:p w14:paraId="7CD114F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Geometry types</w:t>
            </w:r>
          </w:p>
        </w:tc>
        <w:tc>
          <w:tcPr>
            <w:tcW w:w="1056" w:type="dxa"/>
          </w:tcPr>
          <w:p w14:paraId="7C1DF2D0"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66</w:t>
            </w:r>
          </w:p>
        </w:tc>
        <w:tc>
          <w:tcPr>
            <w:tcW w:w="1188" w:type="dxa"/>
          </w:tcPr>
          <w:p w14:paraId="23F9007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~15</w:t>
            </w:r>
          </w:p>
        </w:tc>
        <w:tc>
          <w:tcPr>
            <w:tcW w:w="2112" w:type="dxa"/>
          </w:tcPr>
          <w:p w14:paraId="229476A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12</w:t>
            </w:r>
          </w:p>
        </w:tc>
        <w:tc>
          <w:tcPr>
            <w:tcW w:w="1188" w:type="dxa"/>
          </w:tcPr>
          <w:p w14:paraId="3499BEB0"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~30</w:t>
            </w:r>
          </w:p>
        </w:tc>
        <w:tc>
          <w:tcPr>
            <w:tcW w:w="1188" w:type="dxa"/>
          </w:tcPr>
          <w:p w14:paraId="093538B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50+ (with extensions)</w:t>
            </w:r>
          </w:p>
        </w:tc>
      </w:tr>
      <w:tr w:rsidR="007A73AC" w:rsidRPr="007A73AC" w14:paraId="796A6794" w14:textId="77777777">
        <w:tc>
          <w:tcPr>
            <w:tcW w:w="1188" w:type="dxa"/>
          </w:tcPr>
          <w:p w14:paraId="5B57A96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Volcano plot</w:t>
            </w:r>
          </w:p>
        </w:tc>
        <w:tc>
          <w:tcPr>
            <w:tcW w:w="1056" w:type="dxa"/>
          </w:tcPr>
          <w:p w14:paraId="4D0A7F6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26C75C7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4933930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5A9C6429"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3CBB52F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 (EnhancedVolcano)</w:t>
            </w:r>
          </w:p>
        </w:tc>
      </w:tr>
      <w:tr w:rsidR="007A73AC" w:rsidRPr="007A73AC" w14:paraId="72A22C2B" w14:textId="77777777">
        <w:tc>
          <w:tcPr>
            <w:tcW w:w="1188" w:type="dxa"/>
          </w:tcPr>
          <w:p w14:paraId="02148C29"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Kaplan-Meier</w:t>
            </w:r>
          </w:p>
        </w:tc>
        <w:tc>
          <w:tcPr>
            <w:tcW w:w="1056" w:type="dxa"/>
          </w:tcPr>
          <w:p w14:paraId="6951A9E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7CEF044A"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78847CC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0DB3955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3D75FE1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 (survminer)</w:t>
            </w:r>
          </w:p>
        </w:tc>
      </w:tr>
      <w:tr w:rsidR="007A73AC" w:rsidRPr="007A73AC" w14:paraId="0B89F965" w14:textId="77777777">
        <w:tc>
          <w:tcPr>
            <w:tcW w:w="1188" w:type="dxa"/>
          </w:tcPr>
          <w:p w14:paraId="52857012"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Forest plot</w:t>
            </w:r>
          </w:p>
        </w:tc>
        <w:tc>
          <w:tcPr>
            <w:tcW w:w="1056" w:type="dxa"/>
          </w:tcPr>
          <w:p w14:paraId="64294584"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1E5CD722"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6AB608B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64786A3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7A9043E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 (forestplot)</w:t>
            </w:r>
          </w:p>
        </w:tc>
      </w:tr>
      <w:tr w:rsidR="007A73AC" w:rsidRPr="007A73AC" w14:paraId="1BE35A91" w14:textId="77777777">
        <w:tc>
          <w:tcPr>
            <w:tcW w:w="1188" w:type="dxa"/>
          </w:tcPr>
          <w:p w14:paraId="47315090"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Manhattan plot</w:t>
            </w:r>
          </w:p>
        </w:tc>
        <w:tc>
          <w:tcPr>
            <w:tcW w:w="1056" w:type="dxa"/>
          </w:tcPr>
          <w:p w14:paraId="49EC78F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0FEA18C4"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22C4DA0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74ED8C5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582EF113"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 (qqman)</w:t>
            </w:r>
          </w:p>
        </w:tc>
      </w:tr>
      <w:tr w:rsidR="007A73AC" w:rsidRPr="007A73AC" w14:paraId="015F6DEE" w14:textId="77777777">
        <w:tc>
          <w:tcPr>
            <w:tcW w:w="1188" w:type="dxa"/>
          </w:tcPr>
          <w:p w14:paraId="7C163F6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Q-Q plot</w:t>
            </w:r>
          </w:p>
        </w:tc>
        <w:tc>
          <w:tcPr>
            <w:tcW w:w="1056" w:type="dxa"/>
          </w:tcPr>
          <w:p w14:paraId="7C8AF3E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c>
          <w:tcPr>
            <w:tcW w:w="1188" w:type="dxa"/>
          </w:tcPr>
          <w:p w14:paraId="79BC12F9"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3F30D8DD"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4FFC5A3F"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1F1EF310"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Yes</w:t>
            </w:r>
          </w:p>
        </w:tc>
      </w:tr>
      <w:tr w:rsidR="007A73AC" w:rsidRPr="007A73AC" w14:paraId="76308D5E" w14:textId="77777777">
        <w:tc>
          <w:tcPr>
            <w:tcW w:w="1188" w:type="dxa"/>
          </w:tcPr>
          <w:p w14:paraId="4508F104"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Publication export</w:t>
            </w:r>
          </w:p>
        </w:tc>
        <w:tc>
          <w:tcPr>
            <w:tcW w:w="1056" w:type="dxa"/>
          </w:tcPr>
          <w:p w14:paraId="03131115"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PNG/SVG/PDF</w:t>
            </w:r>
          </w:p>
        </w:tc>
        <w:tc>
          <w:tcPr>
            <w:tcW w:w="1188" w:type="dxa"/>
          </w:tcPr>
          <w:p w14:paraId="0D82FD6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75409A7B"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PNG/TXT</w:t>
            </w:r>
          </w:p>
        </w:tc>
        <w:tc>
          <w:tcPr>
            <w:tcW w:w="1188" w:type="dxa"/>
          </w:tcPr>
          <w:p w14:paraId="4A7362C2"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Multiple</w:t>
            </w:r>
          </w:p>
        </w:tc>
        <w:tc>
          <w:tcPr>
            <w:tcW w:w="1188" w:type="dxa"/>
          </w:tcPr>
          <w:p w14:paraId="47A092E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Multiple</w:t>
            </w:r>
          </w:p>
        </w:tc>
      </w:tr>
      <w:tr w:rsidR="007A73AC" w:rsidRPr="007A73AC" w14:paraId="31D9A64F" w14:textId="77777777">
        <w:tc>
          <w:tcPr>
            <w:tcW w:w="1188" w:type="dxa"/>
          </w:tcPr>
          <w:p w14:paraId="3FAC4D1A"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Style presets</w:t>
            </w:r>
          </w:p>
        </w:tc>
        <w:tc>
          <w:tcPr>
            <w:tcW w:w="1056" w:type="dxa"/>
          </w:tcPr>
          <w:p w14:paraId="5016C552"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6 presets</w:t>
            </w:r>
          </w:p>
        </w:tc>
        <w:tc>
          <w:tcPr>
            <w:tcW w:w="1188" w:type="dxa"/>
          </w:tcPr>
          <w:p w14:paraId="149CC3B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Themes</w:t>
            </w:r>
          </w:p>
        </w:tc>
        <w:tc>
          <w:tcPr>
            <w:tcW w:w="2112" w:type="dxa"/>
          </w:tcPr>
          <w:p w14:paraId="5D0C1C2A"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34A1604F"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2DF8838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Themes</w:t>
            </w:r>
          </w:p>
        </w:tc>
      </w:tr>
      <w:tr w:rsidR="007A73AC" w:rsidRPr="007A73AC" w14:paraId="7827EA63" w14:textId="77777777">
        <w:tc>
          <w:tcPr>
            <w:tcW w:w="1188" w:type="dxa"/>
          </w:tcPr>
          <w:p w14:paraId="05CDF241"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Plot history</w:t>
            </w:r>
          </w:p>
        </w:tc>
        <w:tc>
          <w:tcPr>
            <w:tcW w:w="1056" w:type="dxa"/>
          </w:tcPr>
          <w:p w14:paraId="48D35B04"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Automatic</w:t>
            </w:r>
          </w:p>
        </w:tc>
        <w:tc>
          <w:tcPr>
            <w:tcW w:w="1188" w:type="dxa"/>
          </w:tcPr>
          <w:p w14:paraId="6F57732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08E9A30C"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0620AADA"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2E47161C"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r>
      <w:tr w:rsidR="007A73AC" w:rsidRPr="007A73AC" w14:paraId="3F4228DD" w14:textId="77777777">
        <w:tc>
          <w:tcPr>
            <w:tcW w:w="1188" w:type="dxa"/>
          </w:tcPr>
          <w:p w14:paraId="2E57DD5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AI integration</w:t>
            </w:r>
          </w:p>
        </w:tc>
        <w:tc>
          <w:tcPr>
            <w:tcW w:w="1056" w:type="dxa"/>
          </w:tcPr>
          <w:p w14:paraId="7BD3125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8 skills</w:t>
            </w:r>
          </w:p>
        </w:tc>
        <w:tc>
          <w:tcPr>
            <w:tcW w:w="1188" w:type="dxa"/>
          </w:tcPr>
          <w:p w14:paraId="6B74901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2112" w:type="dxa"/>
          </w:tcPr>
          <w:p w14:paraId="71C8AA6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3A3F235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c>
          <w:tcPr>
            <w:tcW w:w="1188" w:type="dxa"/>
          </w:tcPr>
          <w:p w14:paraId="233B914E"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No</w:t>
            </w:r>
          </w:p>
        </w:tc>
      </w:tr>
      <w:tr w:rsidR="007A73AC" w:rsidRPr="007A73AC" w14:paraId="443392C9" w14:textId="77777777">
        <w:tc>
          <w:tcPr>
            <w:tcW w:w="1188" w:type="dxa"/>
          </w:tcPr>
          <w:p w14:paraId="682683B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Language</w:t>
            </w:r>
          </w:p>
        </w:tc>
        <w:tc>
          <w:tcPr>
            <w:tcW w:w="1056" w:type="dxa"/>
          </w:tcPr>
          <w:p w14:paraId="28981717"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TypeScript</w:t>
            </w:r>
          </w:p>
        </w:tc>
        <w:tc>
          <w:tcPr>
            <w:tcW w:w="1188" w:type="dxa"/>
          </w:tcPr>
          <w:p w14:paraId="6DBAA0C0"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Python</w:t>
            </w:r>
          </w:p>
        </w:tc>
        <w:tc>
          <w:tcPr>
            <w:tcW w:w="2112" w:type="dxa"/>
          </w:tcPr>
          <w:p w14:paraId="2BB5C5F6"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Julia</w:t>
            </w:r>
          </w:p>
        </w:tc>
        <w:tc>
          <w:tcPr>
            <w:tcW w:w="1188" w:type="dxa"/>
          </w:tcPr>
          <w:p w14:paraId="77782A88"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C</w:t>
            </w:r>
          </w:p>
        </w:tc>
        <w:tc>
          <w:tcPr>
            <w:tcW w:w="1188" w:type="dxa"/>
          </w:tcPr>
          <w:p w14:paraId="58049E23" w14:textId="77777777" w:rsidR="006F7481" w:rsidRPr="007A73AC" w:rsidRDefault="00000000">
            <w:pPr>
              <w:pStyle w:val="Compact"/>
              <w:rPr>
                <w:rFonts w:ascii="Arial" w:hAnsi="Arial" w:cs="Arial"/>
                <w:color w:val="000000" w:themeColor="text1"/>
                <w:sz w:val="22"/>
                <w:szCs w:val="22"/>
              </w:rPr>
            </w:pPr>
            <w:r w:rsidRPr="007A73AC">
              <w:rPr>
                <w:rFonts w:ascii="Arial" w:hAnsi="Arial" w:cs="Arial"/>
                <w:color w:val="000000" w:themeColor="text1"/>
                <w:sz w:val="22"/>
                <w:szCs w:val="22"/>
              </w:rPr>
              <w:t>R</w:t>
            </w:r>
          </w:p>
        </w:tc>
      </w:tr>
    </w:tbl>
    <w:p w14:paraId="0992FC58" w14:textId="77777777" w:rsidR="006F7481" w:rsidRPr="007A73AC" w:rsidRDefault="00000000">
      <w:pPr>
        <w:pStyle w:val="Heading2"/>
        <w:rPr>
          <w:rFonts w:ascii="Arial" w:hAnsi="Arial" w:cs="Arial"/>
          <w:b/>
          <w:bCs/>
          <w:color w:val="000000" w:themeColor="text1"/>
          <w:sz w:val="22"/>
          <w:szCs w:val="22"/>
        </w:rPr>
      </w:pPr>
      <w:bookmarkStart w:id="10" w:name="usage-example"/>
      <w:bookmarkEnd w:id="9"/>
      <w:r w:rsidRPr="007A73AC">
        <w:rPr>
          <w:rFonts w:ascii="Arial" w:hAnsi="Arial" w:cs="Arial"/>
          <w:b/>
          <w:bCs/>
          <w:color w:val="000000" w:themeColor="text1"/>
          <w:sz w:val="22"/>
          <w:szCs w:val="22"/>
        </w:rPr>
        <w:t>4. Usage example</w:t>
      </w:r>
    </w:p>
    <w:p w14:paraId="66E76ED8" w14:textId="77777777" w:rsidR="006F7481" w:rsidRPr="007A73AC" w:rsidRDefault="00000000">
      <w:pPr>
        <w:pStyle w:val="FirstParagraph"/>
        <w:rPr>
          <w:rFonts w:ascii="Arial" w:hAnsi="Arial" w:cs="Arial"/>
          <w:color w:val="000000" w:themeColor="text1"/>
          <w:sz w:val="22"/>
          <w:szCs w:val="22"/>
        </w:rPr>
      </w:pPr>
      <w:r w:rsidRPr="007A73AC">
        <w:rPr>
          <w:rFonts w:ascii="Arial" w:hAnsi="Arial" w:cs="Arial"/>
          <w:color w:val="000000" w:themeColor="text1"/>
          <w:sz w:val="22"/>
          <w:szCs w:val="22"/>
        </w:rPr>
        <w:t>A typical bioinformatics workflow with ggterm begins with a single setup command:</w:t>
      </w:r>
    </w:p>
    <w:p w14:paraId="57943B1F" w14:textId="77777777" w:rsidR="006F7481" w:rsidRPr="007A73AC" w:rsidRDefault="00000000">
      <w:pPr>
        <w:pStyle w:val="SourceCode"/>
        <w:rPr>
          <w:rFonts w:ascii="Arial" w:hAnsi="Arial" w:cs="Arial"/>
          <w:i/>
          <w:iCs/>
          <w:color w:val="000000" w:themeColor="text1"/>
          <w:sz w:val="22"/>
          <w:szCs w:val="22"/>
        </w:rPr>
      </w:pPr>
      <w:r w:rsidRPr="007A73AC">
        <w:rPr>
          <w:rStyle w:val="ExtensionTok"/>
          <w:rFonts w:ascii="Arial" w:hAnsi="Arial" w:cs="Arial"/>
          <w:i/>
          <w:iCs/>
          <w:color w:val="000000" w:themeColor="text1"/>
          <w:szCs w:val="22"/>
        </w:rPr>
        <w:t>npx</w:t>
      </w:r>
      <w:r w:rsidRPr="007A73AC">
        <w:rPr>
          <w:rStyle w:val="NormalTok"/>
          <w:rFonts w:ascii="Arial" w:hAnsi="Arial" w:cs="Arial"/>
          <w:i/>
          <w:iCs/>
          <w:color w:val="000000" w:themeColor="text1"/>
          <w:szCs w:val="22"/>
        </w:rPr>
        <w:t xml:space="preserve"> ggterm-plot setup</w:t>
      </w:r>
    </w:p>
    <w:p w14:paraId="6CACE841" w14:textId="77777777" w:rsidR="006F7481" w:rsidRPr="007A73AC" w:rsidRDefault="00000000">
      <w:pPr>
        <w:pStyle w:val="FirstParagraph"/>
        <w:rPr>
          <w:rFonts w:ascii="Arial" w:hAnsi="Arial" w:cs="Arial"/>
          <w:color w:val="000000" w:themeColor="text1"/>
          <w:sz w:val="22"/>
          <w:szCs w:val="22"/>
        </w:rPr>
      </w:pPr>
      <w:r w:rsidRPr="007A73AC">
        <w:rPr>
          <w:rFonts w:ascii="Arial" w:hAnsi="Arial" w:cs="Arial"/>
          <w:color w:val="000000" w:themeColor="text1"/>
          <w:sz w:val="22"/>
          <w:szCs w:val="22"/>
        </w:rPr>
        <w:t>This installs the package, starts the live viewer, and configures AI skills. The researcher can then create visualizations by talking to Claude Code:</w:t>
      </w:r>
    </w:p>
    <w:p w14:paraId="4056F734" w14:textId="5881613F" w:rsidR="006F7481" w:rsidRPr="007A73AC" w:rsidRDefault="00000000" w:rsidP="007A73AC">
      <w:pPr>
        <w:pStyle w:val="SourceCode"/>
        <w:ind w:left="720"/>
        <w:rPr>
          <w:rFonts w:ascii="Arial" w:hAnsi="Arial" w:cs="Arial"/>
          <w:color w:val="000000" w:themeColor="text1"/>
          <w:sz w:val="22"/>
          <w:szCs w:val="22"/>
        </w:rPr>
      </w:pPr>
      <w:r w:rsidRPr="007A73AC">
        <w:rPr>
          <w:rStyle w:val="VerbatimChar"/>
          <w:rFonts w:ascii="Arial" w:hAnsi="Arial" w:cs="Arial"/>
          <w:color w:val="000000" w:themeColor="text1"/>
          <w:szCs w:val="22"/>
        </w:rPr>
        <w:t>User: Load the differential expression results and show a volcano plot</w:t>
      </w:r>
      <w:r w:rsidRPr="007A73AC">
        <w:rPr>
          <w:rFonts w:ascii="Arial" w:hAnsi="Arial" w:cs="Arial"/>
          <w:color w:val="000000" w:themeColor="text1"/>
          <w:sz w:val="22"/>
          <w:szCs w:val="22"/>
        </w:rPr>
        <w:br/>
      </w:r>
      <w:r w:rsidRPr="007A73AC">
        <w:rPr>
          <w:rStyle w:val="VerbatimChar"/>
          <w:rFonts w:ascii="Arial" w:hAnsi="Arial" w:cs="Arial"/>
          <w:color w:val="000000" w:themeColor="text1"/>
          <w:szCs w:val="22"/>
        </w:rPr>
        <w:t>Claude: [Creates volcano plot from DESeq2 output, appears in viewer]</w:t>
      </w:r>
      <w:r w:rsidRPr="007A73AC">
        <w:rPr>
          <w:rFonts w:ascii="Arial" w:hAnsi="Arial" w:cs="Arial"/>
          <w:color w:val="000000" w:themeColor="text1"/>
          <w:sz w:val="22"/>
          <w:szCs w:val="22"/>
        </w:rPr>
        <w:br/>
      </w:r>
      <w:r w:rsidRPr="007A73AC">
        <w:rPr>
          <w:rFonts w:ascii="Arial" w:hAnsi="Arial" w:cs="Arial"/>
          <w:color w:val="000000" w:themeColor="text1"/>
          <w:sz w:val="22"/>
          <w:szCs w:val="22"/>
        </w:rPr>
        <w:br/>
      </w:r>
      <w:r w:rsidRPr="007A73AC">
        <w:rPr>
          <w:rStyle w:val="VerbatimChar"/>
          <w:rFonts w:ascii="Arial" w:hAnsi="Arial" w:cs="Arial"/>
          <w:color w:val="000000" w:themeColor="text1"/>
          <w:szCs w:val="22"/>
        </w:rPr>
        <w:t>User: Label the top 10 most significant genes</w:t>
      </w:r>
      <w:r w:rsidRPr="007A73AC">
        <w:rPr>
          <w:rFonts w:ascii="Arial" w:hAnsi="Arial" w:cs="Arial"/>
          <w:color w:val="000000" w:themeColor="text1"/>
          <w:sz w:val="22"/>
          <w:szCs w:val="22"/>
        </w:rPr>
        <w:br/>
      </w:r>
      <w:r w:rsidRPr="007A73AC">
        <w:rPr>
          <w:rStyle w:val="VerbatimChar"/>
          <w:rFonts w:ascii="Arial" w:hAnsi="Arial" w:cs="Arial"/>
          <w:color w:val="000000" w:themeColor="text1"/>
          <w:szCs w:val="22"/>
        </w:rPr>
        <w:t>Claude: [Adds gene labels to plot, viewer auto-updates]</w:t>
      </w:r>
      <w:r w:rsidRPr="007A73AC">
        <w:rPr>
          <w:rFonts w:ascii="Arial" w:hAnsi="Arial" w:cs="Arial"/>
          <w:color w:val="000000" w:themeColor="text1"/>
          <w:sz w:val="22"/>
          <w:szCs w:val="22"/>
        </w:rPr>
        <w:br/>
      </w:r>
      <w:r w:rsidRPr="007A73AC">
        <w:rPr>
          <w:rFonts w:ascii="Arial" w:hAnsi="Arial" w:cs="Arial"/>
          <w:color w:val="000000" w:themeColor="text1"/>
          <w:sz w:val="22"/>
          <w:szCs w:val="22"/>
        </w:rPr>
        <w:br/>
      </w:r>
      <w:r w:rsidRPr="007A73AC">
        <w:rPr>
          <w:rStyle w:val="VerbatimChar"/>
          <w:rFonts w:ascii="Arial" w:hAnsi="Arial" w:cs="Arial"/>
          <w:color w:val="000000" w:themeColor="text1"/>
          <w:szCs w:val="22"/>
        </w:rPr>
        <w:t>User: Style for Nature and export as SVG</w:t>
      </w:r>
      <w:r w:rsidRPr="007A73AC">
        <w:rPr>
          <w:rFonts w:ascii="Arial" w:hAnsi="Arial" w:cs="Arial"/>
          <w:color w:val="000000" w:themeColor="text1"/>
          <w:sz w:val="22"/>
          <w:szCs w:val="22"/>
        </w:rPr>
        <w:br/>
      </w:r>
      <w:r w:rsidRPr="007A73AC">
        <w:rPr>
          <w:rStyle w:val="VerbatimChar"/>
          <w:rFonts w:ascii="Arial" w:hAnsi="Arial" w:cs="Arial"/>
          <w:color w:val="000000" w:themeColor="text1"/>
          <w:szCs w:val="22"/>
        </w:rPr>
        <w:t>Claude: [Applies Nature preset, exports publication figure]</w:t>
      </w:r>
    </w:p>
    <w:p w14:paraId="63566DD0" w14:textId="77777777" w:rsidR="006F7481" w:rsidRPr="007A73AC" w:rsidRDefault="00000000">
      <w:pPr>
        <w:pStyle w:val="FirstParagraph"/>
        <w:rPr>
          <w:rFonts w:ascii="Arial" w:hAnsi="Arial" w:cs="Arial"/>
          <w:color w:val="000000" w:themeColor="text1"/>
          <w:sz w:val="22"/>
          <w:szCs w:val="22"/>
        </w:rPr>
      </w:pPr>
      <w:r w:rsidRPr="007A73AC">
        <w:rPr>
          <w:rFonts w:ascii="Arial" w:hAnsi="Arial" w:cs="Arial"/>
          <w:color w:val="000000" w:themeColor="text1"/>
          <w:sz w:val="22"/>
          <w:szCs w:val="22"/>
        </w:rPr>
        <w:t>The same workflow works with the CLI directly:</w:t>
      </w:r>
    </w:p>
    <w:p w14:paraId="05BFC24C" w14:textId="77777777" w:rsidR="006F7481" w:rsidRPr="007A73AC" w:rsidRDefault="00000000">
      <w:pPr>
        <w:pStyle w:val="SourceCode"/>
        <w:rPr>
          <w:rFonts w:ascii="Arial" w:hAnsi="Arial" w:cs="Arial"/>
          <w:i/>
          <w:iCs/>
          <w:color w:val="000000" w:themeColor="text1"/>
          <w:sz w:val="22"/>
          <w:szCs w:val="22"/>
        </w:rPr>
      </w:pPr>
      <w:r w:rsidRPr="007A73AC">
        <w:rPr>
          <w:rStyle w:val="ExtensionTok"/>
          <w:rFonts w:ascii="Arial" w:hAnsi="Arial" w:cs="Arial"/>
          <w:i/>
          <w:iCs/>
          <w:color w:val="000000" w:themeColor="text1"/>
          <w:szCs w:val="22"/>
        </w:rPr>
        <w:lastRenderedPageBreak/>
        <w:t>npx</w:t>
      </w:r>
      <w:r w:rsidRPr="007A73AC">
        <w:rPr>
          <w:rStyle w:val="NormalTok"/>
          <w:rFonts w:ascii="Arial" w:hAnsi="Arial" w:cs="Arial"/>
          <w:i/>
          <w:iCs/>
          <w:color w:val="000000" w:themeColor="text1"/>
          <w:szCs w:val="22"/>
        </w:rPr>
        <w:t xml:space="preserve"> ggterm-plot airway log2FoldChange padj gene </w:t>
      </w:r>
      <w:r w:rsidRPr="007A73AC">
        <w:rPr>
          <w:rStyle w:val="StringTok"/>
          <w:rFonts w:ascii="Arial" w:hAnsi="Arial" w:cs="Arial"/>
          <w:i/>
          <w:iCs/>
          <w:color w:val="000000" w:themeColor="text1"/>
          <w:szCs w:val="22"/>
        </w:rPr>
        <w:t>"DESeq2 Results"</w:t>
      </w:r>
      <w:r w:rsidRPr="007A73AC">
        <w:rPr>
          <w:rStyle w:val="NormalTok"/>
          <w:rFonts w:ascii="Arial" w:hAnsi="Arial" w:cs="Arial"/>
          <w:i/>
          <w:iCs/>
          <w:color w:val="000000" w:themeColor="text1"/>
          <w:szCs w:val="22"/>
        </w:rPr>
        <w:t xml:space="preserve"> volcano</w:t>
      </w:r>
      <w:r w:rsidRPr="007A73AC">
        <w:rPr>
          <w:rFonts w:ascii="Arial" w:hAnsi="Arial" w:cs="Arial"/>
          <w:i/>
          <w:iCs/>
          <w:color w:val="000000" w:themeColor="text1"/>
          <w:sz w:val="22"/>
          <w:szCs w:val="22"/>
        </w:rPr>
        <w:br/>
      </w:r>
      <w:r w:rsidRPr="007A73AC">
        <w:rPr>
          <w:rStyle w:val="ExtensionTok"/>
          <w:rFonts w:ascii="Arial" w:hAnsi="Arial" w:cs="Arial"/>
          <w:i/>
          <w:iCs/>
          <w:color w:val="000000" w:themeColor="text1"/>
          <w:szCs w:val="22"/>
        </w:rPr>
        <w:t>npx</w:t>
      </w:r>
      <w:r w:rsidRPr="007A73AC">
        <w:rPr>
          <w:rStyle w:val="NormalTok"/>
          <w:rFonts w:ascii="Arial" w:hAnsi="Arial" w:cs="Arial"/>
          <w:i/>
          <w:iCs/>
          <w:color w:val="000000" w:themeColor="text1"/>
          <w:szCs w:val="22"/>
        </w:rPr>
        <w:t xml:space="preserve"> ggterm-plot lung time status sex </w:t>
      </w:r>
      <w:r w:rsidRPr="007A73AC">
        <w:rPr>
          <w:rStyle w:val="StringTok"/>
          <w:rFonts w:ascii="Arial" w:hAnsi="Arial" w:cs="Arial"/>
          <w:i/>
          <w:iCs/>
          <w:color w:val="000000" w:themeColor="text1"/>
          <w:szCs w:val="22"/>
        </w:rPr>
        <w:t>"Lung Survival"</w:t>
      </w:r>
      <w:r w:rsidRPr="007A73AC">
        <w:rPr>
          <w:rStyle w:val="NormalTok"/>
          <w:rFonts w:ascii="Arial" w:hAnsi="Arial" w:cs="Arial"/>
          <w:i/>
          <w:iCs/>
          <w:color w:val="000000" w:themeColor="text1"/>
          <w:szCs w:val="22"/>
        </w:rPr>
        <w:t xml:space="preserve"> kaplan_meier</w:t>
      </w:r>
    </w:p>
    <w:p w14:paraId="288D8925" w14:textId="77777777" w:rsidR="006F7481" w:rsidRPr="007A73AC" w:rsidRDefault="00000000" w:rsidP="007A73AC">
      <w:pPr>
        <w:pStyle w:val="FirstParagraph"/>
        <w:jc w:val="both"/>
        <w:rPr>
          <w:rFonts w:ascii="Arial" w:hAnsi="Arial" w:cs="Arial"/>
          <w:color w:val="000000" w:themeColor="text1"/>
          <w:sz w:val="22"/>
          <w:szCs w:val="22"/>
        </w:rPr>
      </w:pPr>
      <w:r w:rsidRPr="007A73AC">
        <w:rPr>
          <w:rFonts w:ascii="Arial" w:hAnsi="Arial" w:cs="Arial"/>
          <w:color w:val="000000" w:themeColor="text1"/>
          <w:sz w:val="22"/>
          <w:szCs w:val="22"/>
        </w:rPr>
        <w:t>Four built-in datasets allow immediate exploration without file preparation. Two general-purpose datasets, iris [Fisher (1936); 150 observations of sepal and petal dimensions across three species] and mtcars [Henderson and Velleman (1981); 16 automobiles with performance metrics], support standard visualization tasks. Two biological datasets provide domain-specific examples: airway contains DESeq2 differential expression results from the Himes et al. (2014) RNA-seq study of dexamethasone-treated airway smooth muscle cells (500 genes with baseMean, log2FoldChange, and adjusted p-values), and lung contains survival data from the North Central Cancer Treatment Group [Loprinzi et al. (1994); 227 patients with time, censoring status, age, sex, and ECOG performance score]. A researcher can produce a volcano plot or Kaplan-Meier curve within seconds of installation.</w:t>
      </w:r>
    </w:p>
    <w:p w14:paraId="58D3185F" w14:textId="77777777" w:rsidR="006F7481" w:rsidRPr="007A73AC" w:rsidRDefault="00000000">
      <w:pPr>
        <w:pStyle w:val="Heading2"/>
        <w:rPr>
          <w:rFonts w:ascii="Arial" w:hAnsi="Arial" w:cs="Arial"/>
          <w:b/>
          <w:bCs/>
          <w:color w:val="000000" w:themeColor="text1"/>
          <w:sz w:val="22"/>
          <w:szCs w:val="22"/>
        </w:rPr>
      </w:pPr>
      <w:bookmarkStart w:id="11" w:name="acknowledgements"/>
      <w:bookmarkEnd w:id="10"/>
      <w:r w:rsidRPr="007A73AC">
        <w:rPr>
          <w:rFonts w:ascii="Arial" w:hAnsi="Arial" w:cs="Arial"/>
          <w:b/>
          <w:bCs/>
          <w:color w:val="000000" w:themeColor="text1"/>
          <w:sz w:val="22"/>
          <w:szCs w:val="22"/>
        </w:rPr>
        <w:t>Acknowledgements</w:t>
      </w:r>
    </w:p>
    <w:p w14:paraId="355ADCBD" w14:textId="77777777" w:rsidR="006F7481" w:rsidRPr="007A73AC" w:rsidRDefault="00000000">
      <w:pPr>
        <w:pStyle w:val="FirstParagraph"/>
        <w:rPr>
          <w:rFonts w:ascii="Arial" w:hAnsi="Arial" w:cs="Arial"/>
          <w:color w:val="000000" w:themeColor="text1"/>
          <w:sz w:val="22"/>
          <w:szCs w:val="22"/>
        </w:rPr>
      </w:pPr>
      <w:r w:rsidRPr="007A73AC">
        <w:rPr>
          <w:rFonts w:ascii="Arial" w:hAnsi="Arial" w:cs="Arial"/>
          <w:color w:val="000000" w:themeColor="text1"/>
          <w:sz w:val="22"/>
          <w:szCs w:val="22"/>
        </w:rPr>
        <w:t>We would like to thank members of the Handley lab for comments and suggestions.</w:t>
      </w:r>
    </w:p>
    <w:p w14:paraId="79D30B89" w14:textId="77777777" w:rsidR="006F7481" w:rsidRPr="007A73AC" w:rsidRDefault="00000000">
      <w:pPr>
        <w:pStyle w:val="Heading2"/>
        <w:rPr>
          <w:rFonts w:ascii="Arial" w:hAnsi="Arial" w:cs="Arial"/>
          <w:b/>
          <w:bCs/>
          <w:color w:val="000000" w:themeColor="text1"/>
          <w:sz w:val="22"/>
          <w:szCs w:val="22"/>
        </w:rPr>
      </w:pPr>
      <w:bookmarkStart w:id="12" w:name="funding"/>
      <w:bookmarkEnd w:id="11"/>
      <w:r w:rsidRPr="007A73AC">
        <w:rPr>
          <w:rFonts w:ascii="Arial" w:hAnsi="Arial" w:cs="Arial"/>
          <w:b/>
          <w:bCs/>
          <w:color w:val="000000" w:themeColor="text1"/>
          <w:sz w:val="22"/>
          <w:szCs w:val="22"/>
        </w:rPr>
        <w:t>Funding</w:t>
      </w:r>
    </w:p>
    <w:p w14:paraId="31BC143B" w14:textId="6989E84D" w:rsidR="007A73AC" w:rsidRDefault="007A73AC" w:rsidP="007A73AC">
      <w:pPr>
        <w:pStyle w:val="Heading2"/>
        <w:rPr>
          <w:rFonts w:ascii="Arial" w:eastAsiaTheme="minorEastAsia" w:hAnsi="Arial" w:cs="Arial"/>
          <w:color w:val="000000" w:themeColor="text1"/>
          <w:sz w:val="22"/>
          <w:szCs w:val="22"/>
        </w:rPr>
      </w:pPr>
      <w:bookmarkStart w:id="13" w:name="references"/>
      <w:bookmarkEnd w:id="12"/>
      <w:r w:rsidRPr="007A73AC">
        <w:rPr>
          <w:rFonts w:ascii="Arial" w:eastAsiaTheme="minorEastAsia" w:hAnsi="Arial" w:cs="Arial"/>
          <w:color w:val="000000" w:themeColor="text1"/>
          <w:sz w:val="22"/>
          <w:szCs w:val="22"/>
        </w:rPr>
        <w:t>This work was supported by institutional funds from Washington University School of</w:t>
      </w:r>
      <w:r>
        <w:rPr>
          <w:rFonts w:ascii="Arial" w:eastAsiaTheme="minorEastAsia" w:hAnsi="Arial" w:cs="Arial"/>
          <w:color w:val="000000" w:themeColor="text1"/>
          <w:sz w:val="22"/>
          <w:szCs w:val="22"/>
        </w:rPr>
        <w:t xml:space="preserve"> </w:t>
      </w:r>
      <w:r w:rsidRPr="007A73AC">
        <w:rPr>
          <w:rFonts w:ascii="Arial" w:eastAsiaTheme="minorEastAsia" w:hAnsi="Arial" w:cs="Arial"/>
          <w:color w:val="000000" w:themeColor="text1"/>
          <w:sz w:val="22"/>
          <w:szCs w:val="22"/>
        </w:rPr>
        <w:t>Medicine.</w:t>
      </w:r>
    </w:p>
    <w:p w14:paraId="1793BA5E" w14:textId="3E432A57" w:rsidR="006F7481" w:rsidRPr="007A73AC" w:rsidRDefault="00000000" w:rsidP="007A73AC">
      <w:pPr>
        <w:pStyle w:val="Heading2"/>
        <w:rPr>
          <w:rFonts w:ascii="Arial" w:hAnsi="Arial" w:cs="Arial"/>
          <w:b/>
          <w:bCs/>
          <w:color w:val="000000" w:themeColor="text1"/>
          <w:sz w:val="22"/>
          <w:szCs w:val="22"/>
        </w:rPr>
      </w:pPr>
      <w:r w:rsidRPr="007A73AC">
        <w:rPr>
          <w:rFonts w:ascii="Arial" w:hAnsi="Arial" w:cs="Arial"/>
          <w:b/>
          <w:bCs/>
          <w:color w:val="000000" w:themeColor="text1"/>
          <w:sz w:val="22"/>
          <w:szCs w:val="22"/>
        </w:rPr>
        <w:t>References</w:t>
      </w:r>
    </w:p>
    <w:p w14:paraId="196162E5" w14:textId="77777777" w:rsidR="006F7481" w:rsidRPr="007A73AC" w:rsidRDefault="00000000">
      <w:pPr>
        <w:pStyle w:val="Bibliography"/>
        <w:rPr>
          <w:rFonts w:ascii="Arial" w:hAnsi="Arial" w:cs="Arial"/>
          <w:color w:val="000000" w:themeColor="text1"/>
          <w:sz w:val="22"/>
          <w:szCs w:val="22"/>
        </w:rPr>
      </w:pPr>
      <w:bookmarkStart w:id="14" w:name="ref-anthropic2025claude"/>
      <w:bookmarkStart w:id="15" w:name="refs"/>
      <w:r w:rsidRPr="007A73AC">
        <w:rPr>
          <w:rFonts w:ascii="Arial" w:hAnsi="Arial" w:cs="Arial"/>
          <w:color w:val="000000" w:themeColor="text1"/>
          <w:sz w:val="22"/>
          <w:szCs w:val="22"/>
        </w:rPr>
        <w:t xml:space="preserve">Anthropic. 2025. </w:t>
      </w:r>
      <w:r w:rsidRPr="007A73AC">
        <w:rPr>
          <w:rFonts w:ascii="Arial" w:hAnsi="Arial" w:cs="Arial"/>
          <w:i/>
          <w:iCs/>
          <w:color w:val="000000" w:themeColor="text1"/>
          <w:sz w:val="22"/>
          <w:szCs w:val="22"/>
        </w:rPr>
        <w:t>Claude Code</w:t>
      </w:r>
      <w:r w:rsidRPr="007A73AC">
        <w:rPr>
          <w:rFonts w:ascii="Arial" w:hAnsi="Arial" w:cs="Arial"/>
          <w:color w:val="000000" w:themeColor="text1"/>
          <w:sz w:val="22"/>
          <w:szCs w:val="22"/>
        </w:rPr>
        <w:t xml:space="preserve">. </w:t>
      </w:r>
      <w:hyperlink r:id="rId5">
        <w:r w:rsidRPr="007A73AC">
          <w:rPr>
            <w:rStyle w:val="Hyperlink"/>
            <w:rFonts w:ascii="Arial" w:hAnsi="Arial" w:cs="Arial"/>
            <w:color w:val="000000" w:themeColor="text1"/>
            <w:sz w:val="22"/>
            <w:szCs w:val="22"/>
          </w:rPr>
          <w:t>https://docs.anthropic.com/en/docs/claude-code</w:t>
        </w:r>
      </w:hyperlink>
      <w:r w:rsidRPr="007A73AC">
        <w:rPr>
          <w:rFonts w:ascii="Arial" w:hAnsi="Arial" w:cs="Arial"/>
          <w:color w:val="000000" w:themeColor="text1"/>
          <w:sz w:val="22"/>
          <w:szCs w:val="22"/>
        </w:rPr>
        <w:t>.</w:t>
      </w:r>
    </w:p>
    <w:p w14:paraId="481BAE41" w14:textId="77777777" w:rsidR="006F7481" w:rsidRPr="007A73AC" w:rsidRDefault="00000000">
      <w:pPr>
        <w:pStyle w:val="Bibliography"/>
        <w:rPr>
          <w:rFonts w:ascii="Arial" w:hAnsi="Arial" w:cs="Arial"/>
          <w:color w:val="000000" w:themeColor="text1"/>
          <w:sz w:val="22"/>
          <w:szCs w:val="22"/>
        </w:rPr>
      </w:pPr>
      <w:bookmarkStart w:id="16" w:name="ref-bland1986statistical"/>
      <w:bookmarkEnd w:id="14"/>
      <w:r w:rsidRPr="007A73AC">
        <w:rPr>
          <w:rFonts w:ascii="Arial" w:hAnsi="Arial" w:cs="Arial"/>
          <w:color w:val="000000" w:themeColor="text1"/>
          <w:sz w:val="22"/>
          <w:szCs w:val="22"/>
        </w:rPr>
        <w:t xml:space="preserve">Bland, J. Martin, and Douglas G. Altman. 1986. “Statistical Methods for Assessing Agreement Between Two Methods of Clinical Measurement.” </w:t>
      </w:r>
      <w:r w:rsidRPr="007A73AC">
        <w:rPr>
          <w:rFonts w:ascii="Arial" w:hAnsi="Arial" w:cs="Arial"/>
          <w:i/>
          <w:iCs/>
          <w:color w:val="000000" w:themeColor="text1"/>
          <w:sz w:val="22"/>
          <w:szCs w:val="22"/>
        </w:rPr>
        <w:t>The Lancet</w:t>
      </w:r>
      <w:r w:rsidRPr="007A73AC">
        <w:rPr>
          <w:rFonts w:ascii="Arial" w:hAnsi="Arial" w:cs="Arial"/>
          <w:color w:val="000000" w:themeColor="text1"/>
          <w:sz w:val="22"/>
          <w:szCs w:val="22"/>
        </w:rPr>
        <w:t xml:space="preserve"> 327 (8476): 307–10. </w:t>
      </w:r>
      <w:hyperlink r:id="rId6">
        <w:r w:rsidRPr="007A73AC">
          <w:rPr>
            <w:rStyle w:val="Hyperlink"/>
            <w:rFonts w:ascii="Arial" w:hAnsi="Arial" w:cs="Arial"/>
            <w:color w:val="000000" w:themeColor="text1"/>
            <w:sz w:val="22"/>
            <w:szCs w:val="22"/>
          </w:rPr>
          <w:t>https://doi.org/10.1016/S0140-6736(86)90837-8</w:t>
        </w:r>
      </w:hyperlink>
      <w:r w:rsidRPr="007A73AC">
        <w:rPr>
          <w:rFonts w:ascii="Arial" w:hAnsi="Arial" w:cs="Arial"/>
          <w:color w:val="000000" w:themeColor="text1"/>
          <w:sz w:val="22"/>
          <w:szCs w:val="22"/>
        </w:rPr>
        <w:t>.</w:t>
      </w:r>
    </w:p>
    <w:p w14:paraId="68F8BCE4" w14:textId="77777777" w:rsidR="006F7481" w:rsidRPr="007A73AC" w:rsidRDefault="00000000">
      <w:pPr>
        <w:pStyle w:val="Bibliography"/>
        <w:rPr>
          <w:rFonts w:ascii="Arial" w:hAnsi="Arial" w:cs="Arial"/>
          <w:color w:val="000000" w:themeColor="text1"/>
          <w:sz w:val="22"/>
          <w:szCs w:val="22"/>
        </w:rPr>
      </w:pPr>
      <w:bookmarkStart w:id="17" w:name="ref-fisher1936use"/>
      <w:bookmarkEnd w:id="16"/>
      <w:r w:rsidRPr="007A73AC">
        <w:rPr>
          <w:rFonts w:ascii="Arial" w:hAnsi="Arial" w:cs="Arial"/>
          <w:color w:val="000000" w:themeColor="text1"/>
          <w:sz w:val="22"/>
          <w:szCs w:val="22"/>
        </w:rPr>
        <w:t xml:space="preserve">Fisher, Ronald A. 1936. “The Use of Multiple Measurements in Taxonomic Problems.” </w:t>
      </w:r>
      <w:r w:rsidRPr="007A73AC">
        <w:rPr>
          <w:rFonts w:ascii="Arial" w:hAnsi="Arial" w:cs="Arial"/>
          <w:i/>
          <w:iCs/>
          <w:color w:val="000000" w:themeColor="text1"/>
          <w:sz w:val="22"/>
          <w:szCs w:val="22"/>
        </w:rPr>
        <w:t>Annals of Eugenics</w:t>
      </w:r>
      <w:r w:rsidRPr="007A73AC">
        <w:rPr>
          <w:rFonts w:ascii="Arial" w:hAnsi="Arial" w:cs="Arial"/>
          <w:color w:val="000000" w:themeColor="text1"/>
          <w:sz w:val="22"/>
          <w:szCs w:val="22"/>
        </w:rPr>
        <w:t xml:space="preserve"> 7 (2): 179–88. </w:t>
      </w:r>
      <w:hyperlink r:id="rId7">
        <w:r w:rsidRPr="007A73AC">
          <w:rPr>
            <w:rStyle w:val="Hyperlink"/>
            <w:rFonts w:ascii="Arial" w:hAnsi="Arial" w:cs="Arial"/>
            <w:color w:val="000000" w:themeColor="text1"/>
            <w:sz w:val="22"/>
            <w:szCs w:val="22"/>
          </w:rPr>
          <w:t>https://doi.org/10.1111/j.1469-1809.1936.tb02137.x</w:t>
        </w:r>
      </w:hyperlink>
      <w:r w:rsidRPr="007A73AC">
        <w:rPr>
          <w:rFonts w:ascii="Arial" w:hAnsi="Arial" w:cs="Arial"/>
          <w:color w:val="000000" w:themeColor="text1"/>
          <w:sz w:val="22"/>
          <w:szCs w:val="22"/>
        </w:rPr>
        <w:t>.</w:t>
      </w:r>
    </w:p>
    <w:p w14:paraId="29736965" w14:textId="77777777" w:rsidR="006F7481" w:rsidRPr="007A73AC" w:rsidRDefault="00000000">
      <w:pPr>
        <w:pStyle w:val="Bibliography"/>
        <w:rPr>
          <w:rFonts w:ascii="Arial" w:hAnsi="Arial" w:cs="Arial"/>
          <w:color w:val="000000" w:themeColor="text1"/>
          <w:sz w:val="22"/>
          <w:szCs w:val="22"/>
        </w:rPr>
      </w:pPr>
      <w:bookmarkStart w:id="18" w:name="ref-henderson1981building"/>
      <w:bookmarkEnd w:id="17"/>
      <w:r w:rsidRPr="007A73AC">
        <w:rPr>
          <w:rFonts w:ascii="Arial" w:hAnsi="Arial" w:cs="Arial"/>
          <w:color w:val="000000" w:themeColor="text1"/>
          <w:sz w:val="22"/>
          <w:szCs w:val="22"/>
        </w:rPr>
        <w:t xml:space="preserve">Henderson, Harold V., and Paul F. Velleman. 1981. “Building Multiple Regression Models Interactively.” </w:t>
      </w:r>
      <w:r w:rsidRPr="007A73AC">
        <w:rPr>
          <w:rFonts w:ascii="Arial" w:hAnsi="Arial" w:cs="Arial"/>
          <w:i/>
          <w:iCs/>
          <w:color w:val="000000" w:themeColor="text1"/>
          <w:sz w:val="22"/>
          <w:szCs w:val="22"/>
        </w:rPr>
        <w:t>Biometrics</w:t>
      </w:r>
      <w:r w:rsidRPr="007A73AC">
        <w:rPr>
          <w:rFonts w:ascii="Arial" w:hAnsi="Arial" w:cs="Arial"/>
          <w:color w:val="000000" w:themeColor="text1"/>
          <w:sz w:val="22"/>
          <w:szCs w:val="22"/>
        </w:rPr>
        <w:t xml:space="preserve"> 37 (2): 391–411. </w:t>
      </w:r>
      <w:hyperlink r:id="rId8">
        <w:r w:rsidRPr="007A73AC">
          <w:rPr>
            <w:rStyle w:val="Hyperlink"/>
            <w:rFonts w:ascii="Arial" w:hAnsi="Arial" w:cs="Arial"/>
            <w:color w:val="000000" w:themeColor="text1"/>
            <w:sz w:val="22"/>
            <w:szCs w:val="22"/>
          </w:rPr>
          <w:t>https://doi.org/10.2307/2530428</w:t>
        </w:r>
      </w:hyperlink>
      <w:r w:rsidRPr="007A73AC">
        <w:rPr>
          <w:rFonts w:ascii="Arial" w:hAnsi="Arial" w:cs="Arial"/>
          <w:color w:val="000000" w:themeColor="text1"/>
          <w:sz w:val="22"/>
          <w:szCs w:val="22"/>
        </w:rPr>
        <w:t>.</w:t>
      </w:r>
    </w:p>
    <w:p w14:paraId="4B9F171D" w14:textId="77777777" w:rsidR="006F7481" w:rsidRPr="007A73AC" w:rsidRDefault="00000000">
      <w:pPr>
        <w:pStyle w:val="Bibliography"/>
        <w:rPr>
          <w:rFonts w:ascii="Arial" w:hAnsi="Arial" w:cs="Arial"/>
          <w:color w:val="000000" w:themeColor="text1"/>
          <w:sz w:val="22"/>
          <w:szCs w:val="22"/>
        </w:rPr>
      </w:pPr>
      <w:bookmarkStart w:id="19" w:name="ref-himes2014rna"/>
      <w:bookmarkEnd w:id="18"/>
      <w:r w:rsidRPr="007A73AC">
        <w:rPr>
          <w:rFonts w:ascii="Arial" w:hAnsi="Arial" w:cs="Arial"/>
          <w:color w:val="000000" w:themeColor="text1"/>
          <w:sz w:val="22"/>
          <w:szCs w:val="22"/>
        </w:rPr>
        <w:t xml:space="preserve">Himes, Blanca E., Xiaofeng Jiang, Peter Wagner, et al. 2014. “RNA-Seq Transcriptome Profiling Identifies CRISPLD2 as a Glucocorticoid Responsive Gene That Modulates Cytokine Function in Airway Smooth Muscle Cells.” </w:t>
      </w:r>
      <w:r w:rsidRPr="007A73AC">
        <w:rPr>
          <w:rFonts w:ascii="Arial" w:hAnsi="Arial" w:cs="Arial"/>
          <w:i/>
          <w:iCs/>
          <w:color w:val="000000" w:themeColor="text1"/>
          <w:sz w:val="22"/>
          <w:szCs w:val="22"/>
        </w:rPr>
        <w:t>PLoS ONE</w:t>
      </w:r>
      <w:r w:rsidRPr="007A73AC">
        <w:rPr>
          <w:rFonts w:ascii="Arial" w:hAnsi="Arial" w:cs="Arial"/>
          <w:color w:val="000000" w:themeColor="text1"/>
          <w:sz w:val="22"/>
          <w:szCs w:val="22"/>
        </w:rPr>
        <w:t xml:space="preserve"> 9 (6): e99625. </w:t>
      </w:r>
      <w:hyperlink r:id="rId9">
        <w:r w:rsidRPr="007A73AC">
          <w:rPr>
            <w:rStyle w:val="Hyperlink"/>
            <w:rFonts w:ascii="Arial" w:hAnsi="Arial" w:cs="Arial"/>
            <w:color w:val="000000" w:themeColor="text1"/>
            <w:sz w:val="22"/>
            <w:szCs w:val="22"/>
          </w:rPr>
          <w:t>https://doi.org/10.1371/journal.pone.0099625</w:t>
        </w:r>
      </w:hyperlink>
      <w:r w:rsidRPr="007A73AC">
        <w:rPr>
          <w:rFonts w:ascii="Arial" w:hAnsi="Arial" w:cs="Arial"/>
          <w:color w:val="000000" w:themeColor="text1"/>
          <w:sz w:val="22"/>
          <w:szCs w:val="22"/>
        </w:rPr>
        <w:t>.</w:t>
      </w:r>
    </w:p>
    <w:p w14:paraId="3146A20E" w14:textId="77777777" w:rsidR="006F7481" w:rsidRPr="007A73AC" w:rsidRDefault="00000000">
      <w:pPr>
        <w:pStyle w:val="Bibliography"/>
        <w:rPr>
          <w:rFonts w:ascii="Arial" w:hAnsi="Arial" w:cs="Arial"/>
          <w:color w:val="000000" w:themeColor="text1"/>
          <w:sz w:val="22"/>
          <w:szCs w:val="22"/>
        </w:rPr>
      </w:pPr>
      <w:bookmarkStart w:id="20" w:name="ref-hunter2007matplotlib"/>
      <w:bookmarkEnd w:id="19"/>
      <w:r w:rsidRPr="007A73AC">
        <w:rPr>
          <w:rFonts w:ascii="Arial" w:hAnsi="Arial" w:cs="Arial"/>
          <w:color w:val="000000" w:themeColor="text1"/>
          <w:sz w:val="22"/>
          <w:szCs w:val="22"/>
        </w:rPr>
        <w:t xml:space="preserve">Hunter, John D. 2007. “Matplotlib: A 2D Graphics Environment.” </w:t>
      </w:r>
      <w:r w:rsidRPr="007A73AC">
        <w:rPr>
          <w:rFonts w:ascii="Arial" w:hAnsi="Arial" w:cs="Arial"/>
          <w:i/>
          <w:iCs/>
          <w:color w:val="000000" w:themeColor="text1"/>
          <w:sz w:val="22"/>
          <w:szCs w:val="22"/>
        </w:rPr>
        <w:t>Computing in Science &amp; Engineering</w:t>
      </w:r>
      <w:r w:rsidRPr="007A73AC">
        <w:rPr>
          <w:rFonts w:ascii="Arial" w:hAnsi="Arial" w:cs="Arial"/>
          <w:color w:val="000000" w:themeColor="text1"/>
          <w:sz w:val="22"/>
          <w:szCs w:val="22"/>
        </w:rPr>
        <w:t xml:space="preserve"> 9 (3): 90–95. </w:t>
      </w:r>
      <w:hyperlink r:id="rId10">
        <w:r w:rsidRPr="007A73AC">
          <w:rPr>
            <w:rStyle w:val="Hyperlink"/>
            <w:rFonts w:ascii="Arial" w:hAnsi="Arial" w:cs="Arial"/>
            <w:color w:val="000000" w:themeColor="text1"/>
            <w:sz w:val="22"/>
            <w:szCs w:val="22"/>
          </w:rPr>
          <w:t>https://doi.org/10.1109/MCSE.2007.55</w:t>
        </w:r>
      </w:hyperlink>
      <w:r w:rsidRPr="007A73AC">
        <w:rPr>
          <w:rFonts w:ascii="Arial" w:hAnsi="Arial" w:cs="Arial"/>
          <w:color w:val="000000" w:themeColor="text1"/>
          <w:sz w:val="22"/>
          <w:szCs w:val="22"/>
        </w:rPr>
        <w:t>.</w:t>
      </w:r>
    </w:p>
    <w:p w14:paraId="7DC3C9D9" w14:textId="77777777" w:rsidR="006F7481" w:rsidRPr="007A73AC" w:rsidRDefault="00000000">
      <w:pPr>
        <w:pStyle w:val="Bibliography"/>
        <w:rPr>
          <w:rFonts w:ascii="Arial" w:hAnsi="Arial" w:cs="Arial"/>
          <w:color w:val="000000" w:themeColor="text1"/>
          <w:sz w:val="22"/>
          <w:szCs w:val="22"/>
        </w:rPr>
      </w:pPr>
      <w:bookmarkStart w:id="21" w:name="ref-kaplan1958nonparametric"/>
      <w:bookmarkEnd w:id="20"/>
      <w:r w:rsidRPr="007A73AC">
        <w:rPr>
          <w:rFonts w:ascii="Arial" w:hAnsi="Arial" w:cs="Arial"/>
          <w:color w:val="000000" w:themeColor="text1"/>
          <w:sz w:val="22"/>
          <w:szCs w:val="22"/>
        </w:rPr>
        <w:t xml:space="preserve">Kaplan, Edward L., and Paul Meier. 1958. “Nonparametric Estimation from Incomplete Observations.” </w:t>
      </w:r>
      <w:r w:rsidRPr="007A73AC">
        <w:rPr>
          <w:rFonts w:ascii="Arial" w:hAnsi="Arial" w:cs="Arial"/>
          <w:i/>
          <w:iCs/>
          <w:color w:val="000000" w:themeColor="text1"/>
          <w:sz w:val="22"/>
          <w:szCs w:val="22"/>
        </w:rPr>
        <w:t>Journal of the American Statistical Association</w:t>
      </w:r>
      <w:r w:rsidRPr="007A73AC">
        <w:rPr>
          <w:rFonts w:ascii="Arial" w:hAnsi="Arial" w:cs="Arial"/>
          <w:color w:val="000000" w:themeColor="text1"/>
          <w:sz w:val="22"/>
          <w:szCs w:val="22"/>
        </w:rPr>
        <w:t xml:space="preserve"> 53 (282): 457–81. </w:t>
      </w:r>
      <w:hyperlink r:id="rId11">
        <w:r w:rsidRPr="007A73AC">
          <w:rPr>
            <w:rStyle w:val="Hyperlink"/>
            <w:rFonts w:ascii="Arial" w:hAnsi="Arial" w:cs="Arial"/>
            <w:color w:val="000000" w:themeColor="text1"/>
            <w:sz w:val="22"/>
            <w:szCs w:val="22"/>
          </w:rPr>
          <w:t>https://doi.org/10.1080/01621459.1958.10501452</w:t>
        </w:r>
      </w:hyperlink>
      <w:r w:rsidRPr="007A73AC">
        <w:rPr>
          <w:rFonts w:ascii="Arial" w:hAnsi="Arial" w:cs="Arial"/>
          <w:color w:val="000000" w:themeColor="text1"/>
          <w:sz w:val="22"/>
          <w:szCs w:val="22"/>
        </w:rPr>
        <w:t>.</w:t>
      </w:r>
    </w:p>
    <w:p w14:paraId="5B239712" w14:textId="77777777" w:rsidR="006F7481" w:rsidRPr="007A73AC" w:rsidRDefault="00000000">
      <w:pPr>
        <w:pStyle w:val="Bibliography"/>
        <w:rPr>
          <w:rFonts w:ascii="Arial" w:hAnsi="Arial" w:cs="Arial"/>
          <w:color w:val="000000" w:themeColor="text1"/>
          <w:sz w:val="22"/>
          <w:szCs w:val="22"/>
        </w:rPr>
      </w:pPr>
      <w:bookmarkStart w:id="22" w:name="ref-lex2014upset"/>
      <w:bookmarkEnd w:id="21"/>
      <w:r w:rsidRPr="007A73AC">
        <w:rPr>
          <w:rFonts w:ascii="Arial" w:hAnsi="Arial" w:cs="Arial"/>
          <w:color w:val="000000" w:themeColor="text1"/>
          <w:sz w:val="22"/>
          <w:szCs w:val="22"/>
        </w:rPr>
        <w:t xml:space="preserve">Lex, Alexander, Nils Gehlenborg, Hendrik Strobelt, Romain Vuillemot, and Hanspeter Pfister. 2014. “UpSet: Visualization of Intersecting Sets.” </w:t>
      </w:r>
      <w:r w:rsidRPr="007A73AC">
        <w:rPr>
          <w:rFonts w:ascii="Arial" w:hAnsi="Arial" w:cs="Arial"/>
          <w:i/>
          <w:iCs/>
          <w:color w:val="000000" w:themeColor="text1"/>
          <w:sz w:val="22"/>
          <w:szCs w:val="22"/>
        </w:rPr>
        <w:t>IEEE Transactions on Visualization and Computer Graphics</w:t>
      </w:r>
      <w:r w:rsidRPr="007A73AC">
        <w:rPr>
          <w:rFonts w:ascii="Arial" w:hAnsi="Arial" w:cs="Arial"/>
          <w:color w:val="000000" w:themeColor="text1"/>
          <w:sz w:val="22"/>
          <w:szCs w:val="22"/>
        </w:rPr>
        <w:t xml:space="preserve"> 20 (12): 1983–92. </w:t>
      </w:r>
      <w:hyperlink r:id="rId12">
        <w:r w:rsidRPr="007A73AC">
          <w:rPr>
            <w:rStyle w:val="Hyperlink"/>
            <w:rFonts w:ascii="Arial" w:hAnsi="Arial" w:cs="Arial"/>
            <w:color w:val="000000" w:themeColor="text1"/>
            <w:sz w:val="22"/>
            <w:szCs w:val="22"/>
          </w:rPr>
          <w:t>https://doi.org/10.1109/TVCG.2014.2346248</w:t>
        </w:r>
      </w:hyperlink>
      <w:r w:rsidRPr="007A73AC">
        <w:rPr>
          <w:rFonts w:ascii="Arial" w:hAnsi="Arial" w:cs="Arial"/>
          <w:color w:val="000000" w:themeColor="text1"/>
          <w:sz w:val="22"/>
          <w:szCs w:val="22"/>
        </w:rPr>
        <w:t>.</w:t>
      </w:r>
    </w:p>
    <w:p w14:paraId="7F677683" w14:textId="77777777" w:rsidR="006F7481" w:rsidRPr="007A73AC" w:rsidRDefault="00000000">
      <w:pPr>
        <w:pStyle w:val="Bibliography"/>
        <w:rPr>
          <w:rFonts w:ascii="Arial" w:hAnsi="Arial" w:cs="Arial"/>
          <w:color w:val="000000" w:themeColor="text1"/>
          <w:sz w:val="22"/>
          <w:szCs w:val="22"/>
        </w:rPr>
      </w:pPr>
      <w:bookmarkStart w:id="23" w:name="ref-loprinzi1994prospective"/>
      <w:bookmarkEnd w:id="22"/>
      <w:r w:rsidRPr="007A73AC">
        <w:rPr>
          <w:rFonts w:ascii="Arial" w:hAnsi="Arial" w:cs="Arial"/>
          <w:color w:val="000000" w:themeColor="text1"/>
          <w:sz w:val="22"/>
          <w:szCs w:val="22"/>
        </w:rPr>
        <w:t xml:space="preserve">Loprinzi, Charles L., John A. Laurie, H. Sam Wieand, et al. 1994. “Prospective Evaluation of Prognostic Variables from Patient-Completed Questionnaires.” </w:t>
      </w:r>
      <w:r w:rsidRPr="007A73AC">
        <w:rPr>
          <w:rFonts w:ascii="Arial" w:hAnsi="Arial" w:cs="Arial"/>
          <w:i/>
          <w:iCs/>
          <w:color w:val="000000" w:themeColor="text1"/>
          <w:sz w:val="22"/>
          <w:szCs w:val="22"/>
        </w:rPr>
        <w:t>Journal of Clinical Oncology</w:t>
      </w:r>
      <w:r w:rsidRPr="007A73AC">
        <w:rPr>
          <w:rFonts w:ascii="Arial" w:hAnsi="Arial" w:cs="Arial"/>
          <w:color w:val="000000" w:themeColor="text1"/>
          <w:sz w:val="22"/>
          <w:szCs w:val="22"/>
        </w:rPr>
        <w:t xml:space="preserve"> 12 (3): 601–7. </w:t>
      </w:r>
      <w:hyperlink r:id="rId13">
        <w:r w:rsidRPr="007A73AC">
          <w:rPr>
            <w:rStyle w:val="Hyperlink"/>
            <w:rFonts w:ascii="Arial" w:hAnsi="Arial" w:cs="Arial"/>
            <w:color w:val="000000" w:themeColor="text1"/>
            <w:sz w:val="22"/>
            <w:szCs w:val="22"/>
          </w:rPr>
          <w:t>https://doi.org/10.1200/JCO.1994.12.3.601</w:t>
        </w:r>
      </w:hyperlink>
      <w:r w:rsidRPr="007A73AC">
        <w:rPr>
          <w:rFonts w:ascii="Arial" w:hAnsi="Arial" w:cs="Arial"/>
          <w:color w:val="000000" w:themeColor="text1"/>
          <w:sz w:val="22"/>
          <w:szCs w:val="22"/>
        </w:rPr>
        <w:t>.</w:t>
      </w:r>
    </w:p>
    <w:p w14:paraId="3F3A6BC9" w14:textId="77777777" w:rsidR="006F7481" w:rsidRPr="007A73AC" w:rsidRDefault="00000000">
      <w:pPr>
        <w:pStyle w:val="Bibliography"/>
        <w:rPr>
          <w:rFonts w:ascii="Arial" w:hAnsi="Arial" w:cs="Arial"/>
          <w:color w:val="000000" w:themeColor="text1"/>
          <w:sz w:val="22"/>
          <w:szCs w:val="22"/>
        </w:rPr>
      </w:pPr>
      <w:bookmarkStart w:id="24" w:name="ref-openai2025codex"/>
      <w:bookmarkEnd w:id="23"/>
      <w:r w:rsidRPr="007A73AC">
        <w:rPr>
          <w:rFonts w:ascii="Arial" w:hAnsi="Arial" w:cs="Arial"/>
          <w:color w:val="000000" w:themeColor="text1"/>
          <w:sz w:val="22"/>
          <w:szCs w:val="22"/>
        </w:rPr>
        <w:lastRenderedPageBreak/>
        <w:t xml:space="preserve">OpenAI. 2025. </w:t>
      </w:r>
      <w:r w:rsidRPr="007A73AC">
        <w:rPr>
          <w:rFonts w:ascii="Arial" w:hAnsi="Arial" w:cs="Arial"/>
          <w:i/>
          <w:iCs/>
          <w:color w:val="000000" w:themeColor="text1"/>
          <w:sz w:val="22"/>
          <w:szCs w:val="22"/>
        </w:rPr>
        <w:t>Codex</w:t>
      </w:r>
      <w:r w:rsidRPr="007A73AC">
        <w:rPr>
          <w:rFonts w:ascii="Arial" w:hAnsi="Arial" w:cs="Arial"/>
          <w:color w:val="000000" w:themeColor="text1"/>
          <w:sz w:val="22"/>
          <w:szCs w:val="22"/>
        </w:rPr>
        <w:t xml:space="preserve">. </w:t>
      </w:r>
      <w:hyperlink r:id="rId14">
        <w:r w:rsidRPr="007A73AC">
          <w:rPr>
            <w:rStyle w:val="Hyperlink"/>
            <w:rFonts w:ascii="Arial" w:hAnsi="Arial" w:cs="Arial"/>
            <w:color w:val="000000" w:themeColor="text1"/>
            <w:sz w:val="22"/>
            <w:szCs w:val="22"/>
          </w:rPr>
          <w:t>https://openai.com/codex</w:t>
        </w:r>
      </w:hyperlink>
      <w:r w:rsidRPr="007A73AC">
        <w:rPr>
          <w:rFonts w:ascii="Arial" w:hAnsi="Arial" w:cs="Arial"/>
          <w:color w:val="000000" w:themeColor="text1"/>
          <w:sz w:val="22"/>
          <w:szCs w:val="22"/>
        </w:rPr>
        <w:t>.</w:t>
      </w:r>
    </w:p>
    <w:p w14:paraId="3F45E2F3" w14:textId="77777777" w:rsidR="006F7481" w:rsidRPr="007A73AC" w:rsidRDefault="00000000">
      <w:pPr>
        <w:pStyle w:val="Bibliography"/>
        <w:rPr>
          <w:rFonts w:ascii="Arial" w:hAnsi="Arial" w:cs="Arial"/>
          <w:color w:val="000000" w:themeColor="text1"/>
          <w:sz w:val="22"/>
          <w:szCs w:val="22"/>
        </w:rPr>
      </w:pPr>
      <w:bookmarkStart w:id="25" w:name="ref-perkel2023ai"/>
      <w:bookmarkEnd w:id="24"/>
      <w:r w:rsidRPr="007A73AC">
        <w:rPr>
          <w:rFonts w:ascii="Arial" w:hAnsi="Arial" w:cs="Arial"/>
          <w:color w:val="000000" w:themeColor="text1"/>
          <w:sz w:val="22"/>
          <w:szCs w:val="22"/>
        </w:rPr>
        <w:t xml:space="preserve">Perkel, Jeffrey M. 2023. “How AI Assistants Are Already Changing Scientific Coding.” </w:t>
      </w:r>
      <w:r w:rsidRPr="007A73AC">
        <w:rPr>
          <w:rFonts w:ascii="Arial" w:hAnsi="Arial" w:cs="Arial"/>
          <w:i/>
          <w:iCs/>
          <w:color w:val="000000" w:themeColor="text1"/>
          <w:sz w:val="22"/>
          <w:szCs w:val="22"/>
        </w:rPr>
        <w:t>Nature</w:t>
      </w:r>
      <w:r w:rsidRPr="007A73AC">
        <w:rPr>
          <w:rFonts w:ascii="Arial" w:hAnsi="Arial" w:cs="Arial"/>
          <w:color w:val="000000" w:themeColor="text1"/>
          <w:sz w:val="22"/>
          <w:szCs w:val="22"/>
        </w:rPr>
        <w:t xml:space="preserve"> 621: 193–95. </w:t>
      </w:r>
      <w:hyperlink r:id="rId15">
        <w:r w:rsidRPr="007A73AC">
          <w:rPr>
            <w:rStyle w:val="Hyperlink"/>
            <w:rFonts w:ascii="Arial" w:hAnsi="Arial" w:cs="Arial"/>
            <w:color w:val="000000" w:themeColor="text1"/>
            <w:sz w:val="22"/>
            <w:szCs w:val="22"/>
          </w:rPr>
          <w:t>https://doi.org/10.1038/d41586-023-02801-6</w:t>
        </w:r>
      </w:hyperlink>
      <w:r w:rsidRPr="007A73AC">
        <w:rPr>
          <w:rFonts w:ascii="Arial" w:hAnsi="Arial" w:cs="Arial"/>
          <w:color w:val="000000" w:themeColor="text1"/>
          <w:sz w:val="22"/>
          <w:szCs w:val="22"/>
        </w:rPr>
        <w:t>.</w:t>
      </w:r>
    </w:p>
    <w:p w14:paraId="77205173" w14:textId="77777777" w:rsidR="006F7481" w:rsidRPr="007A73AC" w:rsidRDefault="00000000">
      <w:pPr>
        <w:pStyle w:val="Bibliography"/>
        <w:rPr>
          <w:rFonts w:ascii="Arial" w:hAnsi="Arial" w:cs="Arial"/>
          <w:color w:val="000000" w:themeColor="text1"/>
          <w:sz w:val="22"/>
          <w:szCs w:val="22"/>
        </w:rPr>
      </w:pPr>
      <w:bookmarkStart w:id="26" w:name="ref-plotext2023"/>
      <w:bookmarkEnd w:id="25"/>
      <w:r w:rsidRPr="007A73AC">
        <w:rPr>
          <w:rFonts w:ascii="Arial" w:hAnsi="Arial" w:cs="Arial"/>
          <w:color w:val="000000" w:themeColor="text1"/>
          <w:sz w:val="22"/>
          <w:szCs w:val="22"/>
        </w:rPr>
        <w:t xml:space="preserve">Piccolomo, Savino. 2023. </w:t>
      </w:r>
      <w:r w:rsidRPr="007A73AC">
        <w:rPr>
          <w:rFonts w:ascii="Arial" w:hAnsi="Arial" w:cs="Arial"/>
          <w:i/>
          <w:iCs/>
          <w:color w:val="000000" w:themeColor="text1"/>
          <w:sz w:val="22"/>
          <w:szCs w:val="22"/>
        </w:rPr>
        <w:t>Plotext: Plotting in Terminal</w:t>
      </w:r>
      <w:r w:rsidRPr="007A73AC">
        <w:rPr>
          <w:rFonts w:ascii="Arial" w:hAnsi="Arial" w:cs="Arial"/>
          <w:color w:val="000000" w:themeColor="text1"/>
          <w:sz w:val="22"/>
          <w:szCs w:val="22"/>
        </w:rPr>
        <w:t xml:space="preserve">. </w:t>
      </w:r>
      <w:hyperlink r:id="rId16">
        <w:r w:rsidRPr="007A73AC">
          <w:rPr>
            <w:rStyle w:val="Hyperlink"/>
            <w:rFonts w:ascii="Arial" w:hAnsi="Arial" w:cs="Arial"/>
            <w:color w:val="000000" w:themeColor="text1"/>
            <w:sz w:val="22"/>
            <w:szCs w:val="22"/>
          </w:rPr>
          <w:t>https://github.com/piccolomo/plotext</w:t>
        </w:r>
      </w:hyperlink>
      <w:r w:rsidRPr="007A73AC">
        <w:rPr>
          <w:rFonts w:ascii="Arial" w:hAnsi="Arial" w:cs="Arial"/>
          <w:color w:val="000000" w:themeColor="text1"/>
          <w:sz w:val="22"/>
          <w:szCs w:val="22"/>
        </w:rPr>
        <w:t>.</w:t>
      </w:r>
    </w:p>
    <w:p w14:paraId="2DE1AC6E" w14:textId="77777777" w:rsidR="006F7481" w:rsidRPr="007A73AC" w:rsidRDefault="00000000">
      <w:pPr>
        <w:pStyle w:val="Bibliography"/>
        <w:rPr>
          <w:rFonts w:ascii="Arial" w:hAnsi="Arial" w:cs="Arial"/>
          <w:color w:val="000000" w:themeColor="text1"/>
          <w:sz w:val="22"/>
          <w:szCs w:val="22"/>
        </w:rPr>
      </w:pPr>
      <w:bookmarkStart w:id="27" w:name="ref-satyanarayan2017vegalite"/>
      <w:bookmarkEnd w:id="26"/>
      <w:r w:rsidRPr="007A73AC">
        <w:rPr>
          <w:rFonts w:ascii="Arial" w:hAnsi="Arial" w:cs="Arial"/>
          <w:color w:val="000000" w:themeColor="text1"/>
          <w:sz w:val="22"/>
          <w:szCs w:val="22"/>
        </w:rPr>
        <w:t xml:space="preserve">Satyanarayan, Arvind, Dominik Moritz, Kanit Wongsuphasawat, and Jeffrey Heer. 2017. “Vega-Lite: A Grammar of Interactive Graphics.” </w:t>
      </w:r>
      <w:r w:rsidRPr="007A73AC">
        <w:rPr>
          <w:rFonts w:ascii="Arial" w:hAnsi="Arial" w:cs="Arial"/>
          <w:i/>
          <w:iCs/>
          <w:color w:val="000000" w:themeColor="text1"/>
          <w:sz w:val="22"/>
          <w:szCs w:val="22"/>
        </w:rPr>
        <w:t>IEEE Transactions on Visualization and Computer Graphics</w:t>
      </w:r>
      <w:r w:rsidRPr="007A73AC">
        <w:rPr>
          <w:rFonts w:ascii="Arial" w:hAnsi="Arial" w:cs="Arial"/>
          <w:color w:val="000000" w:themeColor="text1"/>
          <w:sz w:val="22"/>
          <w:szCs w:val="22"/>
        </w:rPr>
        <w:t xml:space="preserve"> 23 (1): 341–50. </w:t>
      </w:r>
      <w:hyperlink r:id="rId17">
        <w:r w:rsidRPr="007A73AC">
          <w:rPr>
            <w:rStyle w:val="Hyperlink"/>
            <w:rFonts w:ascii="Arial" w:hAnsi="Arial" w:cs="Arial"/>
            <w:color w:val="000000" w:themeColor="text1"/>
            <w:sz w:val="22"/>
            <w:szCs w:val="22"/>
          </w:rPr>
          <w:t>https://doi.org/10.1109/TVCG.2016.2599030</w:t>
        </w:r>
      </w:hyperlink>
      <w:r w:rsidRPr="007A73AC">
        <w:rPr>
          <w:rFonts w:ascii="Arial" w:hAnsi="Arial" w:cs="Arial"/>
          <w:color w:val="000000" w:themeColor="text1"/>
          <w:sz w:val="22"/>
          <w:szCs w:val="22"/>
        </w:rPr>
        <w:t>.</w:t>
      </w:r>
    </w:p>
    <w:p w14:paraId="45A0B0FB" w14:textId="77777777" w:rsidR="006F7481" w:rsidRPr="007A73AC" w:rsidRDefault="00000000">
      <w:pPr>
        <w:pStyle w:val="Bibliography"/>
        <w:rPr>
          <w:rFonts w:ascii="Arial" w:hAnsi="Arial" w:cs="Arial"/>
          <w:color w:val="000000" w:themeColor="text1"/>
          <w:sz w:val="22"/>
          <w:szCs w:val="22"/>
        </w:rPr>
      </w:pPr>
      <w:bookmarkStart w:id="28" w:name="ref-unicodeplots2015"/>
      <w:bookmarkEnd w:id="27"/>
      <w:r w:rsidRPr="007A73AC">
        <w:rPr>
          <w:rFonts w:ascii="Arial" w:hAnsi="Arial" w:cs="Arial"/>
          <w:color w:val="000000" w:themeColor="text1"/>
          <w:sz w:val="22"/>
          <w:szCs w:val="22"/>
        </w:rPr>
        <w:t xml:space="preserve">Stocker, Christof, and contributors. 2015. </w:t>
      </w:r>
      <w:r w:rsidRPr="007A73AC">
        <w:rPr>
          <w:rFonts w:ascii="Arial" w:hAnsi="Arial" w:cs="Arial"/>
          <w:i/>
          <w:iCs/>
          <w:color w:val="000000" w:themeColor="text1"/>
          <w:sz w:val="22"/>
          <w:szCs w:val="22"/>
        </w:rPr>
        <w:t>UnicodePlots.jl: Unicode-Based Scientific Plotting for Working in the Terminal</w:t>
      </w:r>
      <w:r w:rsidRPr="007A73AC">
        <w:rPr>
          <w:rFonts w:ascii="Arial" w:hAnsi="Arial" w:cs="Arial"/>
          <w:color w:val="000000" w:themeColor="text1"/>
          <w:sz w:val="22"/>
          <w:szCs w:val="22"/>
        </w:rPr>
        <w:t xml:space="preserve">. </w:t>
      </w:r>
      <w:hyperlink r:id="rId18">
        <w:r w:rsidRPr="007A73AC">
          <w:rPr>
            <w:rStyle w:val="Hyperlink"/>
            <w:rFonts w:ascii="Arial" w:hAnsi="Arial" w:cs="Arial"/>
            <w:color w:val="000000" w:themeColor="text1"/>
            <w:sz w:val="22"/>
            <w:szCs w:val="22"/>
          </w:rPr>
          <w:t>https://github.com/JuliaPlots/UnicodePlots.jl</w:t>
        </w:r>
      </w:hyperlink>
      <w:r w:rsidRPr="007A73AC">
        <w:rPr>
          <w:rFonts w:ascii="Arial" w:hAnsi="Arial" w:cs="Arial"/>
          <w:color w:val="000000" w:themeColor="text1"/>
          <w:sz w:val="22"/>
          <w:szCs w:val="22"/>
        </w:rPr>
        <w:t>.</w:t>
      </w:r>
    </w:p>
    <w:p w14:paraId="40B26FCA" w14:textId="77777777" w:rsidR="006F7481" w:rsidRPr="007A73AC" w:rsidRDefault="00000000">
      <w:pPr>
        <w:pStyle w:val="Bibliography"/>
        <w:rPr>
          <w:rFonts w:ascii="Arial" w:hAnsi="Arial" w:cs="Arial"/>
          <w:color w:val="000000" w:themeColor="text1"/>
          <w:sz w:val="22"/>
          <w:szCs w:val="22"/>
        </w:rPr>
      </w:pPr>
      <w:bookmarkStart w:id="29" w:name="ref-wickham2010layered"/>
      <w:bookmarkEnd w:id="28"/>
      <w:r w:rsidRPr="007A73AC">
        <w:rPr>
          <w:rFonts w:ascii="Arial" w:hAnsi="Arial" w:cs="Arial"/>
          <w:color w:val="000000" w:themeColor="text1"/>
          <w:sz w:val="22"/>
          <w:szCs w:val="22"/>
        </w:rPr>
        <w:t xml:space="preserve">Wickham, Hadley. 2010. “A Layered Grammar of Graphics.” </w:t>
      </w:r>
      <w:r w:rsidRPr="007A73AC">
        <w:rPr>
          <w:rFonts w:ascii="Arial" w:hAnsi="Arial" w:cs="Arial"/>
          <w:i/>
          <w:iCs/>
          <w:color w:val="000000" w:themeColor="text1"/>
          <w:sz w:val="22"/>
          <w:szCs w:val="22"/>
        </w:rPr>
        <w:t>Journal of Computational and Graphical Statistics</w:t>
      </w:r>
      <w:r w:rsidRPr="007A73AC">
        <w:rPr>
          <w:rFonts w:ascii="Arial" w:hAnsi="Arial" w:cs="Arial"/>
          <w:color w:val="000000" w:themeColor="text1"/>
          <w:sz w:val="22"/>
          <w:szCs w:val="22"/>
        </w:rPr>
        <w:t xml:space="preserve"> 19 (1): 3–28. </w:t>
      </w:r>
      <w:hyperlink r:id="rId19">
        <w:r w:rsidRPr="007A73AC">
          <w:rPr>
            <w:rStyle w:val="Hyperlink"/>
            <w:rFonts w:ascii="Arial" w:hAnsi="Arial" w:cs="Arial"/>
            <w:color w:val="000000" w:themeColor="text1"/>
            <w:sz w:val="22"/>
            <w:szCs w:val="22"/>
          </w:rPr>
          <w:t>https://doi.org/10.1198/jcgs.2009.07098</w:t>
        </w:r>
      </w:hyperlink>
      <w:r w:rsidRPr="007A73AC">
        <w:rPr>
          <w:rFonts w:ascii="Arial" w:hAnsi="Arial" w:cs="Arial"/>
          <w:color w:val="000000" w:themeColor="text1"/>
          <w:sz w:val="22"/>
          <w:szCs w:val="22"/>
        </w:rPr>
        <w:t>.</w:t>
      </w:r>
    </w:p>
    <w:p w14:paraId="187773B9" w14:textId="77777777" w:rsidR="006F7481" w:rsidRPr="007A73AC" w:rsidRDefault="00000000">
      <w:pPr>
        <w:pStyle w:val="Bibliography"/>
        <w:rPr>
          <w:rFonts w:ascii="Arial" w:hAnsi="Arial" w:cs="Arial"/>
          <w:color w:val="000000" w:themeColor="text1"/>
          <w:sz w:val="22"/>
          <w:szCs w:val="22"/>
        </w:rPr>
      </w:pPr>
      <w:bookmarkStart w:id="30" w:name="ref-wickham2016ggplot2"/>
      <w:bookmarkEnd w:id="29"/>
      <w:r w:rsidRPr="007A73AC">
        <w:rPr>
          <w:rFonts w:ascii="Arial" w:hAnsi="Arial" w:cs="Arial"/>
          <w:color w:val="000000" w:themeColor="text1"/>
          <w:sz w:val="22"/>
          <w:szCs w:val="22"/>
        </w:rPr>
        <w:t xml:space="preserve">Wickham, Hadley. 2016. </w:t>
      </w:r>
      <w:r w:rsidRPr="007A73AC">
        <w:rPr>
          <w:rFonts w:ascii="Arial" w:hAnsi="Arial" w:cs="Arial"/>
          <w:i/>
          <w:iCs/>
          <w:color w:val="000000" w:themeColor="text1"/>
          <w:sz w:val="22"/>
          <w:szCs w:val="22"/>
        </w:rPr>
        <w:t>Ggplot2: Elegant Graphics for Data Analysis</w:t>
      </w:r>
      <w:r w:rsidRPr="007A73AC">
        <w:rPr>
          <w:rFonts w:ascii="Arial" w:hAnsi="Arial" w:cs="Arial"/>
          <w:color w:val="000000" w:themeColor="text1"/>
          <w:sz w:val="22"/>
          <w:szCs w:val="22"/>
        </w:rPr>
        <w:t xml:space="preserve">. 2nd ed. Springer. </w:t>
      </w:r>
      <w:hyperlink r:id="rId20">
        <w:r w:rsidRPr="007A73AC">
          <w:rPr>
            <w:rStyle w:val="Hyperlink"/>
            <w:rFonts w:ascii="Arial" w:hAnsi="Arial" w:cs="Arial"/>
            <w:color w:val="000000" w:themeColor="text1"/>
            <w:sz w:val="22"/>
            <w:szCs w:val="22"/>
          </w:rPr>
          <w:t>https://doi.org/10.1007/978-3-319-24277-4</w:t>
        </w:r>
      </w:hyperlink>
      <w:r w:rsidRPr="007A73AC">
        <w:rPr>
          <w:rFonts w:ascii="Arial" w:hAnsi="Arial" w:cs="Arial"/>
          <w:color w:val="000000" w:themeColor="text1"/>
          <w:sz w:val="22"/>
          <w:szCs w:val="22"/>
        </w:rPr>
        <w:t>.</w:t>
      </w:r>
    </w:p>
    <w:p w14:paraId="399F43CB" w14:textId="77777777" w:rsidR="006F7481" w:rsidRPr="007A73AC" w:rsidRDefault="00000000">
      <w:pPr>
        <w:pStyle w:val="Bibliography"/>
        <w:rPr>
          <w:rFonts w:ascii="Arial" w:hAnsi="Arial" w:cs="Arial"/>
          <w:color w:val="000000" w:themeColor="text1"/>
          <w:sz w:val="22"/>
          <w:szCs w:val="22"/>
        </w:rPr>
      </w:pPr>
      <w:bookmarkStart w:id="31" w:name="ref-wilke2019fundamentals"/>
      <w:bookmarkEnd w:id="30"/>
      <w:r w:rsidRPr="007A73AC">
        <w:rPr>
          <w:rFonts w:ascii="Arial" w:hAnsi="Arial" w:cs="Arial"/>
          <w:color w:val="000000" w:themeColor="text1"/>
          <w:sz w:val="22"/>
          <w:szCs w:val="22"/>
        </w:rPr>
        <w:t xml:space="preserve">Wilke, Claus O. 2019. </w:t>
      </w:r>
      <w:r w:rsidRPr="007A73AC">
        <w:rPr>
          <w:rFonts w:ascii="Arial" w:hAnsi="Arial" w:cs="Arial"/>
          <w:i/>
          <w:iCs/>
          <w:color w:val="000000" w:themeColor="text1"/>
          <w:sz w:val="22"/>
          <w:szCs w:val="22"/>
        </w:rPr>
        <w:t>Fundamentals of Data Visualization: A Primer on Making Informative and Compelling Figures</w:t>
      </w:r>
      <w:r w:rsidRPr="007A73AC">
        <w:rPr>
          <w:rFonts w:ascii="Arial" w:hAnsi="Arial" w:cs="Arial"/>
          <w:color w:val="000000" w:themeColor="text1"/>
          <w:sz w:val="22"/>
          <w:szCs w:val="22"/>
        </w:rPr>
        <w:t>. O’Reilly Media.</w:t>
      </w:r>
    </w:p>
    <w:p w14:paraId="2DF89671" w14:textId="77777777" w:rsidR="006F7481" w:rsidRPr="007A73AC" w:rsidRDefault="00000000">
      <w:pPr>
        <w:pStyle w:val="Bibliography"/>
        <w:rPr>
          <w:rFonts w:ascii="Arial" w:hAnsi="Arial" w:cs="Arial"/>
          <w:color w:val="000000" w:themeColor="text1"/>
          <w:sz w:val="22"/>
          <w:szCs w:val="22"/>
        </w:rPr>
      </w:pPr>
      <w:bookmarkStart w:id="32" w:name="ref-wilkinson2005grammar"/>
      <w:bookmarkEnd w:id="31"/>
      <w:r w:rsidRPr="007A73AC">
        <w:rPr>
          <w:rFonts w:ascii="Arial" w:hAnsi="Arial" w:cs="Arial"/>
          <w:color w:val="000000" w:themeColor="text1"/>
          <w:sz w:val="22"/>
          <w:szCs w:val="22"/>
        </w:rPr>
        <w:t xml:space="preserve">Wilkinson, Leland. 2005. </w:t>
      </w:r>
      <w:r w:rsidRPr="007A73AC">
        <w:rPr>
          <w:rFonts w:ascii="Arial" w:hAnsi="Arial" w:cs="Arial"/>
          <w:i/>
          <w:iCs/>
          <w:color w:val="000000" w:themeColor="text1"/>
          <w:sz w:val="22"/>
          <w:szCs w:val="22"/>
        </w:rPr>
        <w:t>The Grammar of Graphics</w:t>
      </w:r>
      <w:r w:rsidRPr="007A73AC">
        <w:rPr>
          <w:rFonts w:ascii="Arial" w:hAnsi="Arial" w:cs="Arial"/>
          <w:color w:val="000000" w:themeColor="text1"/>
          <w:sz w:val="22"/>
          <w:szCs w:val="22"/>
        </w:rPr>
        <w:t xml:space="preserve">. 2nd ed. Springer. </w:t>
      </w:r>
      <w:hyperlink r:id="rId21">
        <w:r w:rsidRPr="007A73AC">
          <w:rPr>
            <w:rStyle w:val="Hyperlink"/>
            <w:rFonts w:ascii="Arial" w:hAnsi="Arial" w:cs="Arial"/>
            <w:color w:val="000000" w:themeColor="text1"/>
            <w:sz w:val="22"/>
            <w:szCs w:val="22"/>
          </w:rPr>
          <w:t>https://doi.org/10.1007/0-387-28695-0</w:t>
        </w:r>
      </w:hyperlink>
      <w:r w:rsidRPr="007A73AC">
        <w:rPr>
          <w:rFonts w:ascii="Arial" w:hAnsi="Arial" w:cs="Arial"/>
          <w:color w:val="000000" w:themeColor="text1"/>
          <w:sz w:val="22"/>
          <w:szCs w:val="22"/>
        </w:rPr>
        <w:t>.</w:t>
      </w:r>
    </w:p>
    <w:p w14:paraId="34B042C5" w14:textId="77777777" w:rsidR="006F7481" w:rsidRPr="007A73AC" w:rsidRDefault="00000000">
      <w:pPr>
        <w:pStyle w:val="Bibliography"/>
        <w:rPr>
          <w:rFonts w:ascii="Arial" w:hAnsi="Arial" w:cs="Arial"/>
          <w:color w:val="000000" w:themeColor="text1"/>
          <w:sz w:val="22"/>
          <w:szCs w:val="22"/>
        </w:rPr>
      </w:pPr>
      <w:bookmarkStart w:id="33" w:name="ref-gnuplot"/>
      <w:bookmarkEnd w:id="32"/>
      <w:r w:rsidRPr="007A73AC">
        <w:rPr>
          <w:rFonts w:ascii="Arial" w:hAnsi="Arial" w:cs="Arial"/>
          <w:color w:val="000000" w:themeColor="text1"/>
          <w:sz w:val="22"/>
          <w:szCs w:val="22"/>
        </w:rPr>
        <w:t xml:space="preserve">Williams, Thomas, Colin Kelley, et al. n.d. </w:t>
      </w:r>
      <w:r w:rsidRPr="007A73AC">
        <w:rPr>
          <w:rFonts w:ascii="Arial" w:hAnsi="Arial" w:cs="Arial"/>
          <w:i/>
          <w:iCs/>
          <w:color w:val="000000" w:themeColor="text1"/>
          <w:sz w:val="22"/>
          <w:szCs w:val="22"/>
        </w:rPr>
        <w:t>Gnuplot</w:t>
      </w:r>
      <w:r w:rsidRPr="007A73AC">
        <w:rPr>
          <w:rFonts w:ascii="Arial" w:hAnsi="Arial" w:cs="Arial"/>
          <w:color w:val="000000" w:themeColor="text1"/>
          <w:sz w:val="22"/>
          <w:szCs w:val="22"/>
        </w:rPr>
        <w:t xml:space="preserve">. </w:t>
      </w:r>
      <w:hyperlink r:id="rId22">
        <w:r w:rsidRPr="007A73AC">
          <w:rPr>
            <w:rStyle w:val="Hyperlink"/>
            <w:rFonts w:ascii="Arial" w:hAnsi="Arial" w:cs="Arial"/>
            <w:color w:val="000000" w:themeColor="text1"/>
            <w:sz w:val="22"/>
            <w:szCs w:val="22"/>
          </w:rPr>
          <w:t>http://www.gnuplot.info</w:t>
        </w:r>
      </w:hyperlink>
      <w:r w:rsidRPr="007A73AC">
        <w:rPr>
          <w:rFonts w:ascii="Arial" w:hAnsi="Arial" w:cs="Arial"/>
          <w:color w:val="000000" w:themeColor="text1"/>
          <w:sz w:val="22"/>
          <w:szCs w:val="22"/>
        </w:rPr>
        <w:t>.</w:t>
      </w:r>
      <w:bookmarkEnd w:id="13"/>
      <w:bookmarkEnd w:id="15"/>
      <w:bookmarkEnd w:id="33"/>
    </w:p>
    <w:sectPr w:rsidR="006F7481" w:rsidRPr="007A73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6267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08292D"/>
    <w:multiLevelType w:val="hybridMultilevel"/>
    <w:tmpl w:val="2A4C1056"/>
    <w:lvl w:ilvl="0" w:tplc="30BE6146">
      <w:start w:val="1"/>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226766">
    <w:abstractNumId w:val="0"/>
  </w:num>
  <w:num w:numId="2" w16cid:durableId="211080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F7481"/>
    <w:rsid w:val="001C78BE"/>
    <w:rsid w:val="004C3934"/>
    <w:rsid w:val="00573147"/>
    <w:rsid w:val="006F7481"/>
    <w:rsid w:val="007A73AC"/>
    <w:rsid w:val="007C1A6D"/>
    <w:rsid w:val="009D227E"/>
    <w:rsid w:val="00A934D6"/>
    <w:rsid w:val="00E34E14"/>
    <w:rsid w:val="00EB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5A59E"/>
  <w15:docId w15:val="{4DD521E7-2CD6-EA43-A881-2A35D587A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530428" TargetMode="External"/><Relationship Id="rId13" Type="http://schemas.openxmlformats.org/officeDocument/2006/relationships/hyperlink" Target="https://doi.org/10.1200/JCO.1994.12.3.601" TargetMode="External"/><Relationship Id="rId18" Type="http://schemas.openxmlformats.org/officeDocument/2006/relationships/hyperlink" Target="https://github.com/JuliaPlots/UnicodePlots.jl" TargetMode="External"/><Relationship Id="rId3" Type="http://schemas.openxmlformats.org/officeDocument/2006/relationships/settings" Target="settings.xml"/><Relationship Id="rId21" Type="http://schemas.openxmlformats.org/officeDocument/2006/relationships/hyperlink" Target="https://doi.org/10.1007/0-387-28695-0" TargetMode="External"/><Relationship Id="rId7" Type="http://schemas.openxmlformats.org/officeDocument/2006/relationships/hyperlink" Target="https://doi.org/10.1111/j.1469-1809.1936.tb02137.x" TargetMode="External"/><Relationship Id="rId12" Type="http://schemas.openxmlformats.org/officeDocument/2006/relationships/hyperlink" Target="https://doi.org/10.1109/TVCG.2014.2346248" TargetMode="External"/><Relationship Id="rId17" Type="http://schemas.openxmlformats.org/officeDocument/2006/relationships/hyperlink" Target="https://doi.org/10.1109/TVCG.2016.2599030" TargetMode="External"/><Relationship Id="rId2" Type="http://schemas.openxmlformats.org/officeDocument/2006/relationships/styles" Target="styles.xml"/><Relationship Id="rId16" Type="http://schemas.openxmlformats.org/officeDocument/2006/relationships/hyperlink" Target="https://github.com/piccolomo/plotext" TargetMode="External"/><Relationship Id="rId20" Type="http://schemas.openxmlformats.org/officeDocument/2006/relationships/hyperlink" Target="https://doi.org/10.1007/978-3-319-24277-4" TargetMode="External"/><Relationship Id="rId1" Type="http://schemas.openxmlformats.org/officeDocument/2006/relationships/numbering" Target="numbering.xml"/><Relationship Id="rId6" Type="http://schemas.openxmlformats.org/officeDocument/2006/relationships/hyperlink" Target="https://doi.org/10.1016/S0140-6736(86)90837-8" TargetMode="External"/><Relationship Id="rId11" Type="http://schemas.openxmlformats.org/officeDocument/2006/relationships/hyperlink" Target="https://doi.org/10.1080/01621459.1958.10501452" TargetMode="External"/><Relationship Id="rId24" Type="http://schemas.openxmlformats.org/officeDocument/2006/relationships/theme" Target="theme/theme1.xml"/><Relationship Id="rId5" Type="http://schemas.openxmlformats.org/officeDocument/2006/relationships/hyperlink" Target="https://docs.anthropic.com/en/docs/claude-code" TargetMode="External"/><Relationship Id="rId15" Type="http://schemas.openxmlformats.org/officeDocument/2006/relationships/hyperlink" Target="https://doi.org/10.1038/d41586-023-02801-6" TargetMode="External"/><Relationship Id="rId23" Type="http://schemas.openxmlformats.org/officeDocument/2006/relationships/fontTable" Target="fontTable.xml"/><Relationship Id="rId10" Type="http://schemas.openxmlformats.org/officeDocument/2006/relationships/hyperlink" Target="https://doi.org/10.1109/MCSE.2007.55" TargetMode="External"/><Relationship Id="rId19" Type="http://schemas.openxmlformats.org/officeDocument/2006/relationships/hyperlink" Target="https://doi.org/10.1198/jcgs.2009.07098" TargetMode="External"/><Relationship Id="rId4" Type="http://schemas.openxmlformats.org/officeDocument/2006/relationships/webSettings" Target="webSettings.xml"/><Relationship Id="rId9" Type="http://schemas.openxmlformats.org/officeDocument/2006/relationships/hyperlink" Target="https://doi.org/10.1371/journal.pone.0099625" TargetMode="External"/><Relationship Id="rId14" Type="http://schemas.openxmlformats.org/officeDocument/2006/relationships/hyperlink" Target="https://openai.com/codex" TargetMode="External"/><Relationship Id="rId22" Type="http://schemas.openxmlformats.org/officeDocument/2006/relationships/hyperlink" Target="http://www.gnuplo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2359</Words>
  <Characters>15266</Characters>
  <Application>Microsoft Office Word</Application>
  <DocSecurity>0</DocSecurity>
  <Lines>355</Lines>
  <Paragraphs>191</Paragraphs>
  <ScaleCrop>false</ScaleCrop>
  <HeadingPairs>
    <vt:vector size="2" baseType="variant">
      <vt:variant>
        <vt:lpstr>Title</vt:lpstr>
      </vt:variant>
      <vt:variant>
        <vt:i4>1</vt:i4>
      </vt:variant>
    </vt:vector>
  </HeadingPairs>
  <TitlesOfParts>
    <vt:vector size="1" baseType="lpstr">
      <vt:lpstr>ggterm: Grammar of Graphics for Terminal-Based Data Visualization</vt:lpstr>
    </vt:vector>
  </TitlesOfParts>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ggterm: Grammar of Graphics for Terminal-Based Data Visualization</dc:title>
  <dc:creator/>
  <cp:keywords/>
  <cp:lastModifiedBy>Handley, Scott</cp:lastModifiedBy>
  <cp:revision>7</cp:revision>
  <dcterms:created xsi:type="dcterms:W3CDTF">2026-03-09T23:36:00Z</dcterms:created>
  <dcterms:modified xsi:type="dcterms:W3CDTF">2026-03-10T00:01:00Z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references.bib</vt:lpwstr>
  </property>
  <property fmtid="{D5CDD505-2E9C-101B-9397-08002B2CF9AE}" pid="5" name="date">
    <vt:lpwstr>2026</vt:lpwstr>
  </property>
</Properties>
</file>