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" w:hAnsi="Noto Serif"/>
          <w:b/>
          <w:i w:val="0"/>
          <w:color w:val="111111"/>
          <w:sz w:val="34"/>
        </w:rPr>
        <w:t>WU, YU-HSUAN</w:t>
      </w:r>
    </w:p>
    <w:p>
      <w:pPr>
        <w:spacing w:after="40"/>
        <w:jc w:val="center"/>
      </w:pPr>
      <w:r>
        <w:rPr>
          <w:rFonts w:ascii="Noto Sans" w:hAnsi="Noto Sans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EDUCATION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Yang Ming Chiao Tung University (NYCU)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2028 (expected)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Master of Arts in Linguistics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 (expected): Computational Linguistics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Taiwan University (NTU)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Bachelor of Arts in Foreign Languages and Literatures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Member of NTU Computational Linguistics Specialized Program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Coursework: NLP, Computational Linguistics, Phonology, Semantics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EXPERIENCE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Cathay Financial Holdings —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Engineer &amp; System Design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Feb 2026 – Present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LLM agents for optimizing internal business use .Owning both the AI</w:t>
        <w:br/>
        <w:t>application layer and the cloud-oriented deployment infrastructure.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Taiwan AI Academy (AIA)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New Taipei City,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Developer &amp; Technical Support Summer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Jun 2025 – Aug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 dual delivery-and-support role: built an internal-facing application while serving as front-line technical support for enterprise course participants.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PROJECTS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Voice-Notion — Cloud-First Standup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Slack bot that converts mp4 oral work report into confirmable Notion pages and tasks, plus a daily automated standup summary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Re-architected a single-instance Next.js service into a cloud-native ECS Fargate deployment with DynamoDB, SQS and EventBridge to enable horizontal scaling and zero-data-loss rolling updates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Evaluated Lambda + API Gateway, self-managed EC2 and App Runner against ECS Fargate on ops cost and private-subnet criteria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AI News Agent — Three-Scenario Routing Chatbot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AI research report query assistant using a four-layer architecture (Interface / Application / Data / External Services).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Designed a three-scenario classification system (LLM intent detection + Python state machine) for intelligent routing across explicit, fuzzy, and out-of-scope queries.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full ETL pipeline (Google Sheets → Bedrock Embedding → OpenSearch) with multi-dimensional filtering by topic, source, date, and subscription tier.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BU Agent — Web-Based Two-Mode BRD Co-Drafting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web app using LangGraph + PostgresSaver with a split layout (chat ↔ mode-aware workspace)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 Agent serves as the BU's single entry point (two modes) to draft v1.0 BRD, then hands off structured deliverables to the downstream BA Agent.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PUBLICATIONS &amp; TALKS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and presented the "Self-Discover-NLI" prompt engineering framework, adapting the three-step Self-Discover pipeline (SELECT → ADAPT → APPLY) specifically for Natural Language Inference (NLI) tasks.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Conducted systematic experiments on the IMPPRES dataset (95 tasks per trigger type), evaluating GPT-4o's handling of clefts, conditionals, modals, and other linguistic triggers.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Achieved ~10% overall accuracy improvement; performed in-depth error analysis identifying systematic model weaknesses.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SKILLS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Languages: </w:t>
      </w:r>
      <w:r>
        <w:rPr>
          <w:rFonts w:ascii="Noto Sans" w:hAnsi="Noto Sans"/>
          <w:b w:val="0"/>
          <w:i w:val="0"/>
          <w:color w:val="111111"/>
          <w:sz w:val="19"/>
        </w:rPr>
        <w:t>Mandarin (Native), English (Fluent)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Programming: </w:t>
      </w:r>
      <w:r>
        <w:rPr>
          <w:rFonts w:ascii="Noto Sans" w:hAnsi="Noto Sans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Frameworks: </w:t>
      </w:r>
      <w:r>
        <w:rPr>
          <w:rFonts w:ascii="Noto Sans" w:hAnsi="Noto Sans"/>
          <w:b w:val="0"/>
          <w:i w:val="0"/>
          <w:color w:val="111111"/>
          <w:sz w:val="19"/>
        </w:rPr>
        <w:t>LangGraph, LangChain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Tools: </w:t>
      </w:r>
      <w:r>
        <w:rPr>
          <w:rFonts w:ascii="Noto Sans" w:hAnsi="Noto Sans"/>
          <w:b w:val="0"/>
          <w:i w:val="0"/>
          <w:color w:val="111111"/>
          <w:sz w:val="19"/>
        </w:rPr>
        <w:t>AWS CLI, Docker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Certificates: </w:t>
      </w:r>
      <w:r>
        <w:rPr>
          <w:rFonts w:ascii="Noto Sans" w:hAnsi="Noto Sans"/>
          <w:b w:val="0"/>
          <w:i w:val="0"/>
          <w:color w:val="111111"/>
          <w:sz w:val="19"/>
        </w:rPr>
        <w:t>TOEIC (Listening and Reading 985, Speaking 180, Writing 170), AWS SAA (Solutions Architect Associate)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" w:hAnsi="Noto Sans" w:eastAsia="Noto Sans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