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" w:hAnsi="Noto Serif"/>
          <w:b/>
          <w:i w:val="0"/>
          <w:color w:val="111111"/>
          <w:sz w:val="34"/>
        </w:rPr>
        <w:t>WU, YU-HSUAN</w:t>
      </w:r>
    </w:p>
    <w:p>
      <w:pPr>
        <w:spacing w:after="40"/>
        <w:jc w:val="center"/>
      </w:pPr>
      <w:r>
        <w:rPr>
          <w:rFonts w:ascii="Noto Sans" w:hAnsi="Noto Sans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EDUCATION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Yang Ming Chiao Tung University (NYCU)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2028 (expected)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Master of Arts in Linguistics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 (expected): Phonology, Computational Linguistics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 (NTU)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Bachelor of Arts in Foreign Languages and Literatures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Computational Linguistics Specialized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Chinese-English Translation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Coursework: NLP, Computational Linguistics, Phonology, Semantics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EXPERIENCE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Cathay Financial Holdings —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ML/AI Engineer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Feb 2026 – Present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Optimized AI News agent orchestration logic, data ETL, LINE integration and AWS deploy architecture.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recording-ASR-based BRD auto-revising agent with human-in-the-loop audit.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Deployed a speech-driven form-filling service using streaming LLM on AWS for enterprise usage.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Research Assistant — Prof. Shu-hao Shih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2024 – Jun 2026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perception experiment schema, prepared stimuli, and analyzed data for non-moraic schwa stress-bearing naturalness.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Surveyed artificial-learning-experiment related phonology papers and prepared experiment stimuli using Praat and PsychoPy.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Taiwan AI Academy (AIA)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Developer &amp; Technical Support Summer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2025 – Aug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Architected a LINE LIFF App career counseling chatbot with an n8n-based RPA workflow and managed user data with Supabase.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Supported Enterprise Cloud Platform education courses as technical support.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PROJECTS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AI News Agent — Three-Scenario Routing Chatbot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AI research report query assistant using a four-layer architecture (Interface / Application / Data / External Services).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a three-scenario classification system (LLM intent detection + Python state machine) for intelligent routing across explicit, fuzzy, and out-of-scope queries.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Implemented asynchronous Lambda self-invocation to overcome LINE Webhook's 1-second timeout, supporting 5–15 second LLM inference + RAG retrieval pipelines.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full ETL pipeline (Google Sheets → Bedrock Embedding → OpenSearch) with multi-dimensional filtering by topic, source, date, and subscription tier.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LLM Reasoning Research — Self-Discover-NLI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ROCLING Conference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and presented the "Self-Discover-NLI" prompt engineering framework, adapting the three-step Self-Discover pipeline (SELECT → ADAPT → APPLY) specifically for Natural Language Inference (NLI) tasks.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Conducted systematic experiments on the IMPPRES dataset (95 tasks per trigger type), evaluating GPT-4o's handling of clefts, conditionals, modals, and other linguistic triggers.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Achieved ~10% overall accuracy improvement; performed in-depth error analysis identifying systematic model weaknesses.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BU Agent — Web-Based Two-Mode BRD Co-Drafting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web app using LangGraph + PostgresSaver with a split layout (chat ↔ mode-aware workspace); BU Agent serves as the BU's single entry point (two modes) to draft v1.0 BRD, then hands off structured deliverables to the downstream BA Agent.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Explore mode: 5-stage question bank (diverge → converge → challenge) with a live 5-dimension rubric workspace; emits a dual handoff (JSON + 200–400-word paragraph) that auto-transitions to Consult, compressing ideation to 5–10 min.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Consult mode: Step 1 auto-drafts the BRD outline from per-BU YAML templates, tagging sections auto_filled / needs_round2 / placeholder; Step 2 interviews only needs_round2 with live-preview inline edit, keeping BU interview time to 20–30 min.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Outputs v1.0 BRD + summary.json + full conversation_trace + flag_for_ba_review list; handoff notifies the BA Agent for review.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SKILLS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Languages: </w:t>
      </w:r>
      <w:r>
        <w:rPr>
          <w:rFonts w:ascii="Noto Sans" w:hAnsi="Noto Sans"/>
          <w:b w:val="0"/>
          <w:i w:val="0"/>
          <w:color w:val="111111"/>
          <w:sz w:val="19"/>
        </w:rPr>
        <w:t>Mandarin (Native), English (Fluent)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Programming: </w:t>
      </w:r>
      <w:r>
        <w:rPr>
          <w:rFonts w:ascii="Noto Sans" w:hAnsi="Noto Sans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Cloud &amp; Infrastructure: </w:t>
      </w:r>
      <w:r>
        <w:rPr>
          <w:rFonts w:ascii="Noto Sans" w:hAnsi="Noto Sans"/>
          <w:b w:val="0"/>
          <w:i w:val="0"/>
          <w:color w:val="111111"/>
          <w:sz w:val="19"/>
        </w:rPr>
        <w:t>AWS (Lambda, Bedrock, OpenSearch)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Frameworks: </w:t>
      </w:r>
      <w:r>
        <w:rPr>
          <w:rFonts w:ascii="Noto Sans" w:hAnsi="Noto Sans"/>
          <w:b w:val="0"/>
          <w:i w:val="0"/>
          <w:color w:val="111111"/>
          <w:sz w:val="19"/>
        </w:rPr>
        <w:t>LangGraph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Tools: </w:t>
      </w:r>
      <w:r>
        <w:rPr>
          <w:rFonts w:ascii="Noto Sans" w:hAnsi="Noto Sans"/>
          <w:b w:val="0"/>
          <w:i w:val="0"/>
          <w:color w:val="111111"/>
          <w:sz w:val="19"/>
        </w:rPr>
        <w:t>Microsoft Office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Certificates: </w:t>
      </w:r>
      <w:r>
        <w:rPr>
          <w:rFonts w:ascii="Noto Sans" w:hAnsi="Noto Sans"/>
          <w:b w:val="0"/>
          <w:i w:val="0"/>
          <w:color w:val="111111"/>
          <w:sz w:val="19"/>
        </w:rPr>
        <w:t>TOEIC (Listening and Reading 985, Speaking 180, Writing 170)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" w:hAnsi="Noto Sans" w:eastAsia="Noto Sans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