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CONTRACT FA8726-24-C-0042</w:t>
      </w:r>
    </w:p>
    <w:p/>
    <w:p>
      <w:pPr>
        <w:pStyle w:val="Heading2"/>
      </w:pPr>
      <w:r>
        <w:t>SECTION A — SOLICITATION/CONTRACT FORM</w:t>
      </w:r>
    </w:p>
    <w:p>
      <w:r>
        <w:t>Contract Number: FA8726-24-C-0042. This contract is awarded to ACME Defense Systems, CAGE Code: 1ABC2, UEI: ABC123DEF456. The Contracting Officer is Col. James Smith. NAICS Code: 541330. PSC Code: R425.</w:t>
      </w:r>
    </w:p>
    <w:p/>
    <w:p>
      <w:pPr>
        <w:pStyle w:val="Heading2"/>
      </w:pPr>
      <w:r>
        <w:t>SECTION B — SUPPLIES OR SERVICES AND PRICES/COSTS</w:t>
      </w:r>
    </w:p>
    <w:p>
      <w:r>
        <w:t>The total ceiling value of this contract is $12,500,000.00. The contract is currently funded in the amount of $5,000,000.00. CLIN 0001: Engineering Support Services (FFP).</w:t>
      </w:r>
    </w:p>
    <w:p/>
    <w:p>
      <w:pPr>
        <w:pStyle w:val="Heading2"/>
      </w:pPr>
      <w:r>
        <w:t>SECTION C — DESCRIPTION/SPECIFICATIONS/STATEMENT OF WORK</w:t>
      </w:r>
    </w:p>
    <w:p>
      <w:r>
        <w:t>The contractor shall provide engineering support for satellite communications systems. The contractor shall deliver the Monthly Status Report (CDRL A001) by the 15th of each month. This information is classified SECRET.</w:t>
      </w:r>
    </w:p>
    <w:p/>
    <w:p>
      <w:pPr>
        <w:pStyle w:val="Heading2"/>
      </w:pPr>
      <w:r>
        <w:t>SECTION F — DELIVERIES OR PERFORMANCE</w:t>
      </w:r>
    </w:p>
    <w:p>
      <w:r>
        <w:t>The period of performance is 01 January 2024 through 31 December 2025. All deliverables shall be submitted electronically.</w:t>
      </w:r>
    </w:p>
    <w:p/>
    <w:p>
      <w:pPr>
        <w:pStyle w:val="Heading2"/>
      </w:pPr>
      <w:r>
        <w:t>SECTION H — SPECIAL CONTRACT REQUIREMENTS</w:t>
      </w:r>
    </w:p>
    <w:p>
      <w:r>
        <w:t>All technical data delivered under this contract shall be subject to Government Purpose Rights (GPR). The contractor shall maintain a Small Business Set-Aside subcontracting plan with a goal of 23%.</w:t>
      </w:r>
    </w:p>
    <w:p/>
    <w:p>
      <w:pPr>
        <w:pStyle w:val="Heading2"/>
      </w:pPr>
      <w:r>
        <w:t>SECTION I — CONTRACT CLAUSES</w:t>
      </w:r>
    </w:p>
    <w:p>
      <w:r>
        <w:t>52.202-1 Definitions (JUN 2020)</w:t>
      </w:r>
    </w:p>
    <w:p>
      <w:r>
        <w:t>This clause establishes the definitions applicable to this contract.</w:t>
      </w:r>
    </w:p>
    <w:p>
      <w:r>
        <w:t>52.212-4 Contract Terms and Conditions (NOV 2023)</w:t>
      </w:r>
    </w:p>
    <w:p>
      <w:r>
        <w:t>This clause sets forth the standard terms and conditions.</w:t>
      </w:r>
    </w:p>
    <w:p>
      <w:r>
        <w:t>252.204-7012 Safeguarding Covered Defense Information (JAN 2023)</w:t>
      </w:r>
    </w:p>
    <w:p>
      <w:r>
        <w:t>The Contractor shall implement NIST SP 800-171 requirements for all covered defense information on the contractor information system.</w:t>
      </w:r>
    </w:p>
    <w:p>
      <w:r>
        <w:t>252.227-7014 Rights in Other Than Commercial Computer Software (FEB 2014)</w:t>
      </w:r>
    </w:p>
    <w:p>
      <w:r>
        <w:t>Technical data rights provisions.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