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4F4F" w:themeColor="accent1"/>
        </w:rPr>
        <w:id w:val="-1481380501"/>
        <w:docPartObj>
          <w:docPartGallery w:val="Cover Pages"/>
          <w:docPartUnique/>
        </w:docPartObj>
      </w:sdtPr>
      <w:sdtEndPr>
        <w:rPr>
          <w:color w:val="4D3733" w:themeColor="background1"/>
        </w:rPr>
      </w:sdtEndPr>
      <w:sdtContent>
        <w:p w14:paraId="3EFE8A2A" w14:textId="588FAE3C" w:rsidR="00BB59B1" w:rsidRDefault="00BB59B1">
          <w:pPr>
            <w:pStyle w:val="NoSpacing"/>
            <w:spacing w:before="1540" w:after="24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w:drawing>
              <wp:inline distT="0" distB="0" distL="0" distR="0" wp14:anchorId="3D6D40F8" wp14:editId="23623FB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2060"/>
              <w:sz w:val="72"/>
              <w:szCs w:val="72"/>
            </w:rPr>
            <w:alias w:val="Title"/>
            <w:tag w:val=""/>
            <w:id w:val="1735040861"/>
            <w:placeholder>
              <w:docPart w:val="2E6B133A388342248AA1F86E254156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073903" w14:textId="34AE2070" w:rsidR="00BB59B1" w:rsidRPr="000D3526" w:rsidRDefault="000D3526">
              <w:pPr>
                <w:pStyle w:val="NoSpacing"/>
                <w:pBdr>
                  <w:top w:val="single" w:sz="6" w:space="6" w:color="4F4F4F" w:themeColor="accent1"/>
                  <w:bottom w:val="single" w:sz="6" w:space="6" w:color="4F4F4F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2060"/>
                  <w:sz w:val="80"/>
                  <w:szCs w:val="80"/>
                </w:rPr>
              </w:pPr>
              <w:r w:rsidRPr="000D3526">
                <w:rPr>
                  <w:rFonts w:ascii="Times New Roman" w:eastAsiaTheme="majorEastAsia" w:hAnsi="Times New Roman" w:cs="Times New Roman"/>
                  <w:caps/>
                  <w:color w:val="002060"/>
                  <w:sz w:val="72"/>
                  <w:szCs w:val="72"/>
                </w:rPr>
                <w:t>Risk Management Framework</w:t>
              </w:r>
            </w:p>
          </w:sdtContent>
        </w:sdt>
        <w:p w14:paraId="1E22F412" w14:textId="5EF1213B" w:rsidR="00BB59B1" w:rsidRDefault="00BB59B1">
          <w:pPr>
            <w:pStyle w:val="NoSpacing"/>
            <w:jc w:val="center"/>
            <w:rPr>
              <w:color w:val="4F4F4F" w:themeColor="accent1"/>
              <w:sz w:val="28"/>
              <w:szCs w:val="28"/>
            </w:rPr>
          </w:pPr>
        </w:p>
        <w:p w14:paraId="3DFA110F" w14:textId="77777777" w:rsidR="00BB59B1" w:rsidRDefault="00BB59B1">
          <w:pPr>
            <w:pStyle w:val="NoSpacing"/>
            <w:spacing w:before="48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3400BE" wp14:editId="650D2C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4983CE" w14:textId="1FF3D4ED" w:rsidR="00BB59B1" w:rsidRPr="000D3526" w:rsidRDefault="000D35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0D35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  <w:t>July 13, 2020</w:t>
                                    </w:r>
                                  </w:p>
                                </w:sdtContent>
                              </w:sdt>
                              <w:p w14:paraId="6252294F" w14:textId="7D1BD387" w:rsidR="00BB59B1" w:rsidRPr="000D3526" w:rsidRDefault="00F95CA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D3526" w:rsidRPr="000D3526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4"/>
                                        <w:szCs w:val="24"/>
                                      </w:rPr>
                                      <w:t>Shane Ẽire Byrne</w:t>
                                    </w:r>
                                  </w:sdtContent>
                                </w:sdt>
                              </w:p>
                              <w:p w14:paraId="0507B3BD" w14:textId="2E5F6B18" w:rsidR="00BB59B1" w:rsidRPr="000D3526" w:rsidRDefault="00F95CA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3526" w:rsidRPr="000D3526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4"/>
                                        <w:szCs w:val="24"/>
                                      </w:rPr>
                                      <w:t>CYB407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3400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2060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4983CE" w14:textId="1FF3D4ED" w:rsidR="00BB59B1" w:rsidRPr="000D3526" w:rsidRDefault="000D35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0D3526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  <w:t>July 13, 2020</w:t>
                              </w:r>
                            </w:p>
                          </w:sdtContent>
                        </w:sdt>
                        <w:p w14:paraId="6252294F" w14:textId="7D1BD387" w:rsidR="00BB59B1" w:rsidRPr="000D3526" w:rsidRDefault="00F95CA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206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D3526" w:rsidRPr="000D3526">
                                <w:rPr>
                                  <w:rFonts w:ascii="Times New Roman" w:hAnsi="Times New Roman" w:cs="Times New Roman"/>
                                  <w:color w:val="002060"/>
                                  <w:sz w:val="24"/>
                                  <w:szCs w:val="24"/>
                                </w:rPr>
                                <w:t>Shane Ẽire Byrne</w:t>
                              </w:r>
                            </w:sdtContent>
                          </w:sdt>
                        </w:p>
                        <w:p w14:paraId="0507B3BD" w14:textId="2E5F6B18" w:rsidR="00BB59B1" w:rsidRPr="000D3526" w:rsidRDefault="00F95CA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206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D3526" w:rsidRPr="000D3526">
                                <w:rPr>
                                  <w:rFonts w:ascii="Times New Roman" w:hAnsi="Times New Roman" w:cs="Times New Roman"/>
                                  <w:color w:val="002060"/>
                                  <w:sz w:val="24"/>
                                  <w:szCs w:val="24"/>
                                </w:rPr>
                                <w:t>CYB407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4F4F" w:themeColor="accent1"/>
            </w:rPr>
            <w:drawing>
              <wp:inline distT="0" distB="0" distL="0" distR="0" wp14:anchorId="4576BBEA" wp14:editId="7713D12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43D89C" w14:textId="3F4F1970" w:rsidR="00BB59B1" w:rsidRDefault="00BB59B1">
          <w:pPr>
            <w:spacing w:after="160" w:line="259" w:lineRule="auto"/>
          </w:pPr>
          <w:r>
            <w:br w:type="page"/>
          </w:r>
        </w:p>
      </w:sdtContent>
    </w:sdt>
    <w:p w14:paraId="2AC6ABA4" w14:textId="56C0031A" w:rsidR="0098520B" w:rsidRDefault="0098520B" w:rsidP="0098520B">
      <w:pPr>
        <w:spacing w:after="0"/>
      </w:pPr>
      <w:r w:rsidRPr="00776416">
        <w:rPr>
          <w:noProof/>
        </w:rPr>
        <w:lastRenderedPageBreak/>
        <w:drawing>
          <wp:inline distT="0" distB="0" distL="0" distR="0" wp14:anchorId="58134B50" wp14:editId="48D03573">
            <wp:extent cx="4236695" cy="1129030"/>
            <wp:effectExtent l="0" t="0" r="0" b="0"/>
            <wp:docPr id="8" name="Picture 8" descr="University of Phoe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hirey\OneDrive - University of Phoenix\F_Drive\Style Guides\UPX Logos\Horizontal format\UOPX_Sig_Hor_Black_Medi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17190"/>
                    <a:stretch/>
                  </pic:blipFill>
                  <pic:spPr bwMode="auto">
                    <a:xfrm>
                      <a:off x="0" y="0"/>
                      <a:ext cx="4238526" cy="1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8CF6" w14:textId="5965D8F7" w:rsidR="00EC06E4" w:rsidRPr="000D3526" w:rsidRDefault="005D72BD" w:rsidP="00EC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52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D3526" w:rsidRPr="000D3526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Pr="000D3526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="00EC06E4" w:rsidRPr="000D35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D3526" w:rsidRPr="000D35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C06E4" w:rsidRPr="000D352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Risk Management Framework </w:t>
      </w:r>
    </w:p>
    <w:tbl>
      <w:tblPr>
        <w:tblW w:w="14520" w:type="dxa"/>
        <w:tblLook w:val="04A0" w:firstRow="1" w:lastRow="0" w:firstColumn="1" w:lastColumn="0" w:noHBand="0" w:noVBand="1"/>
      </w:tblPr>
      <w:tblGrid>
        <w:gridCol w:w="2460"/>
        <w:gridCol w:w="2172"/>
        <w:gridCol w:w="5372"/>
        <w:gridCol w:w="4516"/>
      </w:tblGrid>
      <w:tr w:rsidR="00716481" w:rsidRPr="00716481" w14:paraId="422B0DA2" w14:textId="77777777" w:rsidTr="00716481">
        <w:trPr>
          <w:trHeight w:val="126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660468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</w:pPr>
            <w:bookmarkStart w:id="0" w:name="TableColumn01"/>
            <w:bookmarkEnd w:id="0"/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  <w:t>NIST Risk Management Framework 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C3D4DB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  <w:t>What is the key NIST Special Publication that guides this step?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C9D5EA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  <w:t>What are the typically deliverables for this step??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202B54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40"/>
                <w:szCs w:val="40"/>
              </w:rPr>
              <w:t>Who typically works on the deliverables for this step??</w:t>
            </w:r>
          </w:p>
        </w:tc>
      </w:tr>
      <w:tr w:rsidR="00716481" w:rsidRPr="00716481" w14:paraId="4829FD67" w14:textId="77777777" w:rsidTr="00716481">
        <w:trPr>
          <w:trHeight w:val="756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CAB5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>Step 1 : Categorize Information Systems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46D6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800-39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800-59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800-60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6BB6" w14:textId="55430B5D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 provides guidance for conducting risk assessments of federal information systems and organizations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800-30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sources, threat events, vulnerabilities, and predisposing conditions thus allowing organizations to use such information to categorize information and information systems based on the knowledge of known and potential threats. (NIST, 2012)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800-39 Helps in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implementation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governance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structures that are consistent with strategic goals and objectives of organizations. (NIST, 2011)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800-59 establishes the classification of the system;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whether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is to be used in intelligence activities,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military,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weapons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development,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handling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classified information, and if it is applicable to any (Barker, 2003).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800-60 helps in the establishment of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categorization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process, as well as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tying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in to agency mission,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programs, IT Management, the role in system development lifecycles, as well as certification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accreditation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processes. (Stine, Kissel, Baker, Fahlsing, Gulick, 2008).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1B82" w14:textId="2F8B6A5B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•CISO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•Individuals involved in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capital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planning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investment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CIO</w:t>
            </w:r>
          </w:p>
        </w:tc>
      </w:tr>
      <w:tr w:rsidR="00716481" w:rsidRPr="00716481" w14:paraId="7DE6E80A" w14:textId="77777777" w:rsidTr="00716481">
        <w:trPr>
          <w:trHeight w:val="37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EB3496" w14:textId="12F0D8F1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 xml:space="preserve">Step 2: Select </w:t>
            </w: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t xml:space="preserve"> Controls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4D071B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800-53A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5B85" w14:textId="36DDD289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•NIST Special Publication 800-30 establishment of risk assessment allow for the application of a tailored guidance to adjust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 based on the specific mission/business requirements, assumptions, constraints,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priorities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trade-offs, or other threat information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800-53 establishes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family names (NIST, 2013).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800-53A establishes that all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appropriate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policies covering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privacy control assessments, and any prior steps in the RMF are successfully completed (NIST, 2014).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C1C673" w14:textId="695846CF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Stakeholders.</w:t>
            </w:r>
          </w:p>
        </w:tc>
      </w:tr>
      <w:tr w:rsidR="00716481" w:rsidRPr="00716481" w14:paraId="19DED4BB" w14:textId="77777777" w:rsidTr="00716481">
        <w:trPr>
          <w:trHeight w:val="819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C5AA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>Step 3: Implement Security Controls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D252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800-53A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32CF" w14:textId="749DFC3A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•NIST Special Publication 800-30 establishes risk assessment results to identify alternative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selected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controls. 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technology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products, system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architectural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could possibly be more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susceptible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certain types of threat sources, these susceptibilities are address during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development and implementation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800-53 establishes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designations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(common, system-specific-or hybrid)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said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controls. Also, the scope of applicability for said control, the shared nature of said control,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responsibility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control development (NIST, 2013).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800-53A address the determination of the assessment team and results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assessments as well as privacy control assessments (NIST, 2014).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800-53 if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 are assessed to be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adequate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enough, secur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relevant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will have a predictable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manner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satisfying a defined set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requirements under specified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/circumstances and while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subjected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disruptions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human errors,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faults, and failures, as well as purposeful attacks that may occur in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operation, a means of trust can be established with the system if it meets expectations for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(NIST, 2013).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10AF" w14:textId="6E8C98B6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•CISO.</w:t>
            </w:r>
          </w:p>
        </w:tc>
      </w:tr>
      <w:tr w:rsidR="00716481" w:rsidRPr="00716481" w14:paraId="0D771C7A" w14:textId="77777777" w:rsidTr="00716481">
        <w:trPr>
          <w:trHeight w:val="6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93C488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>Step 4:  Assess Security Controls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E74A89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800-53A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800-70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2314ED" w14:textId="6F07D44F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•NIST Special Publication 800-30 allows for results from security control assess (documents in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assessment reports)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risk assessments.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vulnerabilities in organization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systems and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which said systems operate is brought possible through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assessment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800-53A analyses assessment report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this being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assessments and privacy control assessments and how they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ultimately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influence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implementations, the content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plans,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privacy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plans as well as the respective plans of action and milestones (NIST, 2014).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800-70 helps to identify system needs. These being functional needs (what the product of service does for the end user), possible threats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vulnerabilities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can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end user,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needs this being all the controls needed to minimize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eliminate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vulnerability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within the end product (Quinn, Souppaya, Cook, Scarfone, 2018).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E6B9E9" w14:textId="50A06282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•CISO.</w:t>
            </w:r>
          </w:p>
        </w:tc>
      </w:tr>
      <w:tr w:rsidR="00716481" w:rsidRPr="00716481" w14:paraId="61D098B7" w14:textId="77777777" w:rsidTr="00716481">
        <w:trPr>
          <w:trHeight w:val="50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3F7A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>Step 5: Authorize Information System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E5E9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800-39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800-70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1D7E" w14:textId="7543A355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•NIST Special Publication 800-30 risk assessment can be presented to authorizing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officials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risk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carried out by the organization based off the risk assessments will establish a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posture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systems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operation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800-70 establishes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configuration checklists (or lockdown guide,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hardening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guide,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guide,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implementation guide (STIG) which deals with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guides the checklist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manually configure an IT product,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explains the recommended methods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securely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install and configure a device, and the policy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programmatic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set fourth guidelines for auditing authentication mechanisms, and perimeter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(Quinn, Souppaya, Cook, Scarfone, 2018).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62BC" w14:textId="6354E1F6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•CISO.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•CIO</w:t>
            </w:r>
          </w:p>
        </w:tc>
      </w:tr>
      <w:tr w:rsidR="00716481" w:rsidRPr="00716481" w14:paraId="5C5809AB" w14:textId="77777777" w:rsidTr="00716481">
        <w:trPr>
          <w:trHeight w:val="819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7F9D31" w14:textId="3E992CE9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lastRenderedPageBreak/>
              <w:t xml:space="preserve">Step 6: Monitor </w:t>
            </w: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b/>
                <w:bCs/>
                <w:color w:val="4D3733"/>
                <w:sz w:val="24"/>
                <w:szCs w:val="24"/>
              </w:rPr>
              <w:t xml:space="preserve"> Controls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BE2C2E" w14:textId="77777777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•NIST Special Publication 800-30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800-39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800-53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•NIST Special Publication 800-137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(Tipton, 2019)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B1B036" w14:textId="601ED6F5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•NIST Special Publication 800-30 leads to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effectiveness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controls, changes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systems,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operations as well as compliance with federal legislation, regulations, directives, polices, standards, and guidance when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monitoring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processes are established (NIST, 2012).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800-53 in conjunction with FIPS Publication 199 allows for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controls in the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operation to be monitored in order to determine control effectiveness, changes to the system/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compliance to legislation, Executive Orders,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directives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policies, regulations, and standards (NIST, 2013).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800-39 establishment of risk monitoring provides organizations a means to verify compliance, determine ongoing effectiveness or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measures,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risk-impacting changes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systems,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operation (NIST, 2011).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•NIST Special Publication 800-137 helps to establish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Information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Monitoring (ISCM) program. This program is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sufficient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inform risk-based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maintain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within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risk tolerances. Goals developed include detection of anomalies and changes within the organization's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information’s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visibility into assets, and awareness of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vulnerabilities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knowledge of threats, and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frequencies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ensure the information needed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risk to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organizational risk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tolerances is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available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(Dempsey, Chawla, Johnson, Johnson, </w:t>
            </w:r>
            <w:r w:rsidRPr="00716481">
              <w:rPr>
                <w:rFonts w:ascii="Times New Roman" w:hAnsi="Times New Roman" w:cs="Times New Roman"/>
                <w:sz w:val="24"/>
                <w:szCs w:val="24"/>
              </w:rPr>
              <w:t>Orebaugh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Scholl, Stine, 2011).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9C1D6BE" w14:textId="65EA9B63" w:rsidR="00716481" w:rsidRPr="00716481" w:rsidRDefault="00716481" w:rsidP="00716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•Information 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officer.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•Enterprise architects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operations personnel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•Cross-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Stakeholders.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•CISO.</w:t>
            </w:r>
            <w:r w:rsidRPr="00716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•CIO.</w:t>
            </w:r>
          </w:p>
        </w:tc>
      </w:tr>
    </w:tbl>
    <w:p w14:paraId="0D74405A" w14:textId="3FD57EB5" w:rsidR="00B77436" w:rsidRPr="00B77436" w:rsidRDefault="00B77436" w:rsidP="005D72BD">
      <w:pPr>
        <w:rPr>
          <w:rFonts w:ascii="Times New Roman" w:hAnsi="Times New Roman" w:cs="Times New Roman"/>
          <w:sz w:val="24"/>
          <w:szCs w:val="24"/>
        </w:rPr>
      </w:pPr>
    </w:p>
    <w:p w14:paraId="7F78D059" w14:textId="77777777" w:rsidR="00716481" w:rsidRDefault="00716481" w:rsidP="000D35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AC090" w14:textId="12B6877F" w:rsidR="00B77436" w:rsidRPr="00716481" w:rsidRDefault="00B77436" w:rsidP="000D35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1C58337" w14:textId="2147A874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Barker, W. (August 2003) Guide for Identifying an Information System as a National Security System</w:t>
      </w:r>
    </w:p>
    <w:p w14:paraId="7CB44D03" w14:textId="12408F48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https://nvlpubs.nist.gov/nistpubs/Legacy/SP/nistspecialpublication800-59.pdf</w:t>
        </w:r>
      </w:hyperlink>
    </w:p>
    <w:p w14:paraId="2BFB7237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Center for Development of Security Excellence (CDSE) (2020) Risk Management Framework Retrieved from </w:t>
      </w:r>
      <w:hyperlink r:id="rId16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https://www.cdse.edu/documents/student-guides/CS102-guide.pdf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18AAF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Dempsey, K., Chawla, N., Johnson, A., Johnson, R., Jones, A., Orebaugh, A., Scholl, M., Stine, K. (September 2011) Information Security Continuous Monitoring (ISCM)</w:t>
      </w:r>
    </w:p>
    <w:p w14:paraId="685960D9" w14:textId="0DA85DC2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 for Federal Information Systems and Organizations Retrieved from </w:t>
      </w:r>
      <w:hyperlink r:id="rId17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https://nvlpubs.nist.gov/nistpubs/Legacy/SP/nistspecialpublication800-137.pdf</w:t>
        </w:r>
      </w:hyperlink>
    </w:p>
    <w:p w14:paraId="47E55FDD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EC-Council.  (2020 ). CYB/405 (Domain 1) - Governance and Risk Management,  3rd Edition. [[VitalSource Bookshelf version]].  Retrieved from vbk://9781635674064 </w:t>
      </w:r>
    </w:p>
    <w:p w14:paraId="25322BBD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EC-Council.  (2020 ). CYB/407 (Domain 2) - Information Security Controls, Compliance, and Audit Management,  3rd Edition. [[VitalSource Bookshelf version]].  </w:t>
      </w:r>
    </w:p>
    <w:p w14:paraId="459B84DD" w14:textId="0453FD89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Retrieved from vbk://9781635674071</w:t>
      </w:r>
    </w:p>
    <w:p w14:paraId="68DC23E2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National Institute of Standards and Technology (NIST) (</w:t>
      </w:r>
      <w:r w:rsidRPr="00716481">
        <w:rPr>
          <w:rFonts w:ascii="Times New Roman" w:hAnsi="Times New Roman" w:cs="Times New Roman"/>
          <w:sz w:val="24"/>
          <w:szCs w:val="24"/>
        </w:rPr>
        <w:t>April</w:t>
      </w:r>
      <w:r w:rsidRPr="00716481">
        <w:rPr>
          <w:rFonts w:ascii="Times New Roman" w:hAnsi="Times New Roman" w:cs="Times New Roman"/>
          <w:sz w:val="24"/>
          <w:szCs w:val="24"/>
        </w:rPr>
        <w:t xml:space="preserve"> 201</w:t>
      </w:r>
      <w:r w:rsidRPr="00716481">
        <w:rPr>
          <w:rFonts w:ascii="Times New Roman" w:hAnsi="Times New Roman" w:cs="Times New Roman"/>
          <w:sz w:val="24"/>
          <w:szCs w:val="24"/>
        </w:rPr>
        <w:t>3</w:t>
      </w:r>
      <w:r w:rsidRPr="00716481">
        <w:rPr>
          <w:rFonts w:ascii="Times New Roman" w:hAnsi="Times New Roman" w:cs="Times New Roman"/>
          <w:sz w:val="24"/>
          <w:szCs w:val="24"/>
        </w:rPr>
        <w:t>)</w:t>
      </w:r>
      <w:r w:rsidRPr="00716481">
        <w:rPr>
          <w:rFonts w:ascii="Times New Roman" w:hAnsi="Times New Roman" w:cs="Times New Roman"/>
          <w:sz w:val="24"/>
          <w:szCs w:val="24"/>
        </w:rPr>
        <w:t xml:space="preserve"> Security and Privacy Controls for Federal Information Systems and Organizations</w:t>
      </w:r>
    </w:p>
    <w:p w14:paraId="7A44FB7B" w14:textId="2801D1D8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8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https://nvlpubs.nist.gov/nistpubs/SpecialPublications/NIST.SP.800-53r4.pdf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8C85A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National Institute of Standards and Technology (NIST) (</w:t>
      </w:r>
      <w:r w:rsidRPr="00716481">
        <w:rPr>
          <w:rFonts w:ascii="Times New Roman" w:hAnsi="Times New Roman" w:cs="Times New Roman"/>
          <w:sz w:val="24"/>
          <w:szCs w:val="24"/>
        </w:rPr>
        <w:t>December</w:t>
      </w:r>
      <w:r w:rsidRPr="00716481">
        <w:rPr>
          <w:rFonts w:ascii="Times New Roman" w:hAnsi="Times New Roman" w:cs="Times New Roman"/>
          <w:sz w:val="24"/>
          <w:szCs w:val="24"/>
        </w:rPr>
        <w:t xml:space="preserve"> 201</w:t>
      </w:r>
      <w:r w:rsidRPr="00716481">
        <w:rPr>
          <w:rFonts w:ascii="Times New Roman" w:hAnsi="Times New Roman" w:cs="Times New Roman"/>
          <w:sz w:val="24"/>
          <w:szCs w:val="24"/>
        </w:rPr>
        <w:t>4</w:t>
      </w:r>
      <w:r w:rsidRPr="00716481">
        <w:rPr>
          <w:rFonts w:ascii="Times New Roman" w:hAnsi="Times New Roman" w:cs="Times New Roman"/>
          <w:sz w:val="24"/>
          <w:szCs w:val="24"/>
        </w:rPr>
        <w:t>)</w:t>
      </w:r>
      <w:r w:rsidRPr="00716481">
        <w:rPr>
          <w:rFonts w:ascii="Times New Roman" w:hAnsi="Times New Roman" w:cs="Times New Roman"/>
          <w:sz w:val="24"/>
          <w:szCs w:val="24"/>
        </w:rPr>
        <w:t xml:space="preserve"> Assessing Security and Privacy Controls in Federal Information Systems and Organizations: Building</w:t>
      </w:r>
    </w:p>
    <w:p w14:paraId="43709EC9" w14:textId="7B239A06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lastRenderedPageBreak/>
        <w:t xml:space="preserve"> Effective Assessment Plans Retrieved from </w:t>
      </w:r>
      <w:hyperlink r:id="rId19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https://nvlpubs.nist.gov/nistpubs/SpecialPublications/NIST.SP.800-53Ar4.pdf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731D6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National Institute of Standards and Technology (NIST) (</w:t>
      </w:r>
      <w:r w:rsidRPr="00716481">
        <w:rPr>
          <w:rFonts w:ascii="Times New Roman" w:hAnsi="Times New Roman" w:cs="Times New Roman"/>
          <w:sz w:val="24"/>
          <w:szCs w:val="24"/>
        </w:rPr>
        <w:t>March</w:t>
      </w:r>
      <w:r w:rsidRPr="00716481">
        <w:rPr>
          <w:rFonts w:ascii="Times New Roman" w:hAnsi="Times New Roman" w:cs="Times New Roman"/>
          <w:sz w:val="24"/>
          <w:szCs w:val="24"/>
        </w:rPr>
        <w:t xml:space="preserve"> 201</w:t>
      </w:r>
      <w:r w:rsidRPr="00716481">
        <w:rPr>
          <w:rFonts w:ascii="Times New Roman" w:hAnsi="Times New Roman" w:cs="Times New Roman"/>
          <w:sz w:val="24"/>
          <w:szCs w:val="24"/>
        </w:rPr>
        <w:t>1</w:t>
      </w:r>
      <w:r w:rsidRPr="00716481">
        <w:rPr>
          <w:rFonts w:ascii="Times New Roman" w:hAnsi="Times New Roman" w:cs="Times New Roman"/>
          <w:sz w:val="24"/>
          <w:szCs w:val="24"/>
        </w:rPr>
        <w:t>)</w:t>
      </w:r>
      <w:r w:rsidRPr="00716481">
        <w:rPr>
          <w:rFonts w:ascii="Times New Roman" w:hAnsi="Times New Roman" w:cs="Times New Roman"/>
          <w:sz w:val="24"/>
          <w:szCs w:val="24"/>
        </w:rPr>
        <w:t xml:space="preserve"> Managing information Security Risk: Organization, Mission, and Information System</w:t>
      </w:r>
    </w:p>
    <w:p w14:paraId="52885DA9" w14:textId="5FCD2B69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 View Retrieved from </w:t>
      </w:r>
      <w:hyperlink r:id="rId20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https://nvlpubs.nist.gov/nistpubs/Legacy/SP/nistspecialpublication800-39.pdf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FC2AD" w14:textId="1AF207EA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National Institute of Standards and Technology (NIST) (March 2011) Managing information security Risks: Organization, Mission, and Information System View </w:t>
      </w:r>
    </w:p>
    <w:p w14:paraId="547DF1A9" w14:textId="4564BE92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1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https://nvlpubs.nist.gov/nistpubs/Legacy/SP/nistspecialpublication800-39.pdf</w:t>
        </w:r>
      </w:hyperlink>
    </w:p>
    <w:p w14:paraId="19BB45F4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National Institute of Standards and Technology (NIST) (September 2012) Guide for Conducting Risk Assessments </w:t>
      </w:r>
    </w:p>
    <w:p w14:paraId="7EACD55B" w14:textId="297F7514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2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https://nvlpubs.nist.gov/nistpubs/Legacy/SP/nistspecialpublication800-30r1.pdf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4FE55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Quinn, S., Souppaya, M., Cook, M., Scarfone, K. (February 2018) National Checklist Program for IT Products—Guidelines for Checklist Users and Developers </w:t>
      </w:r>
    </w:p>
    <w:p w14:paraId="4781F2A7" w14:textId="0F38D160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3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https://nvlpubs.nist.gov/nistpubs/SpecialPublications/NIST.SP.800-70r4.pdf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7F7F2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Rogers, B. E., Dunkerley, D.  (2015). CRISC Certified in Risk and Information Systems Control All-in-One Exam Guide. [[VitalSource Bookshelf version]].  </w:t>
      </w:r>
    </w:p>
    <w:p w14:paraId="5F46CE67" w14:textId="3A1D31B0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>Retrieved from vbk://1260118088</w:t>
      </w:r>
    </w:p>
    <w:p w14:paraId="1A106608" w14:textId="424A1804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71648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Shanthamurthy, D. (Aug </w:t>
      </w:r>
      <w:r w:rsidR="00F95CA6" w:rsidRPr="0071648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05,</w:t>
      </w:r>
      <w:r w:rsidRPr="0071648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2011) NIST SP800-30 standard for technical risk assessment: An evaluation</w:t>
      </w:r>
    </w:p>
    <w:p w14:paraId="3A69282D" w14:textId="5E73C318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lastRenderedPageBreak/>
        <w:t xml:space="preserve"> Retrieved from </w:t>
      </w:r>
      <w:hyperlink r:id="rId24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https://www.computerweekly.com/tip/NIST-SP-800-30-standard-for-technical-risk-assessment-An-evaluation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2342B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Stine, K., Kissel, R., Barker, W., Fahlsing, J., Gulick, J (August 2008) Guide for Mapping Types of Information and Information Systems to Security Categories </w:t>
      </w:r>
    </w:p>
    <w:p w14:paraId="6F370942" w14:textId="0FB79E57" w:rsidR="00716481" w:rsidRPr="00716481" w:rsidRDefault="00716481" w:rsidP="0071648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5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https://nvlpubs.nist.gov/nistpubs/Legacy/SP/nistspecialpublication800-60v1r1.pdf</w:t>
        </w:r>
      </w:hyperlink>
      <w:r w:rsidRPr="0071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6A9EE" w14:textId="77777777" w:rsidR="00716481" w:rsidRPr="00716481" w:rsidRDefault="00716481" w:rsidP="00716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Tipton, S. (Dec 10, 2019) How to Apply the Risk Management Framework (RMF) </w:t>
      </w:r>
    </w:p>
    <w:p w14:paraId="2D6B0AAF" w14:textId="78CFEDE7" w:rsidR="00716481" w:rsidRPr="00716481" w:rsidRDefault="00716481" w:rsidP="00716481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4D3733" w:themeColor="background1"/>
          <w:sz w:val="24"/>
          <w:szCs w:val="24"/>
          <w:u w:val="none"/>
        </w:rPr>
      </w:pPr>
      <w:r w:rsidRPr="0071648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6" w:history="1">
        <w:r w:rsidRPr="00716481">
          <w:rPr>
            <w:rStyle w:val="Hyperlink"/>
            <w:rFonts w:ascii="Times New Roman" w:hAnsi="Times New Roman" w:cs="Times New Roman"/>
            <w:sz w:val="24"/>
            <w:szCs w:val="24"/>
          </w:rPr>
          <w:t>https://www.tripwire.com/state-of-security/featured/applying-risk-management-framework/</w:t>
        </w:r>
      </w:hyperlink>
    </w:p>
    <w:sectPr w:rsidR="00716481" w:rsidRPr="00716481" w:rsidSect="00716481">
      <w:headerReference w:type="default" r:id="rId27"/>
      <w:footerReference w:type="default" r:id="rId28"/>
      <w:pgSz w:w="20160" w:h="12240" w:orient="landscape" w:code="5"/>
      <w:pgMar w:top="1440" w:right="72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DA481" w14:textId="77777777" w:rsidR="00E64329" w:rsidRDefault="00E64329" w:rsidP="000F0903">
      <w:pPr>
        <w:spacing w:after="0"/>
      </w:pPr>
      <w:r>
        <w:separator/>
      </w:r>
    </w:p>
  </w:endnote>
  <w:endnote w:type="continuationSeparator" w:id="0">
    <w:p w14:paraId="572F7C02" w14:textId="77777777" w:rsidR="00E64329" w:rsidRDefault="00E64329" w:rsidP="000F0903">
      <w:pPr>
        <w:spacing w:after="0"/>
      </w:pPr>
      <w:r>
        <w:continuationSeparator/>
      </w:r>
    </w:p>
  </w:endnote>
  <w:endnote w:type="continuationNotice" w:id="1">
    <w:p w14:paraId="6C13974F" w14:textId="77777777" w:rsidR="00E64329" w:rsidRDefault="00E643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Medium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0D2A" w14:textId="506C057D" w:rsidR="002901D9" w:rsidRPr="00B9595A" w:rsidRDefault="002901D9" w:rsidP="184C0106">
    <w:pPr>
      <w:pStyle w:val="Footer"/>
      <w:jc w:val="center"/>
      <w:rPr>
        <w:sz w:val="16"/>
        <w:szCs w:val="16"/>
      </w:rPr>
    </w:pPr>
    <w:r w:rsidRPr="184C0106">
      <w:rPr>
        <w:sz w:val="16"/>
        <w:szCs w:val="16"/>
      </w:rPr>
      <w:t>Copyright</w:t>
    </w:r>
    <w:r w:rsidR="00C12D77">
      <w:rPr>
        <w:sz w:val="16"/>
        <w:szCs w:val="16"/>
      </w:rPr>
      <w:t xml:space="preserve"> 20</w:t>
    </w:r>
    <w:r w:rsidR="005D72BD">
      <w:rPr>
        <w:sz w:val="16"/>
        <w:szCs w:val="16"/>
      </w:rPr>
      <w:t>20</w:t>
    </w:r>
    <w:r w:rsidRPr="184C0106">
      <w:rPr>
        <w:sz w:val="16"/>
        <w:szCs w:val="16"/>
      </w:rPr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44F2B" w14:textId="77777777" w:rsidR="00E64329" w:rsidRDefault="00E64329" w:rsidP="000F0903">
      <w:pPr>
        <w:spacing w:after="0"/>
      </w:pPr>
      <w:r>
        <w:separator/>
      </w:r>
    </w:p>
  </w:footnote>
  <w:footnote w:type="continuationSeparator" w:id="0">
    <w:p w14:paraId="607AC15D" w14:textId="77777777" w:rsidR="00E64329" w:rsidRDefault="00E64329" w:rsidP="000F0903">
      <w:pPr>
        <w:spacing w:after="0"/>
      </w:pPr>
      <w:r>
        <w:continuationSeparator/>
      </w:r>
    </w:p>
  </w:footnote>
  <w:footnote w:type="continuationNotice" w:id="1">
    <w:p w14:paraId="518DEC04" w14:textId="77777777" w:rsidR="00E64329" w:rsidRDefault="00E6432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28DF" w14:textId="0FCB03E2" w:rsidR="000D3526" w:rsidRPr="000D3526" w:rsidRDefault="000D3526" w:rsidP="000D3526">
    <w:pPr>
      <w:pStyle w:val="Header"/>
      <w:jc w:val="center"/>
      <w:rPr>
        <w:rFonts w:ascii="Times New Roman" w:hAnsi="Times New Roman" w:cs="Times New Roman"/>
      </w:rPr>
    </w:pPr>
    <w:r w:rsidRPr="000D3526">
      <w:rPr>
        <w:rFonts w:ascii="Times New Roman" w:hAnsi="Times New Roman" w:cs="Times New Roman"/>
      </w:rPr>
      <w:t>Risk Management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8C"/>
    <w:multiLevelType w:val="hybridMultilevel"/>
    <w:tmpl w:val="B43CFE4A"/>
    <w:lvl w:ilvl="0" w:tplc="5F3267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834C8"/>
    <w:multiLevelType w:val="hybridMultilevel"/>
    <w:tmpl w:val="87624FE2"/>
    <w:lvl w:ilvl="0" w:tplc="A8788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16B04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AAE807DA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960E3D2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F5C2C75A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C0D5F"/>
    <w:multiLevelType w:val="hybridMultilevel"/>
    <w:tmpl w:val="B6F66D86"/>
    <w:lvl w:ilvl="0" w:tplc="0F241BAA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0AB61D32"/>
    <w:multiLevelType w:val="hybridMultilevel"/>
    <w:tmpl w:val="9F7A82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3761BC"/>
    <w:multiLevelType w:val="hybridMultilevel"/>
    <w:tmpl w:val="65A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09EE"/>
    <w:multiLevelType w:val="hybridMultilevel"/>
    <w:tmpl w:val="84A8AFFC"/>
    <w:lvl w:ilvl="0" w:tplc="BD8C2B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0614F8"/>
    <w:multiLevelType w:val="multilevel"/>
    <w:tmpl w:val="61544326"/>
    <w:lvl w:ilvl="0">
      <w:start w:val="1"/>
      <w:numFmt w:val="decimal"/>
      <w:pStyle w:val="Outl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OutlineLevel3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pStyle w:val="OutlineLevel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utlineLevel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utlineLeve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5D70F0"/>
    <w:multiLevelType w:val="hybridMultilevel"/>
    <w:tmpl w:val="672C6B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75AE4"/>
    <w:multiLevelType w:val="multilevel"/>
    <w:tmpl w:val="3D24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Outline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A90BBE"/>
    <w:multiLevelType w:val="multilevel"/>
    <w:tmpl w:val="467A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0D322F"/>
    <w:multiLevelType w:val="hybridMultilevel"/>
    <w:tmpl w:val="C3285094"/>
    <w:lvl w:ilvl="0" w:tplc="9F30A5A2">
      <w:start w:val="1"/>
      <w:numFmt w:val="decimal"/>
      <w:lvlText w:val="%1."/>
      <w:lvlJc w:val="left"/>
      <w:pPr>
        <w:ind w:left="720" w:hanging="360"/>
      </w:pPr>
    </w:lvl>
    <w:lvl w:ilvl="1" w:tplc="C9FC68EC">
      <w:start w:val="1"/>
      <w:numFmt w:val="lowerLetter"/>
      <w:lvlText w:val="%2."/>
      <w:lvlJc w:val="left"/>
      <w:pPr>
        <w:ind w:left="1440" w:hanging="360"/>
      </w:pPr>
    </w:lvl>
    <w:lvl w:ilvl="2" w:tplc="952AEDD6">
      <w:start w:val="1"/>
      <w:numFmt w:val="lowerRoman"/>
      <w:lvlText w:val="%3."/>
      <w:lvlJc w:val="right"/>
      <w:pPr>
        <w:ind w:left="2160" w:hanging="180"/>
      </w:pPr>
    </w:lvl>
    <w:lvl w:ilvl="3" w:tplc="B24215D4">
      <w:start w:val="1"/>
      <w:numFmt w:val="decimal"/>
      <w:lvlText w:val="%4."/>
      <w:lvlJc w:val="left"/>
      <w:pPr>
        <w:ind w:left="2880" w:hanging="360"/>
      </w:pPr>
    </w:lvl>
    <w:lvl w:ilvl="4" w:tplc="BCDE04FA">
      <w:start w:val="9"/>
      <w:numFmt w:val="lowerLetter"/>
      <w:lvlText w:val="%5."/>
      <w:lvlJc w:val="left"/>
      <w:pPr>
        <w:ind w:left="3600" w:hanging="360"/>
      </w:pPr>
    </w:lvl>
    <w:lvl w:ilvl="5" w:tplc="31760D1C">
      <w:start w:val="1"/>
      <w:numFmt w:val="lowerRoman"/>
      <w:lvlText w:val="%6."/>
      <w:lvlJc w:val="right"/>
      <w:pPr>
        <w:ind w:left="4320" w:hanging="180"/>
      </w:pPr>
    </w:lvl>
    <w:lvl w:ilvl="6" w:tplc="5B3A5148">
      <w:start w:val="1"/>
      <w:numFmt w:val="decimal"/>
      <w:lvlText w:val="%7."/>
      <w:lvlJc w:val="left"/>
      <w:pPr>
        <w:ind w:left="5040" w:hanging="360"/>
      </w:pPr>
    </w:lvl>
    <w:lvl w:ilvl="7" w:tplc="9D960D76">
      <w:start w:val="1"/>
      <w:numFmt w:val="lowerLetter"/>
      <w:lvlText w:val="%8."/>
      <w:lvlJc w:val="left"/>
      <w:pPr>
        <w:ind w:left="5760" w:hanging="360"/>
      </w:pPr>
    </w:lvl>
    <w:lvl w:ilvl="8" w:tplc="E850DB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559E"/>
    <w:multiLevelType w:val="hybridMultilevel"/>
    <w:tmpl w:val="BD88BF48"/>
    <w:lvl w:ilvl="0" w:tplc="D5C0D49E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49C6B29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E4A058D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13B2E95C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081A61"/>
    <w:multiLevelType w:val="hybridMultilevel"/>
    <w:tmpl w:val="E7789E02"/>
    <w:lvl w:ilvl="0" w:tplc="443C4856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51A449BC"/>
    <w:multiLevelType w:val="hybridMultilevel"/>
    <w:tmpl w:val="E84A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F2300"/>
    <w:multiLevelType w:val="hybridMultilevel"/>
    <w:tmpl w:val="EAB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745"/>
    <w:multiLevelType w:val="hybridMultilevel"/>
    <w:tmpl w:val="ACA2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E29BF"/>
    <w:multiLevelType w:val="hybridMultilevel"/>
    <w:tmpl w:val="8B3C19B4"/>
    <w:lvl w:ilvl="0" w:tplc="88C46CE4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EA744E"/>
    <w:multiLevelType w:val="hybridMultilevel"/>
    <w:tmpl w:val="2DCC675C"/>
    <w:lvl w:ilvl="0" w:tplc="D182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A5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2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A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43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3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F21AF"/>
    <w:multiLevelType w:val="multilevel"/>
    <w:tmpl w:val="D76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0628F"/>
    <w:multiLevelType w:val="hybridMultilevel"/>
    <w:tmpl w:val="A2308DA8"/>
    <w:lvl w:ilvl="0" w:tplc="6234D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"/>
  </w:num>
  <w:num w:numId="10">
    <w:abstractNumId w:val="17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</w:num>
  <w:num w:numId="17">
    <w:abstractNumId w:val="9"/>
  </w:num>
  <w:num w:numId="18">
    <w:abstractNumId w:val="19"/>
  </w:num>
  <w:num w:numId="19">
    <w:abstractNumId w:val="6"/>
  </w:num>
  <w:num w:numId="20">
    <w:abstractNumId w:val="8"/>
  </w:num>
  <w:num w:numId="21">
    <w:abstractNumId w:val="4"/>
  </w:num>
  <w:num w:numId="22">
    <w:abstractNumId w:val="21"/>
  </w:num>
  <w:num w:numId="23">
    <w:abstractNumId w:val="10"/>
  </w:num>
  <w:num w:numId="24">
    <w:abstractNumId w:val="15"/>
  </w:num>
  <w:num w:numId="25">
    <w:abstractNumId w:val="13"/>
  </w:num>
  <w:num w:numId="26">
    <w:abstractNumId w:val="7"/>
  </w:num>
  <w:num w:numId="27">
    <w:abstractNumId w:val="5"/>
  </w:num>
  <w:num w:numId="28">
    <w:abstractNumId w:val="0"/>
  </w:num>
  <w:num w:numId="29">
    <w:abstractNumId w:val="2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LockTheme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kwNK0FAO+o+cAtAAAA"/>
  </w:docVars>
  <w:rsids>
    <w:rsidRoot w:val="00B7574F"/>
    <w:rsid w:val="00056EE5"/>
    <w:rsid w:val="000670D4"/>
    <w:rsid w:val="00087CDB"/>
    <w:rsid w:val="000C0803"/>
    <w:rsid w:val="000C2C6A"/>
    <w:rsid w:val="000D2169"/>
    <w:rsid w:val="000D28B3"/>
    <w:rsid w:val="000D3526"/>
    <w:rsid w:val="000E1CDC"/>
    <w:rsid w:val="000E540D"/>
    <w:rsid w:val="000F0903"/>
    <w:rsid w:val="000F2F71"/>
    <w:rsid w:val="0013181E"/>
    <w:rsid w:val="001567D5"/>
    <w:rsid w:val="001602BB"/>
    <w:rsid w:val="001A2683"/>
    <w:rsid w:val="001B2F86"/>
    <w:rsid w:val="001B3D1D"/>
    <w:rsid w:val="001C098D"/>
    <w:rsid w:val="001C10AF"/>
    <w:rsid w:val="001D2A36"/>
    <w:rsid w:val="001F0CC9"/>
    <w:rsid w:val="00201214"/>
    <w:rsid w:val="00207997"/>
    <w:rsid w:val="00216720"/>
    <w:rsid w:val="00224434"/>
    <w:rsid w:val="00250EB0"/>
    <w:rsid w:val="00270C10"/>
    <w:rsid w:val="002901D9"/>
    <w:rsid w:val="002D1CDF"/>
    <w:rsid w:val="002D6885"/>
    <w:rsid w:val="003064E9"/>
    <w:rsid w:val="0033144D"/>
    <w:rsid w:val="00351BFF"/>
    <w:rsid w:val="00377506"/>
    <w:rsid w:val="0039139F"/>
    <w:rsid w:val="003B5E99"/>
    <w:rsid w:val="003C3BAE"/>
    <w:rsid w:val="00407843"/>
    <w:rsid w:val="00427F4C"/>
    <w:rsid w:val="004500DE"/>
    <w:rsid w:val="00467B22"/>
    <w:rsid w:val="004B7564"/>
    <w:rsid w:val="004F72D7"/>
    <w:rsid w:val="005002EC"/>
    <w:rsid w:val="00514AC3"/>
    <w:rsid w:val="00532293"/>
    <w:rsid w:val="00546A6C"/>
    <w:rsid w:val="005702EF"/>
    <w:rsid w:val="005A603E"/>
    <w:rsid w:val="005D72BD"/>
    <w:rsid w:val="005F5BC8"/>
    <w:rsid w:val="00654497"/>
    <w:rsid w:val="0066315B"/>
    <w:rsid w:val="0067319E"/>
    <w:rsid w:val="00695175"/>
    <w:rsid w:val="007042E2"/>
    <w:rsid w:val="00716481"/>
    <w:rsid w:val="00720181"/>
    <w:rsid w:val="00726E5E"/>
    <w:rsid w:val="00776416"/>
    <w:rsid w:val="00793EBF"/>
    <w:rsid w:val="007A0EAB"/>
    <w:rsid w:val="007A6D58"/>
    <w:rsid w:val="007F78E4"/>
    <w:rsid w:val="00821BC0"/>
    <w:rsid w:val="00841CC8"/>
    <w:rsid w:val="008C786A"/>
    <w:rsid w:val="009115FC"/>
    <w:rsid w:val="00935086"/>
    <w:rsid w:val="00935F80"/>
    <w:rsid w:val="00971C52"/>
    <w:rsid w:val="00975184"/>
    <w:rsid w:val="0098520B"/>
    <w:rsid w:val="009B0A35"/>
    <w:rsid w:val="009C241D"/>
    <w:rsid w:val="009C48ED"/>
    <w:rsid w:val="009E0D9C"/>
    <w:rsid w:val="009E2FD0"/>
    <w:rsid w:val="00A03896"/>
    <w:rsid w:val="00A06D23"/>
    <w:rsid w:val="00A14190"/>
    <w:rsid w:val="00A14B34"/>
    <w:rsid w:val="00A32474"/>
    <w:rsid w:val="00A621B0"/>
    <w:rsid w:val="00B1207F"/>
    <w:rsid w:val="00B16250"/>
    <w:rsid w:val="00B30ACB"/>
    <w:rsid w:val="00B3325E"/>
    <w:rsid w:val="00B3690F"/>
    <w:rsid w:val="00B7574F"/>
    <w:rsid w:val="00B77436"/>
    <w:rsid w:val="00B91F77"/>
    <w:rsid w:val="00B9219C"/>
    <w:rsid w:val="00B9595A"/>
    <w:rsid w:val="00BB0DFA"/>
    <w:rsid w:val="00BB59B1"/>
    <w:rsid w:val="00BD0B92"/>
    <w:rsid w:val="00BE6B1C"/>
    <w:rsid w:val="00C032FD"/>
    <w:rsid w:val="00C12D77"/>
    <w:rsid w:val="00C23879"/>
    <w:rsid w:val="00C3136A"/>
    <w:rsid w:val="00C610B2"/>
    <w:rsid w:val="00C708EA"/>
    <w:rsid w:val="00C815A4"/>
    <w:rsid w:val="00C9429C"/>
    <w:rsid w:val="00CB42ED"/>
    <w:rsid w:val="00CC6145"/>
    <w:rsid w:val="00CC7732"/>
    <w:rsid w:val="00D10F9D"/>
    <w:rsid w:val="00D2123C"/>
    <w:rsid w:val="00D46E6B"/>
    <w:rsid w:val="00DA2EA0"/>
    <w:rsid w:val="00DE1A94"/>
    <w:rsid w:val="00E22D25"/>
    <w:rsid w:val="00E64329"/>
    <w:rsid w:val="00E65CEA"/>
    <w:rsid w:val="00EA2454"/>
    <w:rsid w:val="00EC06E4"/>
    <w:rsid w:val="00EC0EB6"/>
    <w:rsid w:val="00ED01FB"/>
    <w:rsid w:val="00ED5E1D"/>
    <w:rsid w:val="00F43299"/>
    <w:rsid w:val="00F7576F"/>
    <w:rsid w:val="00F77604"/>
    <w:rsid w:val="00F95CA6"/>
    <w:rsid w:val="00FA1C14"/>
    <w:rsid w:val="00FE6379"/>
    <w:rsid w:val="00FF2CFB"/>
    <w:rsid w:val="00FF6339"/>
    <w:rsid w:val="17072597"/>
    <w:rsid w:val="184C0106"/>
    <w:rsid w:val="2105B8E7"/>
    <w:rsid w:val="21C71742"/>
    <w:rsid w:val="230CB48E"/>
    <w:rsid w:val="26788116"/>
    <w:rsid w:val="2D82D7AF"/>
    <w:rsid w:val="3169AD0F"/>
    <w:rsid w:val="3251E61D"/>
    <w:rsid w:val="33AB50BE"/>
    <w:rsid w:val="352CDC95"/>
    <w:rsid w:val="3A3594BE"/>
    <w:rsid w:val="3A977CEC"/>
    <w:rsid w:val="3E2F307C"/>
    <w:rsid w:val="44E710C5"/>
    <w:rsid w:val="49484EAB"/>
    <w:rsid w:val="4C8B506E"/>
    <w:rsid w:val="53F93951"/>
    <w:rsid w:val="5B2BD6D7"/>
    <w:rsid w:val="64AE9A92"/>
    <w:rsid w:val="673CBF19"/>
    <w:rsid w:val="6F575A5F"/>
    <w:rsid w:val="73BAE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88E664"/>
  <w15:chartTrackingRefBased/>
  <w15:docId w15:val="{707E8844-3349-4DCB-9B41-A60B340D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76416"/>
    <w:pPr>
      <w:spacing w:after="240" w:line="240" w:lineRule="auto"/>
    </w:pPr>
    <w:rPr>
      <w:rFonts w:ascii="Arial" w:hAnsi="Arial"/>
      <w:color w:val="4D3733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896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48ED"/>
    <w:pPr>
      <w:outlineLvl w:val="1"/>
    </w:pPr>
    <w:rPr>
      <w:color w:val="01839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48ED"/>
    <w:pPr>
      <w:outlineLvl w:val="2"/>
    </w:pPr>
    <w:rPr>
      <w:color w:val="4D37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21B0"/>
    <w:pPr>
      <w:keepNext/>
      <w:keepLines/>
      <w:spacing w:before="120"/>
      <w:outlineLvl w:val="3"/>
    </w:pPr>
    <w:rPr>
      <w:rFonts w:ascii="Roboto Medium" w:eastAsiaTheme="majorEastAsia" w:hAnsi="Roboto Medium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96"/>
    <w:rPr>
      <w:rFonts w:ascii="Arial" w:eastAsiaTheme="majorEastAsia" w:hAnsi="Arial" w:cstheme="majorBidi"/>
      <w:b/>
      <w:color w:val="4D3733" w:themeColor="background1"/>
      <w:sz w:val="36"/>
      <w:szCs w:val="32"/>
    </w:rPr>
  </w:style>
  <w:style w:type="paragraph" w:styleId="NoSpacing">
    <w:name w:val="No Spacing"/>
    <w:link w:val="NoSpacingChar"/>
    <w:uiPriority w:val="1"/>
    <w:qFormat/>
    <w:rsid w:val="0033144D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690F"/>
    <w:pPr>
      <w:spacing w:after="0"/>
      <w:contextualSpacing/>
    </w:pPr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0F"/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paragraph" w:customStyle="1" w:styleId="Numberedlist">
    <w:name w:val="Numbered list"/>
    <w:basedOn w:val="ListParagraph"/>
    <w:link w:val="NumberedlistChar"/>
    <w:rsid w:val="00B3690F"/>
    <w:pPr>
      <w:numPr>
        <w:numId w:val="5"/>
      </w:numPr>
      <w:tabs>
        <w:tab w:val="num" w:pos="360"/>
      </w:tabs>
      <w:spacing w:before="60" w:after="60"/>
      <w:contextualSpacing w:val="0"/>
    </w:pPr>
  </w:style>
  <w:style w:type="character" w:styleId="Hyperlink">
    <w:name w:val="Hyperlink"/>
    <w:basedOn w:val="DefaultParagraphFont"/>
    <w:uiPriority w:val="99"/>
    <w:unhideWhenUsed/>
    <w:rsid w:val="00F7576F"/>
    <w:rPr>
      <w:color w:val="384F61" w:themeColor="hyperlink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6315B"/>
    <w:rPr>
      <w:rFonts w:ascii="Arial" w:hAnsi="Arial"/>
      <w:color w:val="4D3733"/>
      <w:sz w:val="20"/>
    </w:rPr>
  </w:style>
  <w:style w:type="character" w:customStyle="1" w:styleId="NumberedlistChar">
    <w:name w:val="Numbered list Char"/>
    <w:basedOn w:val="ListParagraphChar"/>
    <w:link w:val="Numberedlist"/>
    <w:rsid w:val="00B3690F"/>
    <w:rPr>
      <w:rFonts w:ascii="Arial" w:hAnsi="Arial"/>
      <w:color w:val="4D3733" w:themeColor="background1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31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ED"/>
    <w:rPr>
      <w:rFonts w:ascii="Roboto Medium" w:eastAsiaTheme="majorEastAsia" w:hAnsi="Roboto Medium" w:cstheme="majorBidi"/>
      <w:b/>
      <w:color w:val="01839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ED"/>
    <w:rPr>
      <w:rFonts w:ascii="Roboto Medium" w:eastAsiaTheme="majorEastAsia" w:hAnsi="Roboto Medium" w:cstheme="majorBidi"/>
      <w:b/>
      <w:color w:val="4D3733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21B0"/>
    <w:rPr>
      <w:rFonts w:ascii="Roboto Medium" w:eastAsiaTheme="majorEastAsia" w:hAnsi="Roboto Medium" w:cstheme="majorBidi"/>
      <w:b/>
      <w:i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018391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1FB"/>
    <w:rPr>
      <w:rFonts w:ascii="Arial" w:hAnsi="Arial"/>
      <w:color w:val="4D3733"/>
      <w:sz w:val="20"/>
    </w:rPr>
  </w:style>
  <w:style w:type="paragraph" w:styleId="Footer">
    <w:name w:val="footer"/>
    <w:basedOn w:val="Normal"/>
    <w:link w:val="Foot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1FB"/>
    <w:rPr>
      <w:rFonts w:ascii="Arial" w:hAnsi="Arial"/>
      <w:color w:val="4D3733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evel1">
    <w:name w:val="Outline Level 1"/>
    <w:basedOn w:val="ListParagraph"/>
    <w:link w:val="OutlineLevel1Char"/>
    <w:qFormat/>
    <w:rsid w:val="008C786A"/>
    <w:pPr>
      <w:numPr>
        <w:numId w:val="19"/>
      </w:numPr>
    </w:pPr>
  </w:style>
  <w:style w:type="paragraph" w:customStyle="1" w:styleId="OutlineLevel2">
    <w:name w:val="Outline Level 2"/>
    <w:basedOn w:val="ListParagraph"/>
    <w:link w:val="OutlineLevel2Char"/>
    <w:qFormat/>
    <w:rsid w:val="008C786A"/>
    <w:pPr>
      <w:numPr>
        <w:ilvl w:val="1"/>
        <w:numId w:val="20"/>
      </w:numPr>
    </w:pPr>
  </w:style>
  <w:style w:type="character" w:customStyle="1" w:styleId="OutlineLevel1Char">
    <w:name w:val="Outline Level 1 Char"/>
    <w:basedOn w:val="NumberedlistChar"/>
    <w:link w:val="OutlineLevel1"/>
    <w:rsid w:val="008C786A"/>
    <w:rPr>
      <w:rFonts w:ascii="Arial" w:hAnsi="Arial"/>
      <w:color w:val="4D3733" w:themeColor="background1"/>
      <w:sz w:val="20"/>
    </w:rPr>
  </w:style>
  <w:style w:type="paragraph" w:customStyle="1" w:styleId="OutlineLevel3">
    <w:name w:val="Outline Level 3"/>
    <w:basedOn w:val="ListParagraph"/>
    <w:link w:val="OutlineLevel3Char"/>
    <w:qFormat/>
    <w:rsid w:val="008C786A"/>
    <w:pPr>
      <w:numPr>
        <w:ilvl w:val="2"/>
        <w:numId w:val="19"/>
      </w:numPr>
    </w:pPr>
  </w:style>
  <w:style w:type="character" w:customStyle="1" w:styleId="OutlineLevel2Char">
    <w:name w:val="Outline Level 2 Char"/>
    <w:basedOn w:val="OutlineLevel1Char"/>
    <w:link w:val="OutlineLevel2"/>
    <w:rsid w:val="008C786A"/>
    <w:rPr>
      <w:rFonts w:ascii="Arial" w:hAnsi="Arial"/>
      <w:color w:val="4D3733" w:themeColor="background1"/>
      <w:sz w:val="20"/>
    </w:rPr>
  </w:style>
  <w:style w:type="paragraph" w:customStyle="1" w:styleId="TableText">
    <w:name w:val="Table Text"/>
    <w:basedOn w:val="Normal"/>
    <w:link w:val="TableTextChar"/>
    <w:qFormat/>
    <w:rsid w:val="00C12D77"/>
    <w:pPr>
      <w:spacing w:after="0"/>
    </w:pPr>
  </w:style>
  <w:style w:type="character" w:customStyle="1" w:styleId="OutlineLevel3Char">
    <w:name w:val="Outline Level 3 Char"/>
    <w:basedOn w:val="OutlineLevel2Char"/>
    <w:link w:val="OutlineLevel3"/>
    <w:rsid w:val="008C786A"/>
    <w:rPr>
      <w:rFonts w:ascii="Arial" w:hAnsi="Arial"/>
      <w:color w:val="4D3733" w:themeColor="background1"/>
      <w:sz w:val="20"/>
    </w:rPr>
  </w:style>
  <w:style w:type="character" w:customStyle="1" w:styleId="TableTextChar">
    <w:name w:val="Table Text Char"/>
    <w:basedOn w:val="DefaultParagraphFont"/>
    <w:link w:val="TableText"/>
    <w:rsid w:val="00C12D77"/>
    <w:rPr>
      <w:rFonts w:ascii="Arial" w:hAnsi="Arial"/>
      <w:color w:val="4D3733" w:themeColor="background1"/>
      <w:sz w:val="20"/>
    </w:rPr>
  </w:style>
  <w:style w:type="paragraph" w:customStyle="1" w:styleId="OutlineLevel4">
    <w:name w:val="Outline Level 4"/>
    <w:basedOn w:val="ListParagraph"/>
    <w:link w:val="OutlineLevel4Char"/>
    <w:qFormat/>
    <w:rsid w:val="008C786A"/>
    <w:pPr>
      <w:numPr>
        <w:ilvl w:val="3"/>
        <w:numId w:val="19"/>
      </w:numPr>
    </w:pPr>
  </w:style>
  <w:style w:type="character" w:customStyle="1" w:styleId="OutlineLevel4Char">
    <w:name w:val="Outline Level 4 Char"/>
    <w:basedOn w:val="OutlineLevel3Char"/>
    <w:link w:val="OutlineLevel4"/>
    <w:rsid w:val="008C786A"/>
    <w:rPr>
      <w:rFonts w:ascii="Arial" w:hAnsi="Arial"/>
      <w:color w:val="4D3733" w:themeColor="background1"/>
      <w:sz w:val="20"/>
    </w:rPr>
  </w:style>
  <w:style w:type="paragraph" w:customStyle="1" w:styleId="OutlineLevel5">
    <w:name w:val="Outline Level 5"/>
    <w:basedOn w:val="ListParagraph"/>
    <w:link w:val="OutlineLevel5Char"/>
    <w:qFormat/>
    <w:rsid w:val="008C786A"/>
    <w:pPr>
      <w:numPr>
        <w:ilvl w:val="4"/>
        <w:numId w:val="19"/>
      </w:numPr>
    </w:pPr>
  </w:style>
  <w:style w:type="character" w:customStyle="1" w:styleId="OutlineLevel5Char">
    <w:name w:val="Outline Level 5 Char"/>
    <w:basedOn w:val="OutlineLevel4Char"/>
    <w:link w:val="OutlineLevel5"/>
    <w:rsid w:val="008C786A"/>
    <w:rPr>
      <w:rFonts w:ascii="Arial" w:hAnsi="Arial"/>
      <w:color w:val="4D3733" w:themeColor="background1"/>
      <w:sz w:val="20"/>
    </w:rPr>
  </w:style>
  <w:style w:type="paragraph" w:customStyle="1" w:styleId="OutlineLevel6">
    <w:name w:val="Outline Level 6"/>
    <w:basedOn w:val="ListParagraph"/>
    <w:link w:val="OutlineLevel6Char"/>
    <w:qFormat/>
    <w:rsid w:val="008C786A"/>
    <w:pPr>
      <w:numPr>
        <w:ilvl w:val="5"/>
        <w:numId w:val="19"/>
      </w:numPr>
    </w:pPr>
  </w:style>
  <w:style w:type="character" w:customStyle="1" w:styleId="OutlineLevel6Char">
    <w:name w:val="Outline Level 6 Char"/>
    <w:basedOn w:val="OutlineLevel5Char"/>
    <w:link w:val="OutlineLevel6"/>
    <w:rsid w:val="008C786A"/>
    <w:rPr>
      <w:rFonts w:ascii="Arial" w:hAnsi="Arial"/>
      <w:color w:val="4D3733" w:themeColor="background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4"/>
    <w:rPr>
      <w:rFonts w:ascii="Segoe UI" w:hAnsi="Segoe UI" w:cs="Segoe UI"/>
      <w:color w:val="4D3733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51BF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B59B1"/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nvlpubs.nist.gov/nistpubs/SpecialPublications/NIST.SP.800-53r4.pdf" TargetMode="External"/><Relationship Id="rId26" Type="http://schemas.openxmlformats.org/officeDocument/2006/relationships/hyperlink" Target="https://www.tripwire.com/state-of-security/featured/applying-risk-management-framework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vlpubs.nist.gov/nistpubs/Legacy/SP/nistspecialpublication800-39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nvlpubs.nist.gov/nistpubs/Legacy/SP/nistspecialpublication800-137.pdf" TargetMode="External"/><Relationship Id="rId25" Type="http://schemas.openxmlformats.org/officeDocument/2006/relationships/hyperlink" Target="https://nvlpubs.nist.gov/nistpubs/Legacy/SP/nistspecialpublication800-60v1r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dse.edu/documents/student-guides/CS102-guide.pdf" TargetMode="External"/><Relationship Id="rId20" Type="http://schemas.openxmlformats.org/officeDocument/2006/relationships/hyperlink" Target="https://nvlpubs.nist.gov/nistpubs/Legacy/SP/nistspecialpublication800-39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computerweekly.com/tip/NIST-SP-800-30-standard-for-technical-risk-assessment-An-evaluation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nvlpubs.nist.gov/nistpubs/Legacy/SP/nistspecialpublication800-59.pdf" TargetMode="External"/><Relationship Id="rId23" Type="http://schemas.openxmlformats.org/officeDocument/2006/relationships/hyperlink" Target="https://nvlpubs.nist.gov/nistpubs/SpecialPublications/NIST.SP.800-70r4.pdf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nvlpubs.nist.gov/nistpubs/SpecialPublications/NIST.SP.800-53Ar4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nvlpubs.nist.gov/nistpubs/Legacy/SP/nistspecialpublication800-30r1.pdf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6B133A388342248AA1F86E25415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F8380-CE2C-4F92-AFD2-554C3191EA93}"/>
      </w:docPartPr>
      <w:docPartBody>
        <w:p w:rsidR="00902A27" w:rsidRDefault="005A79FC" w:rsidP="005A79FC">
          <w:pPr>
            <w:pStyle w:val="2E6B133A388342248AA1F86E254156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Medium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FC"/>
    <w:rsid w:val="005A79FC"/>
    <w:rsid w:val="0090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B133A388342248AA1F86E25415677">
    <w:name w:val="2E6B133A388342248AA1F86E25415677"/>
    <w:rsid w:val="005A79FC"/>
  </w:style>
  <w:style w:type="paragraph" w:customStyle="1" w:styleId="7DC127417B324D45A649DF3B45562747">
    <w:name w:val="7DC127417B324D45A649DF3B45562747"/>
    <w:rsid w:val="005A7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trospect">
  <a:themeElements>
    <a:clrScheme name="University of Phoenix">
      <a:dk1>
        <a:srgbClr val="DE3518"/>
      </a:dk1>
      <a:lt1>
        <a:srgbClr val="4D3733"/>
      </a:lt1>
      <a:dk2>
        <a:srgbClr val="018391"/>
      </a:dk2>
      <a:lt2>
        <a:srgbClr val="405E71"/>
      </a:lt2>
      <a:accent1>
        <a:srgbClr val="4F4F4F"/>
      </a:accent1>
      <a:accent2>
        <a:srgbClr val="808080"/>
      </a:accent2>
      <a:accent3>
        <a:srgbClr val="C0C0C0"/>
      </a:accent3>
      <a:accent4>
        <a:srgbClr val="E0E0E0"/>
      </a:accent4>
      <a:accent5>
        <a:srgbClr val="EDEDED"/>
      </a:accent5>
      <a:accent6>
        <a:srgbClr val="EEE9E3"/>
      </a:accent6>
      <a:hlink>
        <a:srgbClr val="384F61"/>
      </a:hlink>
      <a:folHlink>
        <a:srgbClr val="018391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2020-07-13T00:00:00</PublishDate>
  <Abstract/>
  <CompanyAddress>CYB407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4" ma:contentTypeDescription="Create a new document." ma:contentTypeScope="" ma:versionID="9f734e04b54d1df1567c6874c3e5a03a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7831d41ccdf721a0362f5e711957938a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  <SharedWithUsers xmlns="b06b1bca-4aad-41ab-bd2f-6e8d6f0c1215">
      <UserInfo>
        <DisplayName>Larisa Thompson</DisplayName>
        <AccountId>3221</AccountId>
        <AccountType/>
      </UserInfo>
      <UserInfo>
        <DisplayName>Austin de Rossi</DisplayName>
        <AccountId>145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6D10E-29E0-4A72-A2CD-E776C76582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6F778B-57B3-487E-BFA1-5EC282AF4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9A0553-DB03-4ACA-868F-95E0E20C7CDD}">
  <ds:schemaRefs>
    <ds:schemaRef ds:uri="http://schemas.microsoft.com/office/2006/metadata/properties"/>
    <ds:schemaRef ds:uri="http://schemas.microsoft.com/office/infopath/2007/PartnerControls"/>
    <ds:schemaRef ds:uri="c3da832f-3ecf-443d-91e7-99457f1877f8"/>
    <ds:schemaRef ds:uri="b06b1bca-4aad-41ab-bd2f-6e8d6f0c12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Framework</vt:lpstr>
    </vt:vector>
  </TitlesOfParts>
  <Company>Shane Ẽire Byrne</Company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Framework</dc:title>
  <dc:subject/>
  <dc:creator>University of Phoenix</dc:creator>
  <cp:keywords/>
  <dc:description/>
  <cp:lastModifiedBy>shane byrne</cp:lastModifiedBy>
  <cp:revision>13</cp:revision>
  <dcterms:created xsi:type="dcterms:W3CDTF">2020-07-12T19:59:00Z</dcterms:created>
  <dcterms:modified xsi:type="dcterms:W3CDTF">2020-07-13T22:35:00Z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  <property fmtid="{D5CDD505-2E9C-101B-9397-08002B2CF9AE}" pid="3" name="AuthorIds_UIVersion_16384">
    <vt:lpwstr>64</vt:lpwstr>
  </property>
</Properties>
</file>