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A34A" w:val="clear"/>
        <w:spacing w:before="0" w:after="200"/>
      </w:pPr>
      <w:r>
        <w:rPr>
          <w:rFonts w:ascii="Arial" w:cs="Arial" w:eastAsia="Arial" w:hAnsi="Arial"/>
          <w:b/>
          <w:bCs/>
          <w:color w:val="FFFFFF"/>
          <w:sz w:val="36"/>
          <w:szCs w:val="36"/>
        </w:rPr>
        <w:t xml:space="preserve">MODULE 3.3 — TIME TO FIRST VALUE</w:t>
      </w:r>
    </w:p>
    <w:p>
      <w:pPr>
        <w:spacing w:before="0" w:after="80"/>
      </w:pPr>
      <w:r>
        <w:rPr>
          <w:rFonts w:ascii="Arial" w:cs="Arial" w:eastAsia="Arial" w:hAnsi="Arial"/>
          <w:b/>
          <w:bCs/>
          <w:color w:val="4A5568"/>
          <w:sz w:val="24"/>
          <w:szCs w:val="24"/>
        </w:rPr>
        <w:t xml:space="preserve">VIDEO PRODUCTION SCRIPT</w:t>
      </w:r>
    </w:p>
    <w:p>
      <w:pPr>
        <w:spacing w:before="0" w:after="320"/>
      </w:pPr>
      <w:r>
        <w:rPr>
          <w:rFonts w:ascii="Arial" w:cs="Arial" w:eastAsia="Arial" w:hAnsi="Arial"/>
          <w:color w:val="4A5568"/>
          <w:sz w:val="20"/>
          <w:szCs w:val="20"/>
        </w:rPr>
        <w:t xml:space="preserve">CSM Training Program Phase 1 — Week 3 | CCO2go.ai · PHASE 1 FINAL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3.3 — Time to First Value (Phase 1 Final)</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Week 3 — Knowing When to Act</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R. Shane James, CCO2go.ai</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9–12 minutes (Narration: ~1,550 words)</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#22C55E (Green — growth and achievement)</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Note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1 FINALE — includes program close and Phase 2 bridge</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pPr>
        <w:spacing w:before="60" w:after="60"/>
      </w:pPr>
      <w:r>
        <w:t xml:space="preserve"/>
      </w:r>
    </w:p>
    <w:p>
      <w:pPr>
        <w:spacing w:before="60" w:after="60"/>
      </w:pPr>
      <w:r>
        <w:t xml:space="preserve"/>
      </w:r>
    </w:p>
    <w:p>
      <w:pPr>
        <w:pageBreakBefore/>
      </w:pPr>
      <w:r>
        <w:t xml:space="preserve"/>
      </w:r>
    </w:p>
    <w:p>
      <w:pPr>
        <w:shd w:fill="0F1F4B" w:val="clear"/>
        <w:spacing w:before="240" w:after="120"/>
      </w:pPr>
      <w:r>
        <w:rPr>
          <w:rFonts w:ascii="Arial" w:cs="Arial" w:eastAsia="Arial" w:hAnsi="Arial"/>
          <w:b/>
          <w:bCs/>
          <w:color w:val="FFFFFF"/>
          <w:sz w:val="24"/>
          <w:szCs w:val="24"/>
        </w:rPr>
        <w:t xml:space="preserve">SEGMENT 1 — COLD OPEN: 'The Moment Everything Changes'</w:t>
      </w:r>
    </w:p>
    <w:p>
      <w:pPr>
        <w:spacing w:before="120" w:after="60"/>
      </w:pPr>
      <w:r>
        <w:rPr>
          <w:rFonts w:ascii="Courier New" w:cs="Courier New" w:eastAsia="Courier New" w:hAnsi="Courier New"/>
          <w:b/>
          <w:bCs/>
          <w:color w:val="F4A000"/>
          <w:sz w:val="22"/>
          <w:szCs w:val="22"/>
        </w:rPr>
        <w:t xml:space="preserve">00:00 – 00:55</w:t>
      </w:r>
    </w:p>
    <w:p>
      <w:pPr>
        <w:spacing w:before="80" w:after="80"/>
        <w:ind w:left="360"/>
      </w:pPr>
      <w:r>
        <w:rPr>
          <w:rFonts w:ascii="Arial" w:cs="Arial" w:eastAsia="Arial" w:hAnsi="Arial"/>
          <w:i/>
          <w:iCs/>
          <w:color w:val="6B46C1"/>
          <w:sz w:val="20"/>
          <w:szCs w:val="20"/>
        </w:rPr>
        <w:t xml:space="preserve">[DIRECTION: Shane on camera. Warmer than most opens — this is the finale, and there's an element of arrival. But still direct and data-driven.]</w:t>
      </w:r>
    </w:p>
    <w:p>
      <w:pPr>
        <w:spacing w:before="60" w:after="60"/>
      </w:pPr>
      <w:r>
        <w:t xml:space="preserve"/>
      </w:r>
    </w:p>
    <w:p>
      <w:pPr>
        <w:spacing w:before="100" w:after="100"/>
        <w:ind w:left="720"/>
      </w:pPr>
      <w:r>
        <w:rPr>
          <w:rFonts w:ascii="Georgia" w:cs="Georgia" w:eastAsia="Georgia" w:hAnsi="Georgia"/>
          <w:color w:val="1A1A2E"/>
          <w:sz w:val="22"/>
          <w:szCs w:val="22"/>
        </w:rPr>
        <w:t xml:space="preserve">I want to tell you about a specific moment in the customer relationship. It's not the kickoff call. It's not the business review. It's not the renewal conversation.</w:t>
      </w:r>
    </w:p>
    <w:p>
      <w:pPr>
        <w:spacing w:before="100" w:after="100"/>
        <w:ind w:left="720"/>
      </w:pPr>
      <w:r>
        <w:rPr>
          <w:rFonts w:ascii="Georgia" w:cs="Georgia" w:eastAsia="Georgia" w:hAnsi="Georgia"/>
          <w:color w:val="1A1A2E"/>
          <w:sz w:val="22"/>
          <w:szCs w:val="22"/>
        </w:rPr>
        <w:t xml:space="preserve">It's the moment — usually quiet, usually without fanfare — when the customer actually feels the product working for them. When they're in a real workflow, solving a real problem they had before, and the friction is gone. The thing that used to take two hours takes twenty minutes. The report that required three people now runs automatically. The alert fires before the problem becomes a crisis.</w:t>
      </w:r>
    </w:p>
    <w:p>
      <w:pPr>
        <w:spacing w:before="100" w:after="100"/>
        <w:ind w:left="720"/>
      </w:pPr>
      <w:r>
        <w:rPr>
          <w:rFonts w:ascii="Georgia" w:cs="Georgia" w:eastAsia="Georgia" w:hAnsi="Georgia"/>
          <w:color w:val="1A1A2E"/>
          <w:sz w:val="22"/>
          <w:szCs w:val="22"/>
        </w:rPr>
        <w:t xml:space="preserve">That moment is called Time to First Value. And it is, without exaggeration, the single most predictive event in the entire customer relationship.</w:t>
      </w:r>
    </w:p>
    <w:p>
      <w:pPr>
        <w:spacing w:before="100" w:after="100"/>
        <w:ind w:left="720"/>
      </w:pPr>
      <w:r>
        <w:rPr>
          <w:rFonts w:ascii="Georgia" w:cs="Georgia" w:eastAsia="Georgia" w:hAnsi="Georgia"/>
          <w:color w:val="1A1A2E"/>
          <w:sz w:val="22"/>
          <w:szCs w:val="22"/>
        </w:rPr>
        <w:t xml:space="preserve">Accounts where Time to First Value happens quickly are dramatically more likely to expand, renew, and refer. Accounts where it's delayed — or where it never clearly happens at all — are the ones that drift toward churn while the CSM is still optimizing their onboarding checklist.</w:t>
      </w:r>
    </w:p>
    <w:p>
      <w:pPr>
        <w:spacing w:before="100" w:after="100"/>
        <w:ind w:left="720"/>
      </w:pPr>
      <w:r>
        <w:rPr>
          <w:rFonts w:ascii="Georgia" w:cs="Georgia" w:eastAsia="Georgia" w:hAnsi="Georgia"/>
          <w:color w:val="1A1A2E"/>
          <w:sz w:val="22"/>
          <w:szCs w:val="22"/>
        </w:rPr>
        <w:t xml:space="preserve">I'm Shane James. This is the final module of Phase 1. And I want to end where every customer journey actually begins: with the question of whether the customer is experiencing any value at all.</w:t>
      </w:r>
    </w:p>
    <w:p>
      <w:pPr>
        <w:pBdr>
          <w:left w:val="single" w:color="00A896" w:sz="12"/>
        </w:pBdr>
        <w:spacing w:before="80" w:after="80"/>
        <w:ind w:left="360"/>
      </w:pPr>
      <w:r>
        <w:rPr>
          <w:rFonts w:ascii="Arial" w:cs="Arial" w:eastAsia="Arial" w:hAnsi="Arial"/>
          <w:color w:val="00A896"/>
          <w:sz w:val="20"/>
          <w:szCs w:val="20"/>
        </w:rPr>
        <w:t xml:space="preserve">ON SCREEN: MODULE 3.3: Time to First Value</w:t>
      </w:r>
    </w:p>
    <w:p>
      <w:pPr>
        <w:pBdr>
          <w:left w:val="single" w:color="00A896" w:sz="12"/>
        </w:pBdr>
        <w:spacing w:before="80" w:after="80"/>
        <w:ind w:left="360"/>
      </w:pPr>
      <w:r>
        <w:rPr>
          <w:rFonts w:ascii="Arial" w:cs="Arial" w:eastAsia="Arial" w:hAnsi="Arial"/>
          <w:color w:val="00A896"/>
          <w:sz w:val="20"/>
          <w:szCs w:val="20"/>
        </w:rPr>
        <w:t xml:space="preserve">ON SCREEN: Phase 1 Final Module — Week 3</w:t>
      </w:r>
    </w:p>
    <w:p>
      <w:pPr>
        <w:pBdr>
          <w:bottom w:val="single" w:color="CCCCCC" w:sz="4"/>
        </w:pBdr>
        <w:spacing w:before="160" w:after="160"/>
      </w:pPr>
      <w:r>
        <w:t xml:space="preserve"/>
      </w:r>
    </w:p>
    <w:p>
      <w:pPr>
        <w:pageBreakBefore/>
      </w:pPr>
      <w:r>
        <w:t xml:space="preserve"/>
      </w:r>
    </w:p>
    <w:p>
      <w:pPr>
        <w:shd w:fill="4A5568" w:val="clear"/>
        <w:spacing w:before="240" w:after="120"/>
      </w:pPr>
      <w:r>
        <w:rPr>
          <w:rFonts w:ascii="Arial" w:cs="Arial" w:eastAsia="Arial" w:hAnsi="Arial"/>
          <w:b/>
          <w:bCs/>
          <w:color w:val="FFFFFF"/>
          <w:sz w:val="24"/>
          <w:szCs w:val="24"/>
        </w:rPr>
        <w:t xml:space="preserve">SEGMENT 2 — WHAT T2FV IS AND WHY IT PREDICTS EVERYTHING</w:t>
      </w:r>
    </w:p>
    <w:p>
      <w:pPr>
        <w:spacing w:before="120" w:after="60"/>
      </w:pPr>
      <w:r>
        <w:rPr>
          <w:rFonts w:ascii="Courier New" w:cs="Courier New" w:eastAsia="Courier New" w:hAnsi="Courier New"/>
          <w:b/>
          <w:bCs/>
          <w:color w:val="F4A000"/>
          <w:sz w:val="22"/>
          <w:szCs w:val="22"/>
        </w:rPr>
        <w:t xml:space="preserve">00:55 – 02:45</w:t>
      </w:r>
    </w:p>
    <w:p>
      <w:pPr>
        <w:spacing w:before="80" w:after="80"/>
        <w:ind w:left="360"/>
      </w:pPr>
      <w:r>
        <w:rPr>
          <w:rFonts w:ascii="Arial" w:cs="Arial" w:eastAsia="Arial" w:hAnsi="Arial"/>
          <w:i/>
          <w:iCs/>
          <w:color w:val="6B46C1"/>
          <w:sz w:val="20"/>
          <w:szCs w:val="20"/>
        </w:rPr>
        <w:t xml:space="preserve">[DIRECTION: Define clearly, then connect to the business outcomes. This is the conceptual foundation before the benchmarks.]</w:t>
      </w:r>
    </w:p>
    <w:p>
      <w:pPr>
        <w:spacing w:before="60" w:after="60"/>
      </w:pPr>
      <w:r>
        <w:t xml:space="preserve"/>
      </w:r>
    </w:p>
    <w:p>
      <w:pPr>
        <w:spacing w:before="100" w:after="100"/>
        <w:ind w:left="720"/>
      </w:pPr>
      <w:r>
        <w:rPr>
          <w:rFonts w:ascii="Georgia" w:cs="Georgia" w:eastAsia="Georgia" w:hAnsi="Georgia"/>
          <w:color w:val="1A1A2E"/>
          <w:sz w:val="22"/>
          <w:szCs w:val="22"/>
        </w:rPr>
        <w:t xml:space="preserve">Time to First Value — T2FV — is the elapsed time between a customer going live and the customer experiencing a meaningful, job-relevant outcome using your product. Not logging in. Not completing onboarding. Not submitting their first support ticket. The actual experience of value.</w:t>
      </w:r>
    </w:p>
    <w:p>
      <w:pPr>
        <w:spacing w:before="100" w:after="100"/>
        <w:ind w:left="720"/>
      </w:pPr>
      <w:r>
        <w:rPr>
          <w:rFonts w:ascii="Georgia" w:cs="Georgia" w:eastAsia="Georgia" w:hAnsi="Georgia"/>
          <w:color w:val="1A1A2E"/>
          <w:sz w:val="22"/>
          <w:szCs w:val="22"/>
        </w:rPr>
        <w:t xml:space="preserve">This distinction matters because most CS metrics track activity, not experience. A customer can complete your entire onboarding flow — watch every tutorial, fill out every setup form, attend every training session — and still not have experienced the product solving their actual problem.</w:t>
      </w:r>
    </w:p>
    <w:p>
      <w:pPr>
        <w:spacing w:before="100" w:after="100"/>
        <w:ind w:left="720"/>
      </w:pPr>
      <w:r>
        <w:rPr>
          <w:rFonts w:ascii="Georgia" w:cs="Georgia" w:eastAsia="Georgia" w:hAnsi="Georgia"/>
          <w:color w:val="1A1A2E"/>
          <w:sz w:val="22"/>
          <w:szCs w:val="22"/>
        </w:rPr>
        <w:t xml:space="preserve">When that happens, onboarding is complete and value is zero. That's the gap T2FV measures.</w:t>
      </w:r>
    </w:p>
    <w:p>
      <w:pPr>
        <w:spacing w:before="100" w:after="100"/>
        <w:ind w:left="720"/>
      </w:pPr>
      <w:r>
        <w:rPr>
          <w:rFonts w:ascii="Georgia" w:cs="Georgia" w:eastAsia="Georgia" w:hAnsi="Georgia"/>
          <w:color w:val="1A1A2E"/>
          <w:sz w:val="22"/>
          <w:szCs w:val="22"/>
        </w:rPr>
        <w:t xml:space="preserve">Why does it predict renewal? Because customer memory is anchored to early experience. A customer who experienced value in week one carries that emotional anchor through their entire contract. When renewal arrives, they remember that the product worked — and they remember when it started working. A customer who spent months in implementation and still isn't sure it works doesn't have that anchor. They're evaluating from a position of uncertainty.</w:t>
      </w:r>
    </w:p>
    <w:p>
      <w:pPr>
        <w:spacing w:before="100" w:after="100"/>
        <w:ind w:left="720"/>
      </w:pPr>
      <w:r>
        <w:rPr>
          <w:rFonts w:ascii="Georgia" w:cs="Georgia" w:eastAsia="Georgia" w:hAnsi="Georgia"/>
          <w:color w:val="1A1A2E"/>
          <w:sz w:val="22"/>
          <w:szCs w:val="22"/>
        </w:rPr>
        <w:t xml:space="preserve">The research on this is consistent. Fast T2FV correlates directly with higher NPS, higher expansion rates, and significantly higher renewal rates. Slow T2FV correlates with early churn indicators, lower adoption, and higher support volume in months two through six.</w:t>
      </w:r>
    </w:p>
    <w:p>
      <w:pPr>
        <w:spacing w:before="100" w:after="100"/>
        <w:ind w:left="720"/>
      </w:pPr>
      <w:r>
        <w:rPr>
          <w:rFonts w:ascii="Georgia" w:cs="Georgia" w:eastAsia="Georgia" w:hAnsi="Georgia"/>
          <w:color w:val="1A1A2E"/>
          <w:sz w:val="22"/>
          <w:szCs w:val="22"/>
        </w:rPr>
        <w:t xml:space="preserve">And here's the critical insight: T2FV is not determined by the product alone. The customer's path to first value runs through your onboarding design, your discovery quality, your ability to identify which use case matters most to them and get them there first.</w:t>
      </w:r>
    </w:p>
    <w:p>
      <w:pPr>
        <w:pBdr>
          <w:left w:val="single" w:color="00A896" w:sz="12"/>
        </w:pBdr>
        <w:spacing w:before="80" w:after="80"/>
        <w:ind w:left="360"/>
      </w:pPr>
      <w:r>
        <w:rPr>
          <w:rFonts w:ascii="Arial" w:cs="Arial" w:eastAsia="Arial" w:hAnsi="Arial"/>
          <w:color w:val="00A896"/>
          <w:sz w:val="20"/>
          <w:szCs w:val="20"/>
        </w:rPr>
        <w:t xml:space="preserve">ON SCREEN: T2FV = time from go-live to customer's first meaningful, job-relevant outcome</w:t>
      </w:r>
    </w:p>
    <w:p>
      <w:pPr>
        <w:pBdr>
          <w:left w:val="single" w:color="00A896" w:sz="12"/>
        </w:pBdr>
        <w:spacing w:before="80" w:after="80"/>
        <w:ind w:left="360"/>
      </w:pPr>
      <w:r>
        <w:rPr>
          <w:rFonts w:ascii="Arial" w:cs="Arial" w:eastAsia="Arial" w:hAnsi="Arial"/>
          <w:color w:val="00A896"/>
          <w:sz w:val="20"/>
          <w:szCs w:val="20"/>
        </w:rPr>
        <w:t xml:space="preserve">ON SCREEN: Not login. Not onboarding completion. Actual value experienced.</w:t>
      </w:r>
    </w:p>
    <w:p>
      <w:pPr>
        <w:pBdr>
          <w:left w:val="single" w:color="00A896" w:sz="12"/>
        </w:pBdr>
        <w:spacing w:before="80" w:after="80"/>
        <w:ind w:left="360"/>
      </w:pPr>
      <w:r>
        <w:rPr>
          <w:rFonts w:ascii="Arial" w:cs="Arial" w:eastAsia="Arial" w:hAnsi="Arial"/>
          <w:color w:val="00A896"/>
          <w:sz w:val="20"/>
          <w:szCs w:val="20"/>
        </w:rPr>
        <w:t xml:space="preserve">ON SCREEN: Fast T2FV → higher NPS, higher expansion, higher renewal</w:t>
      </w:r>
    </w:p>
    <w:p>
      <w:pPr>
        <w:pBdr>
          <w:left w:val="single" w:color="00A896" w:sz="12"/>
        </w:pBdr>
        <w:spacing w:before="80" w:after="80"/>
        <w:ind w:left="360"/>
      </w:pPr>
      <w:r>
        <w:rPr>
          <w:rFonts w:ascii="Arial" w:cs="Arial" w:eastAsia="Arial" w:hAnsi="Arial"/>
          <w:color w:val="00A896"/>
          <w:sz w:val="20"/>
          <w:szCs w:val="20"/>
        </w:rPr>
        <w:t xml:space="preserve">ON SCREEN: Slow T2FV → early churn signals, lower adoption, higher support volume in months 2–6</w:t>
      </w:r>
    </w:p>
    <w:p>
      <w:pPr>
        <w:pBdr>
          <w:bottom w:val="single" w:color="CCCCCC" w:sz="4"/>
        </w:pBdr>
        <w:spacing w:before="160" w:after="160"/>
      </w:pPr>
      <w:r>
        <w:t xml:space="preserve"/>
      </w:r>
    </w:p>
    <w:p>
      <w:pPr>
        <w:pageBreakBefore/>
      </w:pPr>
      <w:r>
        <w:t xml:space="preserve"/>
      </w:r>
    </w:p>
    <w:p>
      <w:pPr>
        <w:shd w:fill="16A34A" w:val="clear"/>
        <w:spacing w:before="240" w:after="120"/>
      </w:pPr>
      <w:r>
        <w:rPr>
          <w:rFonts w:ascii="Arial" w:cs="Arial" w:eastAsia="Arial" w:hAnsi="Arial"/>
          <w:b/>
          <w:bCs/>
          <w:color w:val="FFFFFF"/>
          <w:sz w:val="24"/>
          <w:szCs w:val="24"/>
        </w:rPr>
        <w:t xml:space="preserve">SEGMENT 3 — T2FV BENCHMARKS BY SEGMENT</w:t>
      </w:r>
    </w:p>
    <w:p>
      <w:pPr>
        <w:spacing w:before="120" w:after="60"/>
      </w:pPr>
      <w:r>
        <w:rPr>
          <w:rFonts w:ascii="Courier New" w:cs="Courier New" w:eastAsia="Courier New" w:hAnsi="Courier New"/>
          <w:b/>
          <w:bCs/>
          <w:color w:val="F4A000"/>
          <w:sz w:val="22"/>
          <w:szCs w:val="22"/>
        </w:rPr>
        <w:t xml:space="preserve">02:45 – 04:45</w:t>
      </w:r>
    </w:p>
    <w:p>
      <w:pPr>
        <w:spacing w:before="80" w:after="80"/>
        <w:ind w:left="360"/>
      </w:pPr>
      <w:r>
        <w:rPr>
          <w:rFonts w:ascii="Arial" w:cs="Arial" w:eastAsia="Arial" w:hAnsi="Arial"/>
          <w:i/>
          <w:iCs/>
          <w:color w:val="6B46C1"/>
          <w:sz w:val="20"/>
          <w:szCs w:val="20"/>
        </w:rPr>
        <w:t xml:space="preserve">[DIRECTION: This is the data segment. Concrete benchmarks. CSMs should be comparing these against their own accounts right now.]</w:t>
      </w:r>
    </w:p>
    <w:p>
      <w:pPr>
        <w:spacing w:before="60" w:after="60"/>
      </w:pPr>
      <w:r>
        <w:t xml:space="preserve"/>
      </w:r>
    </w:p>
    <w:p>
      <w:pPr>
        <w:spacing w:before="100" w:after="100"/>
        <w:ind w:left="720"/>
      </w:pPr>
      <w:r>
        <w:rPr>
          <w:rFonts w:ascii="Georgia" w:cs="Georgia" w:eastAsia="Georgia" w:hAnsi="Georgia"/>
          <w:color w:val="1A1A2E"/>
          <w:sz w:val="22"/>
          <w:szCs w:val="22"/>
        </w:rPr>
        <w:t xml:space="preserve">Here are the T2FV benchmarks you should be working against, broken out by company segment.</w:t>
      </w:r>
    </w:p>
    <w:p>
      <w:pPr>
        <w:spacing w:before="100" w:after="100"/>
        <w:ind w:left="720"/>
      </w:pPr>
      <w:r>
        <w:rPr>
          <w:rFonts w:ascii="Georgia" w:cs="Georgia" w:eastAsia="Georgia" w:hAnsi="Georgia"/>
          <w:color w:val="1A1A2E"/>
          <w:sz w:val="22"/>
          <w:szCs w:val="22"/>
        </w:rPr>
        <w:t xml:space="preserve">For SMB customers — companies with fewer than 100 employees, typically lower-complexity implementations — the target is one to three business days. That means within the first week, a small business customer should be able to point to something the product did for them. If you're reaching day five and the customer is still in setup mode, you have a T2FV problem.</w:t>
      </w:r>
    </w:p>
    <w:p>
      <w:pPr>
        <w:spacing w:before="100" w:after="100"/>
        <w:ind w:left="720"/>
      </w:pPr>
      <w:r>
        <w:rPr>
          <w:rFonts w:ascii="Georgia" w:cs="Georgia" w:eastAsia="Georgia" w:hAnsi="Georgia"/>
          <w:color w:val="1A1A2E"/>
          <w:sz w:val="22"/>
          <w:szCs w:val="22"/>
        </w:rPr>
        <w:t xml:space="preserve">For Mid-Market customers — companies in the 100 to 1,000 employee range, with more complex workflows and more stakeholders involved in implementation — the target is seven to fourteen days. Within two weeks of go-live, there should be at least one clear value moment documented and shared with the customer.</w:t>
      </w:r>
    </w:p>
    <w:p>
      <w:pPr>
        <w:spacing w:before="100" w:after="100"/>
        <w:ind w:left="720"/>
      </w:pPr>
      <w:r>
        <w:rPr>
          <w:rFonts w:ascii="Georgia" w:cs="Georgia" w:eastAsia="Georgia" w:hAnsi="Georgia"/>
          <w:color w:val="1A1A2E"/>
          <w:sz w:val="22"/>
          <w:szCs w:val="22"/>
        </w:rPr>
        <w:t xml:space="preserve">For Enterprise customers — large organizations with lengthy procurement cycles, complex technical environments, and multiple teams involved in deployment — the target is 21 to 45 days. Enterprise T2FV takes longer because the path to first value runs through more dependencies. But 45 days is the ceiling, not a comfortable average.</w:t>
      </w:r>
    </w:p>
    <w:p>
      <w:pPr>
        <w:spacing w:before="100" w:after="100"/>
        <w:ind w:left="720"/>
      </w:pPr>
      <w:r>
        <w:rPr>
          <w:rFonts w:ascii="Georgia" w:cs="Georgia" w:eastAsia="Georgia" w:hAnsi="Georgia"/>
          <w:color w:val="1A1A2E"/>
          <w:sz w:val="22"/>
          <w:szCs w:val="22"/>
        </w:rPr>
        <w:t xml:space="preserve">These benchmarks matter because they give you a signal. If your SMB account is at day ten and there's no documented value moment, that's not a routine implementation pace — that's a flag that something is blocking value and you need to find it today.</w:t>
      </w:r>
    </w:p>
    <w:p>
      <w:pPr>
        <w:spacing w:before="100" w:after="100"/>
        <w:ind w:left="720"/>
      </w:pPr>
      <w:r>
        <w:rPr>
          <w:rFonts w:ascii="Georgia" w:cs="Georgia" w:eastAsia="Georgia" w:hAnsi="Georgia"/>
          <w:color w:val="1A1A2E"/>
          <w:sz w:val="22"/>
          <w:szCs w:val="22"/>
        </w:rPr>
        <w:t xml:space="preserve">One important note: T2FV isn't the same as full adoption. First value is a moment. Full adoption is a journey. You need the moment first — it creates the emotional proof point that makes the journey worth taking. Without it, you're trying to build adoption on a foundation of faith rather than experience.</w:t>
      </w:r>
    </w:p>
    <w:p>
      <w:pPr>
        <w:pBdr>
          <w:left w:val="single" w:color="00A896" w:sz="12"/>
        </w:pBdr>
        <w:spacing w:before="80" w:after="80"/>
        <w:ind w:left="360"/>
      </w:pPr>
      <w:r>
        <w:rPr>
          <w:rFonts w:ascii="Arial" w:cs="Arial" w:eastAsia="Arial" w:hAnsi="Arial"/>
          <w:color w:val="00A896"/>
          <w:sz w:val="20"/>
          <w:szCs w:val="20"/>
        </w:rPr>
        <w:t xml:space="preserve">ON SCREEN: T2FV BENCHMARKS</w:t>
      </w:r>
    </w:p>
    <w:p>
      <w:pPr>
        <w:pBdr>
          <w:left w:val="single" w:color="00A896" w:sz="12"/>
        </w:pBdr>
        <w:spacing w:before="80" w:after="80"/>
        <w:ind w:left="360"/>
      </w:pPr>
      <w:r>
        <w:rPr>
          <w:rFonts w:ascii="Arial" w:cs="Arial" w:eastAsia="Arial" w:hAnsi="Arial"/>
          <w:color w:val="00A896"/>
          <w:sz w:val="20"/>
          <w:szCs w:val="20"/>
        </w:rPr>
        <w:t xml:space="preserve">ON SCREEN: SMB (&lt; 100 employees): Target 1–3 business days</w:t>
      </w:r>
    </w:p>
    <w:p>
      <w:pPr>
        <w:pBdr>
          <w:left w:val="single" w:color="00A896" w:sz="12"/>
        </w:pBdr>
        <w:spacing w:before="80" w:after="80"/>
        <w:ind w:left="360"/>
      </w:pPr>
      <w:r>
        <w:rPr>
          <w:rFonts w:ascii="Arial" w:cs="Arial" w:eastAsia="Arial" w:hAnsi="Arial"/>
          <w:color w:val="00A896"/>
          <w:sz w:val="20"/>
          <w:szCs w:val="20"/>
        </w:rPr>
        <w:t xml:space="preserve">ON SCREEN: Mid-Market (100–1,000 employees): Target 7–14 days</w:t>
      </w:r>
    </w:p>
    <w:p>
      <w:pPr>
        <w:pBdr>
          <w:left w:val="single" w:color="00A896" w:sz="12"/>
        </w:pBdr>
        <w:spacing w:before="80" w:after="80"/>
        <w:ind w:left="360"/>
      </w:pPr>
      <w:r>
        <w:rPr>
          <w:rFonts w:ascii="Arial" w:cs="Arial" w:eastAsia="Arial" w:hAnsi="Arial"/>
          <w:color w:val="00A896"/>
          <w:sz w:val="20"/>
          <w:szCs w:val="20"/>
        </w:rPr>
        <w:t xml:space="preserve">ON SCREEN: Enterprise (1,000+ employees): Target 21–45 days</w:t>
      </w:r>
    </w:p>
    <w:p>
      <w:pPr>
        <w:pBdr>
          <w:left w:val="single" w:color="00A896" w:sz="12"/>
        </w:pBdr>
        <w:spacing w:before="80" w:after="80"/>
        <w:ind w:left="360"/>
      </w:pPr>
      <w:r>
        <w:rPr>
          <w:rFonts w:ascii="Arial" w:cs="Arial" w:eastAsia="Arial" w:hAnsi="Arial"/>
          <w:color w:val="00A896"/>
          <w:sz w:val="20"/>
          <w:szCs w:val="20"/>
        </w:rPr>
        <w:t xml:space="preserve">ON SCREEN: Benchmark exceeded → flag today. Don't wait.</w:t>
      </w:r>
    </w:p>
    <w:p>
      <w:pPr>
        <w:pBdr>
          <w:bottom w:val="single" w:color="CCCCCC" w:sz="4"/>
        </w:pBdr>
        <w:spacing w:before="160" w:after="160"/>
      </w:pPr>
      <w:r>
        <w:t xml:space="preserve"/>
      </w:r>
    </w:p>
    <w:p>
      <w:pPr>
        <w:pageBreakBefore/>
      </w:pPr>
      <w:r>
        <w:t xml:space="preserve"/>
      </w:r>
    </w:p>
    <w:p>
      <w:pPr>
        <w:shd w:fill="0F1F4B" w:val="clear"/>
        <w:spacing w:before="240" w:after="120"/>
      </w:pPr>
      <w:r>
        <w:rPr>
          <w:rFonts w:ascii="Arial" w:cs="Arial" w:eastAsia="Arial" w:hAnsi="Arial"/>
          <w:b/>
          <w:bCs/>
          <w:color w:val="FFFFFF"/>
          <w:sz w:val="24"/>
          <w:szCs w:val="24"/>
        </w:rPr>
        <w:t xml:space="preserve">SEGMENT 4 — THE ONBOARDING WATERFALL MODEL</w:t>
      </w:r>
    </w:p>
    <w:p>
      <w:pPr>
        <w:spacing w:before="120" w:after="60"/>
      </w:pPr>
      <w:r>
        <w:rPr>
          <w:rFonts w:ascii="Courier New" w:cs="Courier New" w:eastAsia="Courier New" w:hAnsi="Courier New"/>
          <w:b/>
          <w:bCs/>
          <w:color w:val="F4A000"/>
          <w:sz w:val="22"/>
          <w:szCs w:val="22"/>
        </w:rPr>
        <w:t xml:space="preserve">04:45 – 07:15</w:t>
      </w:r>
    </w:p>
    <w:p>
      <w:pPr>
        <w:spacing w:before="80" w:after="80"/>
        <w:ind w:left="360"/>
      </w:pPr>
      <w:r>
        <w:rPr>
          <w:rFonts w:ascii="Arial" w:cs="Arial" w:eastAsia="Arial" w:hAnsi="Arial"/>
          <w:i/>
          <w:iCs/>
          <w:color w:val="6B46C1"/>
          <w:sz w:val="20"/>
          <w:szCs w:val="20"/>
        </w:rPr>
        <w:t xml:space="preserve">[DIRECTION: Framework section. The waterfall model visualizes the path from handoff to value. Good graphic slide opportunity — flow diagram.]</w:t>
      </w:r>
    </w:p>
    <w:p>
      <w:pPr>
        <w:spacing w:before="60" w:after="60"/>
      </w:pPr>
      <w:r>
        <w:t xml:space="preserve"/>
      </w:r>
    </w:p>
    <w:p>
      <w:pPr>
        <w:spacing w:before="100" w:after="100"/>
        <w:ind w:left="720"/>
      </w:pPr>
      <w:r>
        <w:rPr>
          <w:rFonts w:ascii="Georgia" w:cs="Georgia" w:eastAsia="Georgia" w:hAnsi="Georgia"/>
          <w:color w:val="1A1A2E"/>
          <w:sz w:val="22"/>
          <w:szCs w:val="22"/>
        </w:rPr>
        <w:t xml:space="preserve">So how do you accelerate T2FV? The answer is architecture. Specifically, the Onboarding Waterfall Model — a sequential path that connects sales handoff to first value as directly as possible.</w:t>
      </w:r>
    </w:p>
    <w:p>
      <w:pPr>
        <w:spacing w:before="100" w:after="100"/>
        <w:ind w:left="720"/>
      </w:pPr>
      <w:r>
        <w:rPr>
          <w:rFonts w:ascii="Georgia" w:cs="Georgia" w:eastAsia="Georgia" w:hAnsi="Georgia"/>
          <w:color w:val="1A1A2E"/>
          <w:sz w:val="22"/>
          <w:szCs w:val="22"/>
        </w:rPr>
        <w:t xml:space="preserve">The waterfall has four stages. Each stage has to complete before the next one can deliver results. Skip a stage or rush it, and T2FV slows down because you've introduced a dependency gap.</w:t>
      </w:r>
    </w:p>
    <w:p>
      <w:pPr>
        <w:spacing w:before="100" w:after="100"/>
        <w:ind w:left="720"/>
      </w:pPr>
      <w:r>
        <w:rPr>
          <w:rFonts w:ascii="Georgia" w:cs="Georgia" w:eastAsia="Georgia" w:hAnsi="Georgia"/>
          <w:color w:val="1A1A2E"/>
          <w:sz w:val="22"/>
          <w:szCs w:val="22"/>
        </w:rPr>
        <w:t xml:space="preserve">Stage one: Handoff Clarity. This is where we've already done work in Module 2.1 — the five handoff questions, the transfer of success criteria, the documented promises made during the sale. The faster and more completely this stage completes, the faster every stage after it moves.</w:t>
      </w:r>
    </w:p>
    <w:p>
      <w:pPr>
        <w:spacing w:before="100" w:after="100"/>
        <w:ind w:left="720"/>
      </w:pPr>
      <w:r>
        <w:rPr>
          <w:rFonts w:ascii="Georgia" w:cs="Georgia" w:eastAsia="Georgia" w:hAnsi="Georgia"/>
          <w:color w:val="1A1A2E"/>
          <w:sz w:val="22"/>
          <w:szCs w:val="22"/>
        </w:rPr>
        <w:t xml:space="preserve">Stage two: Priority Use Case Identification. Not everything in your product is equally valuable to this customer. There is one workflow, one problem, one outcome that motivated the purchase more than anything else. Your job in the first week is to identify that priority use case with precision and orient your entire onboarding effort around getting the customer to first value through that specific workflow.</w:t>
      </w:r>
    </w:p>
    <w:p>
      <w:pPr>
        <w:spacing w:before="100" w:after="100"/>
        <w:ind w:left="720"/>
      </w:pPr>
      <w:r>
        <w:rPr>
          <w:rFonts w:ascii="Georgia" w:cs="Georgia" w:eastAsia="Georgia" w:hAnsi="Georgia"/>
          <w:color w:val="1A1A2E"/>
          <w:sz w:val="22"/>
          <w:szCs w:val="22"/>
        </w:rPr>
        <w:t xml:space="preserve">This is where most onboarding programs fail. They're designed to teach the product systematically — feature by feature, module by module — rather than to optimize for the customer's most important outcome first. A systematic product tour is valuable eventually. In week one, it's noise.</w:t>
      </w:r>
    </w:p>
    <w:p>
      <w:pPr>
        <w:spacing w:before="100" w:after="100"/>
        <w:ind w:left="720"/>
      </w:pPr>
      <w:r>
        <w:rPr>
          <w:rFonts w:ascii="Georgia" w:cs="Georgia" w:eastAsia="Georgia" w:hAnsi="Georgia"/>
          <w:color w:val="1A1A2E"/>
          <w:sz w:val="22"/>
          <w:szCs w:val="22"/>
        </w:rPr>
        <w:t xml:space="preserve">Stage three: First Value Event. This is the milestone you're engineering toward. A concrete, observable moment when the customer does the thing they bought the product to do — and it works. It doesn't have to be dramatic. It can be a report that automated something manual, a workflow that saved thirty minutes, an alert that caught something the old system would have missed. Document it. Name it. Share it with the customer immediately.</w:t>
      </w:r>
    </w:p>
    <w:p>
      <w:pPr>
        <w:spacing w:before="100" w:after="100"/>
        <w:ind w:left="720"/>
      </w:pPr>
      <w:r>
        <w:rPr>
          <w:rFonts w:ascii="Georgia" w:cs="Georgia" w:eastAsia="Georgia" w:hAnsi="Georgia"/>
          <w:color w:val="1A1A2E"/>
          <w:sz w:val="22"/>
          <w:szCs w:val="22"/>
        </w:rPr>
        <w:t xml:space="preserve">Stage four: Value Anchoring. This is the step most CSMs skip because it feels redundant. After the first value event, you explicitly connect what just happened to the customer's stated goal. You say: 'You told us in discovery that you needed to reduce manual reporting by 40%. What we just did together is directly in that path. Here's how we build from here.'</w:t>
      </w:r>
    </w:p>
    <w:p>
      <w:pPr>
        <w:spacing w:before="100" w:after="100"/>
        <w:ind w:left="720"/>
      </w:pPr>
      <w:r>
        <w:rPr>
          <w:rFonts w:ascii="Georgia" w:cs="Georgia" w:eastAsia="Georgia" w:hAnsi="Georgia"/>
          <w:color w:val="1A1A2E"/>
          <w:sz w:val="22"/>
          <w:szCs w:val="22"/>
        </w:rPr>
        <w:t xml:space="preserve">Without value anchoring, the customer experiences the moment but doesn't process it as progress toward their goal. The emotional anchor doesn't set. And you're back to faith-based adoption.</w:t>
      </w:r>
    </w:p>
    <w:p>
      <w:pPr>
        <w:pBdr>
          <w:left w:val="single" w:color="00A896" w:sz="12"/>
        </w:pBdr>
        <w:spacing w:before="80" w:after="80"/>
        <w:ind w:left="360"/>
      </w:pPr>
      <w:r>
        <w:rPr>
          <w:rFonts w:ascii="Arial" w:cs="Arial" w:eastAsia="Arial" w:hAnsi="Arial"/>
          <w:color w:val="00A896"/>
          <w:sz w:val="20"/>
          <w:szCs w:val="20"/>
        </w:rPr>
        <w:t xml:space="preserve">ON SCREEN: THE ONBOARDING WATERFALL MODEL</w:t>
      </w:r>
    </w:p>
    <w:p>
      <w:pPr>
        <w:pBdr>
          <w:left w:val="single" w:color="00A896" w:sz="12"/>
        </w:pBdr>
        <w:spacing w:before="80" w:after="80"/>
        <w:ind w:left="360"/>
      </w:pPr>
      <w:r>
        <w:rPr>
          <w:rFonts w:ascii="Arial" w:cs="Arial" w:eastAsia="Arial" w:hAnsi="Arial"/>
          <w:color w:val="00A896"/>
          <w:sz w:val="20"/>
          <w:szCs w:val="20"/>
        </w:rPr>
        <w:t xml:space="preserve">ON SCREEN: Stage 1: Handoff Clarity — success criteria, promises, context transferred</w:t>
      </w:r>
    </w:p>
    <w:p>
      <w:pPr>
        <w:pBdr>
          <w:left w:val="single" w:color="00A896" w:sz="12"/>
        </w:pBdr>
        <w:spacing w:before="80" w:after="80"/>
        <w:ind w:left="360"/>
      </w:pPr>
      <w:r>
        <w:rPr>
          <w:rFonts w:ascii="Arial" w:cs="Arial" w:eastAsia="Arial" w:hAnsi="Arial"/>
          <w:color w:val="00A896"/>
          <w:sz w:val="20"/>
          <w:szCs w:val="20"/>
        </w:rPr>
        <w:t xml:space="preserve">ON SCREEN: Stage 2: Priority Use Case ID — one workflow, one outcome, oriented there first</w:t>
      </w:r>
    </w:p>
    <w:p>
      <w:pPr>
        <w:pBdr>
          <w:left w:val="single" w:color="00A896" w:sz="12"/>
        </w:pBdr>
        <w:spacing w:before="80" w:after="80"/>
        <w:ind w:left="360"/>
      </w:pPr>
      <w:r>
        <w:rPr>
          <w:rFonts w:ascii="Arial" w:cs="Arial" w:eastAsia="Arial" w:hAnsi="Arial"/>
          <w:color w:val="00A896"/>
          <w:sz w:val="20"/>
          <w:szCs w:val="20"/>
        </w:rPr>
        <w:t xml:space="preserve">ON SCREEN: Stage 3: First Value Event — observable, documented, shared immediately</w:t>
      </w:r>
    </w:p>
    <w:p>
      <w:pPr>
        <w:pBdr>
          <w:left w:val="single" w:color="00A896" w:sz="12"/>
        </w:pBdr>
        <w:spacing w:before="80" w:after="80"/>
        <w:ind w:left="360"/>
      </w:pPr>
      <w:r>
        <w:rPr>
          <w:rFonts w:ascii="Arial" w:cs="Arial" w:eastAsia="Arial" w:hAnsi="Arial"/>
          <w:color w:val="00A896"/>
          <w:sz w:val="20"/>
          <w:szCs w:val="20"/>
        </w:rPr>
        <w:t xml:space="preserve">ON SCREEN: Stage 4: Value Anchoring — explicitly connect the event to their stated goal</w:t>
      </w:r>
    </w:p>
    <w:p>
      <w:pPr>
        <w:pBdr>
          <w:bottom w:val="single" w:color="CCCCCC" w:sz="4"/>
        </w:pBdr>
        <w:spacing w:before="160" w:after="160"/>
      </w:pPr>
      <w:r>
        <w:t xml:space="preserve"/>
      </w:r>
    </w:p>
    <w:p>
      <w:pPr>
        <w:pageBreakBefore/>
      </w:pPr>
      <w:r>
        <w:t xml:space="preserve"/>
      </w:r>
    </w:p>
    <w:p>
      <w:pPr>
        <w:shd w:fill="4A5568" w:val="clear"/>
        <w:spacing w:before="240" w:after="120"/>
      </w:pPr>
      <w:r>
        <w:rPr>
          <w:rFonts w:ascii="Arial" w:cs="Arial" w:eastAsia="Arial" w:hAnsi="Arial"/>
          <w:b/>
          <w:bCs/>
          <w:color w:val="FFFFFF"/>
          <w:sz w:val="24"/>
          <w:szCs w:val="24"/>
        </w:rPr>
        <w:t xml:space="preserve">SEGMENT 5 — WHAT SLOWS T2FV AND HOW TO REMOVE BLOCKERS</w:t>
      </w:r>
    </w:p>
    <w:p>
      <w:pPr>
        <w:spacing w:before="120" w:after="60"/>
      </w:pPr>
      <w:r>
        <w:rPr>
          <w:rFonts w:ascii="Courier New" w:cs="Courier New" w:eastAsia="Courier New" w:hAnsi="Courier New"/>
          <w:b/>
          <w:bCs/>
          <w:color w:val="F4A000"/>
          <w:sz w:val="22"/>
          <w:szCs w:val="22"/>
        </w:rPr>
        <w:t xml:space="preserve">07:15 – 09:15</w:t>
      </w:r>
    </w:p>
    <w:p>
      <w:pPr>
        <w:spacing w:before="80" w:after="80"/>
        <w:ind w:left="360"/>
      </w:pPr>
      <w:r>
        <w:rPr>
          <w:rFonts w:ascii="Arial" w:cs="Arial" w:eastAsia="Arial" w:hAnsi="Arial"/>
          <w:i/>
          <w:iCs/>
          <w:color w:val="6B46C1"/>
          <w:sz w:val="20"/>
          <w:szCs w:val="20"/>
        </w:rPr>
        <w:t xml:space="preserve">[DIRECTION: Diagnostic and practical. Real-world blockers that CSMs actually encounter. Tone is problem-solving, not alarming.]</w:t>
      </w:r>
    </w:p>
    <w:p>
      <w:pPr>
        <w:spacing w:before="60" w:after="60"/>
      </w:pPr>
      <w:r>
        <w:t xml:space="preserve"/>
      </w:r>
    </w:p>
    <w:p>
      <w:pPr>
        <w:spacing w:before="100" w:after="100"/>
        <w:ind w:left="720"/>
      </w:pPr>
      <w:r>
        <w:rPr>
          <w:rFonts w:ascii="Georgia" w:cs="Georgia" w:eastAsia="Georgia" w:hAnsi="Georgia"/>
          <w:color w:val="1A1A2E"/>
          <w:sz w:val="22"/>
          <w:szCs w:val="22"/>
        </w:rPr>
        <w:t xml:space="preserve">Even with the right architecture, T2FV can stall. Here are the four most common blockers and what to do about each one.</w:t>
      </w:r>
    </w:p>
    <w:p>
      <w:pPr>
        <w:spacing w:before="100" w:after="100"/>
        <w:ind w:left="720"/>
      </w:pPr>
      <w:r>
        <w:rPr>
          <w:rFonts w:ascii="Georgia" w:cs="Georgia" w:eastAsia="Georgia" w:hAnsi="Georgia"/>
          <w:color w:val="1A1A2E"/>
          <w:sz w:val="22"/>
          <w:szCs w:val="22"/>
        </w:rPr>
        <w:t xml:space="preserve">Blocker one: undefined success criteria. The customer can't experience value they haven't defined. If you don't know specifically what value looks like for this customer — what output, what time saved, what problem prevented — you can't engineer toward it. This comes back to discovery. If your handoff questions weren't answered, your T2FV clock starts with a handicap.</w:t>
      </w:r>
    </w:p>
    <w:p>
      <w:pPr>
        <w:spacing w:before="100" w:after="100"/>
        <w:ind w:left="720"/>
      </w:pPr>
      <w:r>
        <w:rPr>
          <w:rFonts w:ascii="Georgia" w:cs="Georgia" w:eastAsia="Georgia" w:hAnsi="Georgia"/>
          <w:color w:val="1A1A2E"/>
          <w:sz w:val="22"/>
          <w:szCs w:val="22"/>
        </w:rPr>
        <w:t xml:space="preserve">The fix: within the first three days of go-live, run a fifteen-minute alignment call with the champion. One question: 'By the end of week two, what would this product need to do for you to feel like it was working?' Write down their answer. That's your T2FV target.</w:t>
      </w:r>
    </w:p>
    <w:p>
      <w:pPr>
        <w:spacing w:before="100" w:after="100"/>
        <w:ind w:left="720"/>
      </w:pPr>
      <w:r>
        <w:rPr>
          <w:rFonts w:ascii="Georgia" w:cs="Georgia" w:eastAsia="Georgia" w:hAnsi="Georgia"/>
          <w:color w:val="1A1A2E"/>
          <w:sz w:val="22"/>
          <w:szCs w:val="22"/>
        </w:rPr>
        <w:t xml:space="preserve">Blocker two: technical dependencies. Enterprise onboarding in particular often runs into integration delays, IT procurement cycles, or data migration requirements that sit outside the CSM's control. These are real, and pretending they aren't won't help.</w:t>
      </w:r>
    </w:p>
    <w:p>
      <w:pPr>
        <w:spacing w:before="100" w:after="100"/>
        <w:ind w:left="720"/>
      </w:pPr>
      <w:r>
        <w:rPr>
          <w:rFonts w:ascii="Georgia" w:cs="Georgia" w:eastAsia="Georgia" w:hAnsi="Georgia"/>
          <w:color w:val="1A1A2E"/>
          <w:sz w:val="22"/>
          <w:szCs w:val="22"/>
        </w:rPr>
        <w:t xml:space="preserve">The fix: surface them in week one. Don't wait for the dependency to block progress. Identify every technical requirement for first value to occur, map who owns each one, and start the internal escalation process immediately — with a clear date expectation.</w:t>
      </w:r>
    </w:p>
    <w:p>
      <w:pPr>
        <w:spacing w:before="100" w:after="100"/>
        <w:ind w:left="720"/>
      </w:pPr>
      <w:r>
        <w:rPr>
          <w:rFonts w:ascii="Georgia" w:cs="Georgia" w:eastAsia="Georgia" w:hAnsi="Georgia"/>
          <w:color w:val="1A1A2E"/>
          <w:sz w:val="22"/>
          <w:szCs w:val="22"/>
        </w:rPr>
        <w:t xml:space="preserve">Blocker three: wrong use case prioritized. This is subtle and common. The CSM picks the use case that's easiest to demo, or the one that's most polished in the product, rather than the one that directly addresses the customer's most important problem. First value happens, technically. But the customer doesn't feel it because it wasn't what they came for.</w:t>
      </w:r>
    </w:p>
    <w:p>
      <w:pPr>
        <w:spacing w:before="100" w:after="100"/>
        <w:ind w:left="720"/>
      </w:pPr>
      <w:r>
        <w:rPr>
          <w:rFonts w:ascii="Georgia" w:cs="Georgia" w:eastAsia="Georgia" w:hAnsi="Georgia"/>
          <w:color w:val="1A1A2E"/>
          <w:sz w:val="22"/>
          <w:szCs w:val="22"/>
        </w:rPr>
        <w:t xml:space="preserve">The fix: go back to the handoff questions. Question one and question five tell you exactly which use case deserves to be first. Use them.</w:t>
      </w:r>
    </w:p>
    <w:p>
      <w:pPr>
        <w:spacing w:before="100" w:after="100"/>
        <w:ind w:left="720"/>
      </w:pPr>
      <w:r>
        <w:rPr>
          <w:rFonts w:ascii="Georgia" w:cs="Georgia" w:eastAsia="Georgia" w:hAnsi="Georgia"/>
          <w:color w:val="1A1A2E"/>
          <w:sz w:val="22"/>
          <w:szCs w:val="22"/>
        </w:rPr>
        <w:t xml:space="preserve">Blocker four: no follow-through on value anchoring. The first value event happened, but no one connected it to the goal. The customer feels good but doesn't know why, and that feeling evaporates quickly without reinforcement.</w:t>
      </w:r>
    </w:p>
    <w:p>
      <w:pPr>
        <w:spacing w:before="100" w:after="100"/>
        <w:ind w:left="720"/>
      </w:pPr>
      <w:r>
        <w:rPr>
          <w:rFonts w:ascii="Georgia" w:cs="Georgia" w:eastAsia="Georgia" w:hAnsi="Georgia"/>
          <w:color w:val="1A1A2E"/>
          <w:sz w:val="22"/>
          <w:szCs w:val="22"/>
        </w:rPr>
        <w:t xml:space="preserve">The fix: within 24 hours of the first value event, send the customer a written summary. What happened, how it connects to their stated goal, and what the roadmap looks like from here. Three sentences. Send it.</w:t>
      </w:r>
    </w:p>
    <w:p>
      <w:pPr>
        <w:pBdr>
          <w:left w:val="single" w:color="00A896" w:sz="12"/>
        </w:pBdr>
        <w:spacing w:before="80" w:after="80"/>
        <w:ind w:left="360"/>
      </w:pPr>
      <w:r>
        <w:rPr>
          <w:rFonts w:ascii="Arial" w:cs="Arial" w:eastAsia="Arial" w:hAnsi="Arial"/>
          <w:color w:val="00A896"/>
          <w:sz w:val="20"/>
          <w:szCs w:val="20"/>
        </w:rPr>
        <w:t xml:space="preserve">ON SCREEN: T2FV BLOCKERS AND FIXES</w:t>
      </w:r>
    </w:p>
    <w:p>
      <w:pPr>
        <w:pBdr>
          <w:left w:val="single" w:color="00A896" w:sz="12"/>
        </w:pBdr>
        <w:spacing w:before="80" w:after="80"/>
        <w:ind w:left="360"/>
      </w:pPr>
      <w:r>
        <w:rPr>
          <w:rFonts w:ascii="Arial" w:cs="Arial" w:eastAsia="Arial" w:hAnsi="Arial"/>
          <w:color w:val="00A896"/>
          <w:sz w:val="20"/>
          <w:szCs w:val="20"/>
        </w:rPr>
        <w:t xml:space="preserve">ON SCREEN: 1. Undefined success criteria → 15-min alignment call in first 3 days: 'what would success look like in 2 weeks?'</w:t>
      </w:r>
    </w:p>
    <w:p>
      <w:pPr>
        <w:pBdr>
          <w:left w:val="single" w:color="00A896" w:sz="12"/>
        </w:pBdr>
        <w:spacing w:before="80" w:after="80"/>
        <w:ind w:left="360"/>
      </w:pPr>
      <w:r>
        <w:rPr>
          <w:rFonts w:ascii="Arial" w:cs="Arial" w:eastAsia="Arial" w:hAnsi="Arial"/>
          <w:color w:val="00A896"/>
          <w:sz w:val="20"/>
          <w:szCs w:val="20"/>
        </w:rPr>
        <w:t xml:space="preserve">ON SCREEN: 2. Technical dependencies → Surface all blockers in week 1, map owners, start escalation with date targets</w:t>
      </w:r>
    </w:p>
    <w:p>
      <w:pPr>
        <w:pBdr>
          <w:left w:val="single" w:color="00A896" w:sz="12"/>
        </w:pBdr>
        <w:spacing w:before="80" w:after="80"/>
        <w:ind w:left="360"/>
      </w:pPr>
      <w:r>
        <w:rPr>
          <w:rFonts w:ascii="Arial" w:cs="Arial" w:eastAsia="Arial" w:hAnsi="Arial"/>
          <w:color w:val="00A896"/>
          <w:sz w:val="20"/>
          <w:szCs w:val="20"/>
        </w:rPr>
        <w:t xml:space="preserve">ON SCREEN: 3. Wrong use case prioritized → Use Handoff Q1 and Q5 to confirm the right first use case</w:t>
      </w:r>
    </w:p>
    <w:p>
      <w:pPr>
        <w:pBdr>
          <w:left w:val="single" w:color="00A896" w:sz="12"/>
        </w:pBdr>
        <w:spacing w:before="80" w:after="80"/>
        <w:ind w:left="360"/>
      </w:pPr>
      <w:r>
        <w:rPr>
          <w:rFonts w:ascii="Arial" w:cs="Arial" w:eastAsia="Arial" w:hAnsi="Arial"/>
          <w:color w:val="00A896"/>
          <w:sz w:val="20"/>
          <w:szCs w:val="20"/>
        </w:rPr>
        <w:t xml:space="preserve">ON SCREEN: 4. No value anchoring → Within 24 hrs of first value event, send 3-sentence summary connecting it to their goal</w:t>
      </w:r>
    </w:p>
    <w:p>
      <w:pPr>
        <w:pBdr>
          <w:bottom w:val="single" w:color="CCCCCC" w:sz="4"/>
        </w:pBdr>
        <w:spacing w:before="160" w:after="160"/>
      </w:pPr>
      <w:r>
        <w:t xml:space="preserve"/>
      </w:r>
    </w:p>
    <w:p>
      <w:pPr>
        <w:pageBreakBefore/>
      </w:pPr>
      <w:r>
        <w:t xml:space="preserve"/>
      </w:r>
    </w:p>
    <w:p>
      <w:pPr>
        <w:shd w:fill="00A896" w:val="clear"/>
        <w:spacing w:before="240" w:after="120"/>
      </w:pPr>
      <w:r>
        <w:rPr>
          <w:rFonts w:ascii="Arial" w:cs="Arial" w:eastAsia="Arial" w:hAnsi="Arial"/>
          <w:b/>
          <w:bCs/>
          <w:color w:val="FFFFFF"/>
          <w:sz w:val="24"/>
          <w:szCs w:val="24"/>
        </w:rPr>
        <w:t xml:space="preserve">SEGMENT 6 — PHASE 1 CLOSE: THE THROUGH-LINE</w:t>
      </w:r>
    </w:p>
    <w:p>
      <w:pPr>
        <w:spacing w:before="120" w:after="60"/>
      </w:pPr>
      <w:r>
        <w:rPr>
          <w:rFonts w:ascii="Courier New" w:cs="Courier New" w:eastAsia="Courier New" w:hAnsi="Courier New"/>
          <w:b/>
          <w:bCs/>
          <w:color w:val="F4A000"/>
          <w:sz w:val="22"/>
          <w:szCs w:val="22"/>
        </w:rPr>
        <w:t xml:space="preserve">09:15 – 11:30</w:t>
      </w:r>
    </w:p>
    <w:p>
      <w:pPr>
        <w:spacing w:before="80" w:after="80"/>
        <w:ind w:left="360"/>
      </w:pPr>
      <w:r>
        <w:rPr>
          <w:rFonts w:ascii="Arial" w:cs="Arial" w:eastAsia="Arial" w:hAnsi="Arial"/>
          <w:i/>
          <w:iCs/>
          <w:color w:val="6B46C1"/>
          <w:sz w:val="20"/>
          <w:szCs w:val="20"/>
        </w:rPr>
        <w:t xml:space="preserve">[DIRECTION: Back on camera. This is the Phase 1 finale close. Warmer and more reflective than a standard Do This Monday segment — but still ends with action. Acknowledge the journey, then close the loop.]</w:t>
      </w:r>
    </w:p>
    <w:p>
      <w:pPr>
        <w:spacing w:before="60" w:after="60"/>
      </w:pPr>
      <w:r>
        <w:t xml:space="preserve"/>
      </w:r>
    </w:p>
    <w:p>
      <w:pPr>
        <w:spacing w:before="100" w:after="100"/>
        <w:ind w:left="720"/>
      </w:pPr>
      <w:r>
        <w:rPr>
          <w:rFonts w:ascii="Georgia" w:cs="Georgia" w:eastAsia="Georgia" w:hAnsi="Georgia"/>
          <w:color w:val="1A1A2E"/>
          <w:sz w:val="22"/>
          <w:szCs w:val="22"/>
        </w:rPr>
        <w:t xml:space="preserve">Here's what I want you to do this Monday.</w:t>
      </w:r>
    </w:p>
    <w:p>
      <w:pPr>
        <w:spacing w:before="100" w:after="100"/>
        <w:ind w:left="720"/>
      </w:pPr>
      <w:r>
        <w:rPr>
          <w:rFonts w:ascii="Georgia" w:cs="Georgia" w:eastAsia="Georgia" w:hAnsi="Georgia"/>
          <w:color w:val="1A1A2E"/>
          <w:sz w:val="22"/>
          <w:szCs w:val="22"/>
        </w:rPr>
        <w:t xml:space="preserve">Action one: Calculate T2FV for your last five new accounts. For each one, when did go-live happen, and when did you document a clear first value moment? If you can't name the first value moment, it hasn't been documented — and possibly hasn't been engineered. That's your starting point.</w:t>
      </w:r>
    </w:p>
    <w:p>
      <w:pPr>
        <w:spacing w:before="100" w:after="100"/>
        <w:ind w:left="720"/>
      </w:pPr>
      <w:r>
        <w:rPr>
          <w:rFonts w:ascii="Georgia" w:cs="Georgia" w:eastAsia="Georgia" w:hAnsi="Georgia"/>
          <w:color w:val="1A1A2E"/>
          <w:sz w:val="22"/>
          <w:szCs w:val="22"/>
        </w:rPr>
        <w:t xml:space="preserve">Action two: For any account currently in onboarding, identify the priority use case. Not the feature tour. The one workflow that most directly addresses their stated most important problem. Reorient your next two interactions around getting them to first value through that specific path.</w:t>
      </w:r>
    </w:p>
    <w:p>
      <w:pPr>
        <w:spacing w:before="100" w:after="100"/>
        <w:ind w:left="720"/>
      </w:pPr>
      <w:r>
        <w:rPr>
          <w:rFonts w:ascii="Georgia" w:cs="Georgia" w:eastAsia="Georgia" w:hAnsi="Georgia"/>
          <w:color w:val="1A1A2E"/>
          <w:sz w:val="22"/>
          <w:szCs w:val="22"/>
        </w:rPr>
        <w:t xml:space="preserve">Action three: Build the First Value Event habit. After your next customer onboarding milestone — any account, any segment — document what happened, explicitly connect it to the customer's goal, and send the summary within 24 hours. Do it once. Build the muscle.</w:t>
      </w:r>
    </w:p>
    <w:p>
      <w:pPr>
        <w:spacing w:before="100" w:after="100"/>
        <w:ind w:left="720"/>
      </w:pPr>
      <w:r>
        <w:rPr>
          <w:rFonts w:ascii="Georgia" w:cs="Georgia" w:eastAsia="Georgia" w:hAnsi="Georgia"/>
          <w:color w:val="1A1A2E"/>
          <w:sz w:val="22"/>
          <w:szCs w:val="22"/>
        </w:rPr>
        <w:t xml:space="preserve">Calculate T2FV. Identify the priority use case. Send one value anchor.</w:t>
      </w:r>
    </w:p>
    <w:p>
      <w:pPr>
        <w:spacing w:before="60" w:after="60"/>
      </w:pPr>
      <w:r>
        <w:t xml:space="preserve"/>
      </w:r>
    </w:p>
    <w:p>
      <w:pPr>
        <w:spacing w:before="100" w:after="100"/>
        <w:ind w:left="720"/>
      </w:pPr>
      <w:r>
        <w:rPr>
          <w:rFonts w:ascii="Georgia" w:cs="Georgia" w:eastAsia="Georgia" w:hAnsi="Georgia"/>
          <w:color w:val="1A1A2E"/>
          <w:sz w:val="22"/>
          <w:szCs w:val="22"/>
        </w:rPr>
        <w:t xml:space="preserve">Before I close, I want to step back and tell you what this entire program has been about.</w:t>
      </w:r>
    </w:p>
    <w:p>
      <w:pPr>
        <w:spacing w:before="100" w:after="100"/>
        <w:ind w:left="720"/>
      </w:pPr>
      <w:r>
        <w:rPr>
          <w:rFonts w:ascii="Georgia" w:cs="Georgia" w:eastAsia="Georgia" w:hAnsi="Georgia"/>
          <w:color w:val="1A1A2E"/>
          <w:sz w:val="22"/>
          <w:szCs w:val="22"/>
        </w:rPr>
        <w:t xml:space="preserve">We started with metrics — not because numbers are the point, but because you can't improve what you can't see. We talked about NPS and NRR and health scores not to give you more dashboards to manage, but to give you the ability to tell the truth about your accounts before the truth tells itself at renewal.</w:t>
      </w:r>
    </w:p>
    <w:p>
      <w:pPr>
        <w:spacing w:before="100" w:after="100"/>
        <w:ind w:left="720"/>
      </w:pPr>
      <w:r>
        <w:rPr>
          <w:rFonts w:ascii="Georgia" w:cs="Georgia" w:eastAsia="Georgia" w:hAnsi="Georgia"/>
          <w:color w:val="1A1A2E"/>
          <w:sz w:val="22"/>
          <w:szCs w:val="22"/>
        </w:rPr>
        <w:t xml:space="preserve">We moved to discovery and stakeholder architecture — because the customers who churn are almost never the ones you know well. They're the ones where the relationship was one person deep, the success criteria were never documented, and the first signal of a problem was when someone stopped returning calls.</w:t>
      </w:r>
    </w:p>
    <w:p>
      <w:pPr>
        <w:spacing w:before="100" w:after="100"/>
        <w:ind w:left="720"/>
      </w:pPr>
      <w:r>
        <w:rPr>
          <w:rFonts w:ascii="Georgia" w:cs="Georgia" w:eastAsia="Georgia" w:hAnsi="Georgia"/>
          <w:color w:val="1A1A2E"/>
          <w:sz w:val="22"/>
          <w:szCs w:val="22"/>
        </w:rPr>
        <w:t xml:space="preserve">We built a segmentation system so your finite attention could go where it produces the most outcome — not where the squeaky wheel is, but where the long-term math is.</w:t>
      </w:r>
    </w:p>
    <w:p>
      <w:pPr>
        <w:spacing w:before="100" w:after="100"/>
        <w:ind w:left="720"/>
      </w:pPr>
      <w:r>
        <w:rPr>
          <w:rFonts w:ascii="Georgia" w:cs="Georgia" w:eastAsia="Georgia" w:hAnsi="Georgia"/>
          <w:color w:val="1A1A2E"/>
          <w:sz w:val="22"/>
          <w:szCs w:val="22"/>
        </w:rPr>
        <w:t xml:space="preserve">We mapped the moments that matter, the negative touchpoints eroding relationships invisibly, and now T2FV — because value delivered matters, but value experienced is what drives renewal.</w:t>
      </w:r>
    </w:p>
    <w:p>
      <w:pPr>
        <w:spacing w:before="100" w:after="100"/>
        <w:ind w:left="720"/>
      </w:pPr>
      <w:r>
        <w:rPr>
          <w:rFonts w:ascii="Georgia" w:cs="Georgia" w:eastAsia="Georgia" w:hAnsi="Georgia"/>
          <w:color w:val="1A1A2E"/>
          <w:sz w:val="22"/>
          <w:szCs w:val="22"/>
        </w:rPr>
        <w:t xml:space="preserve">Everything in Phase 1 points to the same thing: being the CSM who isn't surprised. Who knows their accounts deeply, acts proactively at the right moments, and can demonstrate business outcomes in terms the customer cares about.</w:t>
      </w:r>
    </w:p>
    <w:p>
      <w:pPr>
        <w:spacing w:before="100" w:after="100"/>
        <w:ind w:left="720"/>
      </w:pPr>
      <w:r>
        <w:rPr>
          <w:rFonts w:ascii="Georgia" w:cs="Georgia" w:eastAsia="Georgia" w:hAnsi="Georgia"/>
          <w:color w:val="1A1A2E"/>
          <w:sz w:val="22"/>
          <w:szCs w:val="22"/>
        </w:rPr>
        <w:t xml:space="preserve">In Phase 2, we get into the operational systems that make all of this sustainable at scale — EBR design, health score interpretation, churn prediction workflows, and the infrastructure that takes everything you've learned in Phase 1 and makes it systematic.</w:t>
      </w:r>
    </w:p>
    <w:p>
      <w:pPr>
        <w:spacing w:before="100" w:after="100"/>
        <w:ind w:left="720"/>
      </w:pPr>
      <w:r>
        <w:rPr>
          <w:rFonts w:ascii="Georgia" w:cs="Georgia" w:eastAsia="Georgia" w:hAnsi="Georgia"/>
          <w:color w:val="1A1A2E"/>
          <w:sz w:val="22"/>
          <w:szCs w:val="22"/>
        </w:rPr>
        <w:t xml:space="preserve">You've done the work. Phase 2 is where it compounds.</w:t>
      </w:r>
    </w:p>
    <w:p>
      <w:pPr>
        <w:spacing w:before="100" w:after="100"/>
        <w:ind w:left="720"/>
      </w:pPr>
      <w:r>
        <w:rPr>
          <w:rFonts w:ascii="Georgia" w:cs="Georgia" w:eastAsia="Georgia" w:hAnsi="Georgia"/>
          <w:color w:val="1A1A2E"/>
          <w:sz w:val="22"/>
          <w:szCs w:val="22"/>
        </w:rPr>
        <w:t xml:space="preserve">I'll see you there.</w:t>
      </w:r>
    </w:p>
    <w:p>
      <w:pPr>
        <w:pBdr>
          <w:left w:val="single" w:color="00A896" w:sz="12"/>
        </w:pBdr>
        <w:spacing w:before="80" w:after="80"/>
        <w:ind w:left="360"/>
      </w:pPr>
      <w:r>
        <w:rPr>
          <w:rFonts w:ascii="Arial" w:cs="Arial" w:eastAsia="Arial" w:hAnsi="Arial"/>
          <w:color w:val="00A896"/>
          <w:sz w:val="20"/>
          <w:szCs w:val="20"/>
        </w:rPr>
        <w:t xml:space="preserve">ON SCREEN: DO THIS MONDAY</w:t>
      </w:r>
    </w:p>
    <w:p>
      <w:pPr>
        <w:pBdr>
          <w:left w:val="single" w:color="00A896" w:sz="12"/>
        </w:pBdr>
        <w:spacing w:before="80" w:after="80"/>
        <w:ind w:left="360"/>
      </w:pPr>
      <w:r>
        <w:rPr>
          <w:rFonts w:ascii="Arial" w:cs="Arial" w:eastAsia="Arial" w:hAnsi="Arial"/>
          <w:color w:val="00A896"/>
          <w:sz w:val="20"/>
          <w:szCs w:val="20"/>
        </w:rPr>
        <w:t xml:space="preserve">ON SCREEN: 1. Calculate T2FV for your last 5 new accounts — name the first value moment</w:t>
      </w:r>
    </w:p>
    <w:p>
      <w:pPr>
        <w:pBdr>
          <w:left w:val="single" w:color="00A896" w:sz="12"/>
        </w:pBdr>
        <w:spacing w:before="80" w:after="80"/>
        <w:ind w:left="360"/>
      </w:pPr>
      <w:r>
        <w:rPr>
          <w:rFonts w:ascii="Arial" w:cs="Arial" w:eastAsia="Arial" w:hAnsi="Arial"/>
          <w:color w:val="00A896"/>
          <w:sz w:val="20"/>
          <w:szCs w:val="20"/>
        </w:rPr>
        <w:t xml:space="preserve">ON SCREEN: 2. For every active onboarding — confirm the priority use case, orient there first</w:t>
      </w:r>
    </w:p>
    <w:p>
      <w:pPr>
        <w:pBdr>
          <w:left w:val="single" w:color="00A896" w:sz="12"/>
        </w:pBdr>
        <w:spacing w:before="80" w:after="80"/>
        <w:ind w:left="360"/>
      </w:pPr>
      <w:r>
        <w:rPr>
          <w:rFonts w:ascii="Arial" w:cs="Arial" w:eastAsia="Arial" w:hAnsi="Arial"/>
          <w:color w:val="00A896"/>
          <w:sz w:val="20"/>
          <w:szCs w:val="20"/>
        </w:rPr>
        <w:t xml:space="preserve">ON SCREEN: 3. After your next onboarding milestone — document, connect to goal, send summary in 24hrs</w:t>
      </w:r>
    </w:p>
    <w:p>
      <w:pPr>
        <w:spacing w:before="60" w:after="60"/>
      </w:pPr>
      <w:r>
        <w:t xml:space="preserve"/>
      </w:r>
    </w:p>
    <w:p>
      <w:pPr>
        <w:pBdr>
          <w:left w:val="single" w:color="00A896" w:sz="12"/>
        </w:pBdr>
        <w:spacing w:before="80" w:after="80"/>
        <w:ind w:left="360"/>
      </w:pPr>
      <w:r>
        <w:rPr>
          <w:rFonts w:ascii="Arial" w:cs="Arial" w:eastAsia="Arial" w:hAnsi="Arial"/>
          <w:color w:val="00A896"/>
          <w:sz w:val="20"/>
          <w:szCs w:val="20"/>
        </w:rPr>
        <w:t xml:space="preserve">ON SCREEN: PHASE 1 COMPLETE</w:t>
      </w:r>
    </w:p>
    <w:p>
      <w:pPr>
        <w:pBdr>
          <w:left w:val="single" w:color="00A896" w:sz="12"/>
        </w:pBdr>
        <w:spacing w:before="80" w:after="80"/>
        <w:ind w:left="360"/>
      </w:pPr>
      <w:r>
        <w:rPr>
          <w:rFonts w:ascii="Arial" w:cs="Arial" w:eastAsia="Arial" w:hAnsi="Arial"/>
          <w:color w:val="00A896"/>
          <w:sz w:val="20"/>
          <w:szCs w:val="20"/>
        </w:rPr>
        <w:t xml:space="preserve">ON SCREEN: 9 modules. 3 weeks. The foundation is built.</w:t>
      </w:r>
    </w:p>
    <w:p>
      <w:pPr>
        <w:pBdr>
          <w:left w:val="single" w:color="00A896" w:sz="12"/>
        </w:pBdr>
        <w:spacing w:before="80" w:after="80"/>
        <w:ind w:left="360"/>
      </w:pPr>
      <w:r>
        <w:rPr>
          <w:rFonts w:ascii="Arial" w:cs="Arial" w:eastAsia="Arial" w:hAnsi="Arial"/>
          <w:color w:val="00A896"/>
          <w:sz w:val="20"/>
          <w:szCs w:val="20"/>
        </w:rPr>
        <w:t xml:space="preserve">ON SCREEN: NEXT: Phase 2 — Operational Systems at Scale</w:t>
      </w:r>
    </w:p>
    <w:p>
      <w:pPr>
        <w:pBdr>
          <w:bottom w:val="single" w:color="CCCCCC" w:sz="4"/>
        </w:pBdr>
        <w:spacing w:before="160" w:after="160"/>
      </w:pPr>
      <w:r>
        <w:t xml:space="preserve"/>
      </w:r>
    </w:p>
    <w:p>
      <w:pPr>
        <w:spacing w:before="60" w:after="60"/>
      </w:pPr>
      <w:r>
        <w:t xml:space="preserve"/>
      </w:r>
    </w:p>
    <w:p>
      <w:pPr>
        <w:shd w:fill="4A5568" w:val="clear"/>
        <w:spacing w:before="240" w:after="120"/>
      </w:pPr>
      <w:r>
        <w:rPr>
          <w:rFonts w:ascii="Arial" w:cs="Arial" w:eastAsia="Arial" w:hAnsi="Arial"/>
          <w:b/>
          <w:bCs/>
          <w:color w:val="FFFFFF"/>
          <w:sz w:val="24"/>
          <w:szCs w:val="24"/>
        </w:rPr>
        <w:t xml:space="preserve">PRODUCTION NOTES — PHASE 1 FINALE</w:t>
      </w:r>
    </w:p>
    <w:p>
      <w:pPr>
        <w:spacing w:before="60" w:after="60"/>
      </w:pPr>
      <w:r>
        <w:t xml:space="preserve"/>
      </w:r>
    </w:p>
    <w:p>
      <w:pPr>
        <w:spacing w:before="80" w:after="80"/>
      </w:pPr>
      <w:r>
        <w:rPr>
          <w:rFonts w:ascii="Arial" w:cs="Arial" w:eastAsia="Arial" w:hAnsi="Arial"/>
          <w:color w:val="4A5568"/>
          <w:sz w:val="20"/>
          <w:szCs w:val="20"/>
        </w:rPr>
        <w:t xml:space="preserve">B-roll suggestions: product demo in workflow, onboarding meeting, CSM marking milestone in CRM, value summary email being composed.</w:t>
      </w:r>
    </w:p>
    <w:p>
      <w:pPr>
        <w:spacing w:before="80" w:after="80"/>
      </w:pPr>
      <w:r>
        <w:rPr>
          <w:rFonts w:ascii="Arial" w:cs="Arial" w:eastAsia="Arial" w:hAnsi="Arial"/>
          <w:color w:val="4A5568"/>
          <w:sz w:val="20"/>
          <w:szCs w:val="20"/>
        </w:rPr>
        <w:t xml:space="preserve">End card: Should include Phase 1 completion acknowledgment and Phase 2 preview. Consider celebratory graphic element.</w:t>
      </w:r>
    </w:p>
    <w:p>
      <w:pPr>
        <w:spacing w:before="80" w:after="80"/>
      </w:pPr>
      <w:r>
        <w:rPr>
          <w:rFonts w:ascii="Arial" w:cs="Arial" w:eastAsia="Arial" w:hAnsi="Arial"/>
          <w:color w:val="4A5568"/>
          <w:sz w:val="20"/>
          <w:szCs w:val="20"/>
        </w:rPr>
        <w:t xml:space="preserve">Accent color: #22C55E (Green — growth, first value, completion). Phase 1 complete card uses full color palette recap.</w:t>
      </w:r>
    </w:p>
    <w:p>
      <w:pPr>
        <w:spacing w:before="80" w:after="80"/>
      </w:pPr>
      <w:r>
        <w:rPr>
          <w:rFonts w:ascii="Arial" w:cs="Arial" w:eastAsia="Arial" w:hAnsi="Arial"/>
          <w:color w:val="4A5568"/>
          <w:sz w:val="20"/>
          <w:szCs w:val="20"/>
        </w:rPr>
        <w:t xml:space="preserve">Word count: ~1,550 narration words. Target runtime: 10–12 min. Allow extra time for the Phase 1 close — don't rush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2026-02-18T19:47:52.974Z</dcterms:created>
  <dcterms:modified xsi:type="dcterms:W3CDTF">2026-02-18T19:47:52.975Z</dcterms:modified>
</cp:coreProperties>
</file>

<file path=docProps/custom.xml><?xml version="1.0" encoding="utf-8"?>
<Properties xmlns="http://schemas.openxmlformats.org/officeDocument/2006/custom-properties" xmlns:vt="http://schemas.openxmlformats.org/officeDocument/2006/docPropsVTypes"/>
</file>