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891B2" w:val="clear"/>
        <w:spacing w:before="0" w:after="80"/>
        <w:jc w:val="center"/>
      </w:pPr>
      <w:r>
        <w:rPr>
          <w:rFonts w:ascii="Arial" w:cs="Arial" w:eastAsia="Arial" w:hAnsi="Arial"/>
          <w:b/>
          <w:bCs/>
          <w:caps/>
          <w:color w:val="FFFFFF"/>
          <w:sz w:val="32"/>
          <w:szCs w:val="32"/>
        </w:rPr>
        <w:t xml:space="preserve">MODULE 4.3 — VIDEO SCRIPT</w:t>
      </w:r>
    </w:p>
    <w:p>
      <w:pPr>
        <w:shd w:fill="0F1F4B" w:val="clear"/>
        <w:spacing w:before="0" w:after="200"/>
        <w:jc w:val="center"/>
      </w:pPr>
      <w:r>
        <w:rPr>
          <w:rFonts w:ascii="Georgia" w:cs="Georgia" w:eastAsia="Georgia" w:hAnsi="Georgia"/>
          <w:b/>
          <w:bCs/>
          <w:color w:val="FFFFFF"/>
          <w:sz w:val="28"/>
          <w:szCs w:val="28"/>
        </w:rPr>
        <w:t xml:space="preserve">The AI Reality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656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4.3 — The AI Reality Check</w:t>
            </w:r>
          </w:p>
        </w:tc>
      </w:tr>
      <w:tr>
        <w:tc>
          <w:tcPr>
            <w:tcW w:type="dxa" w:w="2800"/>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Phase / Week</w:t>
            </w:r>
          </w:p>
        </w:tc>
        <w:tc>
          <w:tcPr>
            <w:tcW w:type="dxa" w:w="656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Phase 2 — The Build · Week 4: Replacing the Broken Rituals</w:t>
            </w:r>
          </w:p>
        </w:tc>
      </w:tr>
      <w:tr>
        <w:tc>
          <w:tcPr>
            <w:tcW w:type="dxa" w:w="2800"/>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Presenter</w:t>
            </w:r>
          </w:p>
        </w:tc>
        <w:tc>
          <w:tcPr>
            <w:tcW w:type="dxa" w:w="656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Shane James — CCO2go.ai</w:t>
            </w:r>
          </w:p>
        </w:tc>
      </w:tr>
      <w:tr>
        <w:tc>
          <w:tcPr>
            <w:tcW w:type="dxa" w:w="2800"/>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Target Runtime</w:t>
            </w:r>
          </w:p>
        </w:tc>
        <w:tc>
          <w:tcPr>
            <w:tcW w:type="dxa" w:w="656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9–11 minutes</w:t>
            </w:r>
          </w:p>
        </w:tc>
      </w:tr>
      <w:tr>
        <w:tc>
          <w:tcPr>
            <w:tcW w:type="dxa" w:w="2800"/>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Accent Color</w:t>
            </w:r>
          </w:p>
        </w:tc>
        <w:tc>
          <w:tcPr>
            <w:tcW w:type="dxa" w:w="656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Cyan #0891B2</w:t>
            </w:r>
          </w:p>
        </w:tc>
      </w:tr>
      <w:tr>
        <w:tc>
          <w:tcPr>
            <w:tcW w:type="dxa" w:w="2800"/>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656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1.0 — February 2026</w:t>
            </w:r>
          </w:p>
        </w:tc>
      </w:tr>
    </w:tbl>
    <w:p>
      <w:r>
        <w:t xml:space="preserve"/>
      </w:r>
    </w:p>
    <w:p>
      <w:pPr>
        <w:pBdr>
          <w:bottom w:val="single" w:color="00A896" w:sz="3" w:space="1"/>
        </w:pBdr>
        <w:spacing w:before="120" w:after="120"/>
      </w:pPr>
      <w:r>
        <w:t xml:space="preserve"/>
      </w:r>
    </w:p>
    <w:p>
      <w:r>
        <w:t xml:space="preserve"/>
      </w:r>
    </w:p>
    <w:p>
      <w:pPr>
        <w:shd w:fill="0F1F4B" w:val="clear"/>
        <w:spacing w:before="280" w:after="120"/>
      </w:pPr>
      <w:r>
        <w:rPr>
          <w:rFonts w:ascii="Arial" w:cs="Arial" w:eastAsia="Arial" w:hAnsi="Arial"/>
          <w:b/>
          <w:bCs/>
          <w:caps/>
          <w:color w:val="FFFFFF"/>
          <w:sz w:val="22"/>
          <w:szCs w:val="22"/>
        </w:rPr>
        <w:t xml:space="preserve">SEGMENT 1 — COLD OPEN: I Built It. I'm Still Telling You 95% Will Fail.</w:t>
      </w:r>
    </w:p>
    <w:p>
      <w:pPr>
        <w:spacing w:before="80" w:after="40"/>
      </w:pPr>
      <w:r>
        <w:rPr>
          <w:rFonts w:ascii="Courier New" w:cs="Courier New" w:eastAsia="Courier New" w:hAnsi="Courier New"/>
          <w:b/>
          <w:bCs/>
          <w:color w:val="F4A000"/>
          <w:sz w:val="20"/>
          <w:szCs w:val="20"/>
        </w:rPr>
        <w:t xml:space="preserve">[0:00–0:55]</w:t>
      </w:r>
    </w:p>
    <w:p>
      <w:r>
        <w:t xml:space="preserve"/>
      </w:r>
    </w:p>
    <w:p>
      <w:pPr>
        <w:spacing w:before="60" w:after="60"/>
        <w:ind w:left="360"/>
      </w:pPr>
      <w:r>
        <w:rPr>
          <w:rFonts w:ascii="Arial" w:cs="Arial" w:eastAsia="Arial" w:hAnsi="Arial"/>
          <w:i/>
          <w:iCs/>
          <w:color w:val="6B46C1"/>
          <w:sz w:val="18"/>
          <w:szCs w:val="18"/>
        </w:rPr>
        <w:t xml:space="preserve">[DIRECTION: Direct to camera. Slight edge of wry honesty. The tension is intentional — hold it. Don't rush past the contradiction.]</w:t>
      </w:r>
    </w:p>
    <w:p>
      <w:r>
        <w:t xml:space="preserve"/>
      </w:r>
    </w:p>
    <w:p>
      <w:pPr>
        <w:spacing w:before="80" w:after="80"/>
        <w:ind w:left="720"/>
      </w:pPr>
      <w:r>
        <w:rPr>
          <w:rFonts w:ascii="Georgia" w:cs="Georgia" w:eastAsia="Georgia" w:hAnsi="Georgia"/>
          <w:sz w:val="22"/>
          <w:szCs w:val="22"/>
        </w:rPr>
        <w:t xml:space="preserve">I want to tell you two things that are both completely true.</w:t>
      </w:r>
    </w:p>
    <w:p>
      <w:pPr>
        <w:spacing w:before="80" w:after="80"/>
        <w:ind w:left="720"/>
      </w:pPr>
      <w:r>
        <w:rPr>
          <w:rFonts w:ascii="Georgia" w:cs="Georgia" w:eastAsia="Georgia" w:hAnsi="Georgia"/>
          <w:sz w:val="22"/>
          <w:szCs w:val="22"/>
        </w:rPr>
        <w:t xml:space="preserve">Thing one: I built an AI-native customer success platform from scratch. Wrote the code myself. 15 autonomous agents. Five categories. It monitors signals, generates briefings, detects churn risk, surfaces expansion opportunities, and automates a significant portion of what a CSM used to spend their day doing manually.</w:t>
      </w:r>
    </w:p>
    <w:p>
      <w:pPr>
        <w:spacing w:before="80" w:after="80"/>
        <w:ind w:left="720"/>
      </w:pPr>
      <w:r>
        <w:rPr>
          <w:rFonts w:ascii="Georgia" w:cs="Georgia" w:eastAsia="Georgia" w:hAnsi="Georgia"/>
          <w:sz w:val="22"/>
          <w:szCs w:val="22"/>
        </w:rPr>
        <w:t xml:space="preserve">Thing two: I believe 95 percent of AI initiatives in Customer Success right now are going to fail. Not because AI doesn't work. Because of how companies are buying and deploying it.</w:t>
      </w:r>
    </w:p>
    <w:p>
      <w:pPr>
        <w:spacing w:before="80" w:after="80"/>
        <w:ind w:left="720"/>
      </w:pPr>
      <w:r>
        <w:rPr>
          <w:rFonts w:ascii="Georgia" w:cs="Georgia" w:eastAsia="Georgia" w:hAnsi="Georgia"/>
          <w:sz w:val="22"/>
          <w:szCs w:val="22"/>
        </w:rPr>
        <w:t xml:space="preserve">Both of those things are true. And the fact that I built one is exactly why I can tell you where the other ones go wrong.</w:t>
      </w:r>
    </w:p>
    <w:p>
      <w:pPr>
        <w:spacing w:before="80" w:after="80"/>
        <w:ind w:left="720"/>
      </w:pPr>
      <w:r>
        <w:rPr>
          <w:rFonts w:ascii="Georgia" w:cs="Georgia" w:eastAsia="Georgia" w:hAnsi="Georgia"/>
          <w:sz w:val="22"/>
          <w:szCs w:val="22"/>
        </w:rPr>
        <w:t xml:space="preserve">Today is the AI Reality Check. Not an AI enthusiasm session. Not an AI fear session. An honest assessment of what works, what doesn't, and how to tell the difference before you've written the check.</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MODULE 4.3 — The AI Reality Check</w:t>
      </w:r>
    </w:p>
    <w:p>
      <w:r>
        <w:t xml:space="preserve"/>
      </w:r>
    </w:p>
    <w:p>
      <w:pPr>
        <w:pBdr>
          <w:bottom w:val="single" w:color="00A896" w:sz="3" w:space="1"/>
        </w:pBdr>
        <w:spacing w:before="120" w:after="120"/>
      </w:pPr>
      <w:r>
        <w:t xml:space="preserve"/>
      </w:r>
    </w:p>
    <w:p>
      <w:r>
        <w:t xml:space="preserve"/>
      </w:r>
    </w:p>
    <w:p>
      <w:pPr>
        <w:shd w:fill="0F1F4B" w:val="clear"/>
        <w:spacing w:before="280" w:after="120"/>
      </w:pPr>
      <w:r>
        <w:rPr>
          <w:rFonts w:ascii="Arial" w:cs="Arial" w:eastAsia="Arial" w:hAnsi="Arial"/>
          <w:b/>
          <w:bCs/>
          <w:caps/>
          <w:color w:val="FFFFFF"/>
          <w:sz w:val="22"/>
          <w:szCs w:val="22"/>
        </w:rPr>
        <w:t xml:space="preserve">SEGMENT 2 — THE 5 FAILURE MODES</w:t>
      </w:r>
    </w:p>
    <w:p>
      <w:pPr>
        <w:spacing w:before="80" w:after="40"/>
      </w:pPr>
      <w:r>
        <w:rPr>
          <w:rFonts w:ascii="Courier New" w:cs="Courier New" w:eastAsia="Courier New" w:hAnsi="Courier New"/>
          <w:b/>
          <w:bCs/>
          <w:color w:val="F4A000"/>
          <w:sz w:val="20"/>
          <w:szCs w:val="20"/>
        </w:rPr>
        <w:t xml:space="preserve">[0:55–3:00]</w:t>
      </w:r>
    </w:p>
    <w:p>
      <w:r>
        <w:t xml:space="preserve"/>
      </w:r>
    </w:p>
    <w:p>
      <w:pPr>
        <w:spacing w:before="60" w:after="60"/>
        <w:ind w:left="360"/>
      </w:pPr>
      <w:r>
        <w:rPr>
          <w:rFonts w:ascii="Arial" w:cs="Arial" w:eastAsia="Arial" w:hAnsi="Arial"/>
          <w:i/>
          <w:iCs/>
          <w:color w:val="6B46C1"/>
          <w:sz w:val="18"/>
          <w:szCs w:val="18"/>
        </w:rPr>
        <w:t xml:space="preserve">[DIRECTION: Analytical and grounded. Five points — each one should feel like you've seen it personally. Because you have.]</w:t>
      </w:r>
    </w:p>
    <w:p>
      <w:r>
        <w:t xml:space="preserve"/>
      </w:r>
    </w:p>
    <w:p>
      <w:pPr>
        <w:spacing w:before="80" w:after="80"/>
        <w:ind w:left="720"/>
      </w:pPr>
      <w:r>
        <w:rPr>
          <w:rFonts w:ascii="Georgia" w:cs="Georgia" w:eastAsia="Georgia" w:hAnsi="Georgia"/>
          <w:sz w:val="22"/>
          <w:szCs w:val="22"/>
        </w:rPr>
        <w:t xml:space="preserve">According to MIT Sloan's 2024 research, 95 percent of corporate AI projects fail to deliver on their stated objectives. In CS specifically, the failure rate isn't lower — it's arguably higher, because the data quality problem in CS is worse than in most enterprise functions.</w:t>
      </w:r>
    </w:p>
    <w:p>
      <w:pPr>
        <w:spacing w:before="80" w:after="80"/>
        <w:ind w:left="720"/>
      </w:pPr>
      <w:r>
        <w:rPr>
          <w:rFonts w:ascii="Georgia" w:cs="Georgia" w:eastAsia="Georgia" w:hAnsi="Georgia"/>
          <w:sz w:val="22"/>
          <w:szCs w:val="22"/>
        </w:rPr>
        <w:t xml:space="preserve">Here are the five reasons CS AI projects fail. And I want you to check your current tools against each one.</w:t>
      </w:r>
    </w:p>
    <w:p>
      <w:r>
        <w:t xml:space="preserve"/>
      </w:r>
    </w:p>
    <w:p>
      <w:pPr>
        <w:spacing w:before="80" w:after="80"/>
        <w:ind w:left="720"/>
      </w:pPr>
      <w:r>
        <w:rPr>
          <w:rFonts w:ascii="Georgia" w:cs="Georgia" w:eastAsia="Georgia" w:hAnsi="Georgia"/>
          <w:sz w:val="22"/>
          <w:szCs w:val="22"/>
        </w:rPr>
        <w:t xml:space="preserve">Failure mode one: No data foundation. AI doesn't work on bad data. And the data in most CRM and CS platforms is activity data — calls logged, emails sent, notes added. That is not the same as behavioral data. Behavioral data is what the customer actually does: logins, feature usage patterns, support velocity, stakeholder engagement. If you're pointing AI at activity data and expecting behavioral predictions, you will get garbage outputs with a polished interface.</w:t>
      </w:r>
    </w:p>
    <w:p>
      <w:r>
        <w:t xml:space="preserve"/>
      </w:r>
    </w:p>
    <w:p>
      <w:pPr>
        <w:spacing w:before="80" w:after="80"/>
        <w:ind w:left="720"/>
      </w:pPr>
      <w:r>
        <w:rPr>
          <w:rFonts w:ascii="Georgia" w:cs="Georgia" w:eastAsia="Georgia" w:hAnsi="Georgia"/>
          <w:sz w:val="22"/>
          <w:szCs w:val="22"/>
        </w:rPr>
        <w:t xml:space="preserve">Failure mode two: Automating bad processes. If your weekly check-in cadence is broken — if it's calendar-driven and low-value — and you use AI to send those check-ins automatically, you haven't fixed anything. You've made it worse faster. Automation amplifies what it touches. Make sure what it touches is worth amplifying.</w:t>
      </w:r>
    </w:p>
    <w:p>
      <w:r>
        <w:t xml:space="preserve"/>
      </w:r>
    </w:p>
    <w:p>
      <w:pPr>
        <w:spacing w:before="80" w:after="80"/>
        <w:ind w:left="720"/>
      </w:pPr>
      <w:r>
        <w:rPr>
          <w:rFonts w:ascii="Georgia" w:cs="Georgia" w:eastAsia="Georgia" w:hAnsi="Georgia"/>
          <w:sz w:val="22"/>
          <w:szCs w:val="22"/>
        </w:rPr>
        <w:t xml:space="preserve">Failure mode three: No success metric defined. 'We're using AI now' is not a metric. Before any AI implementation, you should be able to answer: what does success look like in 90 days, in a specific number? If you can't answer that — you bought a demo, not a tool.</w:t>
      </w:r>
    </w:p>
    <w:p>
      <w:r>
        <w:t xml:space="preserve"/>
      </w:r>
    </w:p>
    <w:p>
      <w:pPr>
        <w:spacing w:before="80" w:after="80"/>
        <w:ind w:left="720"/>
      </w:pPr>
      <w:r>
        <w:rPr>
          <w:rFonts w:ascii="Georgia" w:cs="Georgia" w:eastAsia="Georgia" w:hAnsi="Georgia"/>
          <w:sz w:val="22"/>
          <w:szCs w:val="22"/>
        </w:rPr>
        <w:t xml:space="preserve">Failure mode four: Tool without a workflow. AI tools don't replace process. They require process to function. Without a documented workflow — who triggers what, who reviews what, who acts on what — the tool sits unused within 60 days. I've seen it happen repeatedly.</w:t>
      </w:r>
    </w:p>
    <w:p>
      <w:r>
        <w:t xml:space="preserve"/>
      </w:r>
    </w:p>
    <w:p>
      <w:pPr>
        <w:spacing w:before="80" w:after="80"/>
        <w:ind w:left="720"/>
      </w:pPr>
      <w:r>
        <w:rPr>
          <w:rFonts w:ascii="Georgia" w:cs="Georgia" w:eastAsia="Georgia" w:hAnsi="Georgia"/>
          <w:sz w:val="22"/>
          <w:szCs w:val="22"/>
        </w:rPr>
        <w:t xml:space="preserve">Failure mode five: The GPT wrapper trap. This is the biggest one, and we're going to spend time on it. Seventy-three percent of tools currently being marketed as 'AI CS platforms' are a polished UI built on top of a public LLM API call. No proprietary model. No CS-specific training data. No memory of your customer's history. Just GPT with a CS-flavored interface and a significant price tag.</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95% of corporate AI projects fail to deliver stated objectives (MIT Sloan, 2024)</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5 Failure Modes:</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1. No data foundation (activity data ≠ behavioral data)</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2. Automating bad processes (amplifies what it touches)</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3. No success metric defined (90-day specific number required)</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4. Tool without a workflow (unused within 60 days)</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5. The GPT wrapper trap (73% of 'AI CS tools' are wrappers)</w:t>
      </w:r>
    </w:p>
    <w:p>
      <w:r>
        <w:t xml:space="preserve"/>
      </w:r>
    </w:p>
    <w:p>
      <w:pPr>
        <w:pBdr>
          <w:bottom w:val="single" w:color="00A896" w:sz="3" w:space="1"/>
        </w:pBdr>
        <w:spacing w:before="120" w:after="120"/>
      </w:pPr>
      <w:r>
        <w:t xml:space="preserve"/>
      </w:r>
    </w:p>
    <w:p>
      <w:r>
        <w:t xml:space="preserve"/>
      </w:r>
    </w:p>
    <w:p>
      <w:r>
        <w:br w:type="page"/>
      </w:r>
    </w:p>
    <w:p>
      <w:pPr>
        <w:shd w:fill="0F1F4B" w:val="clear"/>
        <w:spacing w:before="280" w:after="120"/>
      </w:pPr>
      <w:r>
        <w:rPr>
          <w:rFonts w:ascii="Arial" w:cs="Arial" w:eastAsia="Arial" w:hAnsi="Arial"/>
          <w:b/>
          <w:bCs/>
          <w:caps/>
          <w:color w:val="FFFFFF"/>
          <w:sz w:val="22"/>
          <w:szCs w:val="22"/>
        </w:rPr>
        <w:t xml:space="preserve">SEGMENT 3 — THE GPT WRAPPER RED FLAGS: 5 Questions to Ask Any AI CS Vendor</w:t>
      </w:r>
    </w:p>
    <w:p>
      <w:pPr>
        <w:spacing w:before="80" w:after="40"/>
      </w:pPr>
      <w:r>
        <w:rPr>
          <w:rFonts w:ascii="Courier New" w:cs="Courier New" w:eastAsia="Courier New" w:hAnsi="Courier New"/>
          <w:b/>
          <w:bCs/>
          <w:color w:val="F4A000"/>
          <w:sz w:val="20"/>
          <w:szCs w:val="20"/>
        </w:rPr>
        <w:t xml:space="preserve">[3:00–5:30]</w:t>
      </w:r>
    </w:p>
    <w:p>
      <w:r>
        <w:t xml:space="preserve"/>
      </w:r>
    </w:p>
    <w:p>
      <w:pPr>
        <w:spacing w:before="60" w:after="60"/>
        <w:ind w:left="360"/>
      </w:pPr>
      <w:r>
        <w:rPr>
          <w:rFonts w:ascii="Arial" w:cs="Arial" w:eastAsia="Arial" w:hAnsi="Arial"/>
          <w:i/>
          <w:iCs/>
          <w:color w:val="6B46C1"/>
          <w:sz w:val="18"/>
          <w:szCs w:val="18"/>
        </w:rPr>
        <w:t xml:space="preserve">[DIRECTION: Slightly faster energy here — you're arming the audience. These are the questions that will save them from bad purchases. Deliver them with conviction.]</w:t>
      </w:r>
    </w:p>
    <w:p>
      <w:r>
        <w:t xml:space="preserve"/>
      </w:r>
    </w:p>
    <w:p>
      <w:pPr>
        <w:spacing w:before="80" w:after="80"/>
        <w:ind w:left="720"/>
      </w:pPr>
      <w:r>
        <w:rPr>
          <w:rFonts w:ascii="Georgia" w:cs="Georgia" w:eastAsia="Georgia" w:hAnsi="Georgia"/>
          <w:sz w:val="22"/>
          <w:szCs w:val="22"/>
        </w:rPr>
        <w:t xml:space="preserve">Before you sign any AI CS contract — or before you evaluate the tools you're already paying for — ask these five questions. And require specific answers. Vague answers are a red flag in themselves.</w:t>
      </w:r>
    </w:p>
    <w:p>
      <w:r>
        <w:t xml:space="preserve"/>
      </w:r>
    </w:p>
    <w:p>
      <w:pPr>
        <w:spacing w:before="160" w:after="120"/>
      </w:pPr>
      <w:r>
        <w:rPr>
          <w:rFonts w:ascii="Arial" w:cs="Arial" w:eastAsia="Arial" w:hAnsi="Arial"/>
          <w:b/>
          <w:bCs/>
          <w:color w:val="0891B2"/>
          <w:sz w:val="22"/>
          <w:szCs w:val="22"/>
        </w:rPr>
        <w:t xml:space="preserve">The 5 GPT Wrapper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4200"/>
        <w:gridCol w:w="4680"/>
      </w:tblGrid>
      <w:tr>
        <w:tc>
          <w:tcPr>
            <w:tcW w:type="dxa" w:w="480"/>
            <w:tcBorders>
              <w:top w:val="single" w:color="CCCCCC" w:sz="1"/>
              <w:left w:val="single" w:color="CCCCCC" w:sz="1"/>
              <w:bottom w:val="single" w:color="CCCCCC" w:sz="1"/>
              <w:right w:val="single" w:color="CCCCCC" w:sz="1"/>
            </w:tcBorders>
            <w:shd w:fill="0F1F4B" w:val="clear"/>
            <w:tcMar>
              <w:top w:type="dxa" w:w="80"/>
              <w:left w:type="dxa" w:w="80"/>
              <w:bottom w:type="dxa" w:w="80"/>
              <w:right w:type="dxa" w:w="80"/>
            </w:tcMar>
          </w:tcPr>
          <w:p>
            <w:r>
              <w:rPr>
                <w:rFonts w:ascii="Arial" w:cs="Arial" w:eastAsia="Arial" w:hAnsi="Arial"/>
                <w:b/>
                <w:bCs/>
                <w:color w:val="FFFFFF"/>
                <w:sz w:val="18"/>
                <w:szCs w:val="18"/>
              </w:rPr>
              <w:t xml:space="preserve">#</w:t>
            </w:r>
          </w:p>
        </w:tc>
        <w:tc>
          <w:tcPr>
            <w:tcW w:type="dxa" w:w="4200"/>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18"/>
                <w:szCs w:val="18"/>
              </w:rPr>
              <w:t xml:space="preserve">Ask the Vendor</w:t>
            </w:r>
          </w:p>
        </w:tc>
        <w:tc>
          <w:tcPr>
            <w:tcW w:type="dxa" w:w="4680"/>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18"/>
                <w:szCs w:val="18"/>
              </w:rPr>
              <w:t xml:space="preserve">Red Flag If...</w:t>
            </w:r>
          </w:p>
        </w:tc>
      </w:tr>
      <w:tr>
        <w:tc>
          <w:tcPr>
            <w:tcW w:type="dxa" w:w="480"/>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color w:val="0891B2"/>
                <w:sz w:val="20"/>
                <w:szCs w:val="20"/>
              </w:rPr>
              <w:t xml:space="preserve">1</w:t>
            </w:r>
          </w:p>
        </w:tc>
        <w:tc>
          <w:tcPr>
            <w:tcW w:type="dxa" w:w="42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color w:val="1A1A2E"/>
                <w:sz w:val="18"/>
                <w:szCs w:val="18"/>
              </w:rPr>
              <w:t xml:space="preserve">Is your model trained on CS data, or are you calling a public LLM API?</w:t>
            </w:r>
          </w:p>
        </w:tc>
        <w:tc>
          <w:tcPr>
            <w:tcW w:type="dxa" w:w="468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i/>
                <w:iCs/>
                <w:color w:val="4A5568"/>
                <w:sz w:val="16"/>
                <w:szCs w:val="16"/>
              </w:rPr>
              <w:t xml:space="preserve">If they can't name a proprietary dataset — it's a wrapper.</w:t>
            </w:r>
          </w:p>
        </w:tc>
      </w:tr>
      <w:tr>
        <w:tc>
          <w:tcPr>
            <w:tcW w:type="dxa" w:w="480"/>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color w:val="0891B2"/>
                <w:sz w:val="20"/>
                <w:szCs w:val="20"/>
              </w:rPr>
              <w:t xml:space="preserve">2</w:t>
            </w:r>
          </w:p>
        </w:tc>
        <w:tc>
          <w:tcPr>
            <w:tcW w:type="dxa" w:w="42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color w:val="1A1A2E"/>
                <w:sz w:val="18"/>
                <w:szCs w:val="18"/>
              </w:rPr>
              <w:t xml:space="preserve">What happens to my customer data? Does it train your model?</w:t>
            </w:r>
          </w:p>
        </w:tc>
        <w:tc>
          <w:tcPr>
            <w:tcW w:type="dxa" w:w="468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i/>
                <w:iCs/>
                <w:color w:val="4A5568"/>
                <w:sz w:val="16"/>
                <w:szCs w:val="16"/>
              </w:rPr>
              <w:t xml:space="preserve">If unclear — your most sensitive data may be in a shared model.</w:t>
            </w:r>
          </w:p>
        </w:tc>
      </w:tr>
      <w:tr>
        <w:tc>
          <w:tcPr>
            <w:tcW w:type="dxa" w:w="480"/>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color w:val="0891B2"/>
                <w:sz w:val="20"/>
                <w:szCs w:val="20"/>
              </w:rPr>
              <w:t xml:space="preserve">3</w:t>
            </w:r>
          </w:p>
        </w:tc>
        <w:tc>
          <w:tcPr>
            <w:tcW w:type="dxa" w:w="42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color w:val="1A1A2E"/>
                <w:sz w:val="18"/>
                <w:szCs w:val="18"/>
              </w:rPr>
              <w:t xml:space="preserve">Show me a customer who reduced churn using this — with a specific number.</w:t>
            </w:r>
          </w:p>
        </w:tc>
        <w:tc>
          <w:tcPr>
            <w:tcW w:type="dxa" w:w="468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i/>
                <w:iCs/>
                <w:color w:val="4A5568"/>
                <w:sz w:val="16"/>
                <w:szCs w:val="16"/>
              </w:rPr>
              <w:t xml:space="preserve">No number = no proof. Vague case studies are not evidence.</w:t>
            </w:r>
          </w:p>
        </w:tc>
      </w:tr>
      <w:tr>
        <w:tc>
          <w:tcPr>
            <w:tcW w:type="dxa" w:w="480"/>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color w:val="0891B2"/>
                <w:sz w:val="20"/>
                <w:szCs w:val="20"/>
              </w:rPr>
              <w:t xml:space="preserve">4</w:t>
            </w:r>
          </w:p>
        </w:tc>
        <w:tc>
          <w:tcPr>
            <w:tcW w:type="dxa" w:w="42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color w:val="1A1A2E"/>
                <w:sz w:val="18"/>
                <w:szCs w:val="18"/>
              </w:rPr>
              <w:t xml:space="preserve">What's your data retention and model retraining cadence?</w:t>
            </w:r>
          </w:p>
        </w:tc>
        <w:tc>
          <w:tcPr>
            <w:tcW w:type="dxa" w:w="468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i/>
                <w:iCs/>
                <w:color w:val="4A5568"/>
                <w:sz w:val="16"/>
                <w:szCs w:val="16"/>
              </w:rPr>
              <w:t xml:space="preserve">No retraining = static model. Static models degrade fast in dynamic data.</w:t>
            </w:r>
          </w:p>
        </w:tc>
      </w:tr>
      <w:tr>
        <w:tc>
          <w:tcPr>
            <w:tcW w:type="dxa" w:w="480"/>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color w:val="0891B2"/>
                <w:sz w:val="20"/>
                <w:szCs w:val="20"/>
              </w:rPr>
              <w:t xml:space="preserve">5</w:t>
            </w:r>
          </w:p>
        </w:tc>
        <w:tc>
          <w:tcPr>
            <w:tcW w:type="dxa" w:w="42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color w:val="1A1A2E"/>
                <w:sz w:val="18"/>
                <w:szCs w:val="18"/>
              </w:rPr>
              <w:t xml:space="preserve">How does it integrate with our CRM and CS platform?</w:t>
            </w:r>
          </w:p>
        </w:tc>
        <w:tc>
          <w:tcPr>
            <w:tcW w:type="dxa" w:w="468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i/>
                <w:iCs/>
                <w:color w:val="4A5568"/>
                <w:sz w:val="16"/>
                <w:szCs w:val="16"/>
              </w:rPr>
              <w:t xml:space="preserve">If the answer is 'CSV export' — it will never become part of your workflow.</w:t>
            </w:r>
          </w:p>
        </w:tc>
      </w:tr>
    </w:tbl>
    <w:p>
      <w:r>
        <w:t xml:space="preserve"/>
      </w:r>
    </w:p>
    <w:p>
      <w:pPr>
        <w:spacing w:before="80" w:after="80"/>
        <w:ind w:left="720"/>
      </w:pPr>
      <w:r>
        <w:rPr>
          <w:rFonts w:ascii="Georgia" w:cs="Georgia" w:eastAsia="Georgia" w:hAnsi="Georgia"/>
          <w:sz w:val="22"/>
          <w:szCs w:val="22"/>
        </w:rPr>
        <w:t xml:space="preserve">The fifth question deserves extra emphasis. Integration. If the answer to 'how does this integrate with our CRM' is any variation of 'you can export a CSV' — walk away. A tool that can't embed itself in your daily workflow will not become part of your daily workflow. It will become an additional tab nobody opens after the first 60 days.</w:t>
      </w:r>
    </w:p>
    <w:p>
      <w:pPr>
        <w:spacing w:before="80" w:after="80"/>
        <w:ind w:left="720"/>
      </w:pPr>
      <w:r>
        <w:rPr>
          <w:rFonts w:ascii="Georgia" w:cs="Georgia" w:eastAsia="Georgia" w:hAnsi="Georgia"/>
          <w:sz w:val="22"/>
          <w:szCs w:val="22"/>
        </w:rPr>
        <w:t xml:space="preserve">I'm not saying every AI tool that can't answer all five questions perfectly is worthless. I'm saying that before you deploy anything to your team, you should know exactly what you're buying — and what you're not.</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5 Questions for Every AI CS Vendor: (see table)</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CSV export integration = tool that will not be used within 60 days</w:t>
      </w:r>
    </w:p>
    <w:p>
      <w:r>
        <w:t xml:space="preserve"/>
      </w:r>
    </w:p>
    <w:p>
      <w:pPr>
        <w:pBdr>
          <w:bottom w:val="single" w:color="00A896" w:sz="3" w:space="1"/>
        </w:pBdr>
        <w:spacing w:before="120" w:after="120"/>
      </w:pPr>
      <w:r>
        <w:t xml:space="preserve"/>
      </w:r>
    </w:p>
    <w:p>
      <w:r>
        <w:t xml:space="preserve"/>
      </w:r>
    </w:p>
    <w:p>
      <w:pPr>
        <w:shd w:fill="0F1F4B" w:val="clear"/>
        <w:spacing w:before="280" w:after="120"/>
      </w:pPr>
      <w:r>
        <w:rPr>
          <w:rFonts w:ascii="Arial" w:cs="Arial" w:eastAsia="Arial" w:hAnsi="Arial"/>
          <w:b/>
          <w:bCs/>
          <w:caps/>
          <w:color w:val="FFFFFF"/>
          <w:sz w:val="22"/>
          <w:szCs w:val="22"/>
        </w:rPr>
        <w:t xml:space="preserve">SEGMENT 4 — WHAT ACTUALLY WORKS: 3 Proven Applications</w:t>
      </w:r>
    </w:p>
    <w:p>
      <w:pPr>
        <w:spacing w:before="80" w:after="40"/>
      </w:pPr>
      <w:r>
        <w:rPr>
          <w:rFonts w:ascii="Courier New" w:cs="Courier New" w:eastAsia="Courier New" w:hAnsi="Courier New"/>
          <w:b/>
          <w:bCs/>
          <w:color w:val="F4A000"/>
          <w:sz w:val="20"/>
          <w:szCs w:val="20"/>
        </w:rPr>
        <w:t xml:space="preserve">[5:30–7:30]</w:t>
      </w:r>
    </w:p>
    <w:p>
      <w:r>
        <w:t xml:space="preserve"/>
      </w:r>
    </w:p>
    <w:p>
      <w:pPr>
        <w:spacing w:before="60" w:after="60"/>
        <w:ind w:left="360"/>
      </w:pPr>
      <w:r>
        <w:rPr>
          <w:rFonts w:ascii="Arial" w:cs="Arial" w:eastAsia="Arial" w:hAnsi="Arial"/>
          <w:i/>
          <w:iCs/>
          <w:color w:val="6B46C1"/>
          <w:sz w:val="18"/>
          <w:szCs w:val="18"/>
        </w:rPr>
        <w:t xml:space="preserve">[DIRECTION: Shift from skeptical to constructive. These three things actually work. Deliver them with confidence. This is where the audience gets actionable optimism.]</w:t>
      </w:r>
    </w:p>
    <w:p>
      <w:r>
        <w:t xml:space="preserve"/>
      </w:r>
    </w:p>
    <w:p>
      <w:pPr>
        <w:spacing w:before="80" w:after="80"/>
        <w:ind w:left="720"/>
      </w:pPr>
      <w:r>
        <w:rPr>
          <w:rFonts w:ascii="Georgia" w:cs="Georgia" w:eastAsia="Georgia" w:hAnsi="Georgia"/>
          <w:sz w:val="22"/>
          <w:szCs w:val="22"/>
        </w:rPr>
        <w:t xml:space="preserve">Now let's talk about what actually works. Because AI in CS does work — in specific, defined applications that are grounded in behavioral data and connected to measurable outcomes.</w:t>
      </w:r>
    </w:p>
    <w:p>
      <w:r>
        <w:t xml:space="preserve"/>
      </w:r>
    </w:p>
    <w:p>
      <w:pPr>
        <w:spacing w:before="80" w:after="80"/>
        <w:ind w:left="720"/>
      </w:pPr>
      <w:r>
        <w:rPr>
          <w:rFonts w:ascii="Georgia" w:cs="Georgia" w:eastAsia="Georgia" w:hAnsi="Georgia"/>
          <w:sz w:val="22"/>
          <w:szCs w:val="22"/>
        </w:rPr>
        <w:t xml:space="preserve">Proven application one: Signal-based churn detection. Not keyword scanning. Not sentiment analysis on support tickets. I mean a system that monitors behavioral signals across your entire customer base simultaneously — usage velocity, feature adoption patterns, support escalation frequency, stakeholder engagement decline — and surfaces accounts showing risk signatures 6 to 8 weeks before any human would notice a pattern. That lead time is the intervention window. That's where proactive save plays actually work.</w:t>
      </w:r>
    </w:p>
    <w:p>
      <w:r>
        <w:t xml:space="preserve"/>
      </w:r>
    </w:p>
    <w:p>
      <w:pPr>
        <w:spacing w:before="80" w:after="80"/>
        <w:ind w:left="720"/>
      </w:pPr>
      <w:r>
        <w:rPr>
          <w:rFonts w:ascii="Georgia" w:cs="Georgia" w:eastAsia="Georgia" w:hAnsi="Georgia"/>
          <w:sz w:val="22"/>
          <w:szCs w:val="22"/>
        </w:rPr>
        <w:t xml:space="preserve">Proven application two: Automated save play triggers. Rules-based plus machine learning that detect when a specific account crosses a risk threshold, then queue a human-reviewed intervention with context: what's wrong, what's worked in similar situations, what the recommended next action is. Not fully automated — human-reviewed before execution. The AI does the detection and the context assembly; the human does the judgment call and the outreach. That division of labor is the right one.</w:t>
      </w:r>
    </w:p>
    <w:p>
      <w:r>
        <w:t xml:space="preserve"/>
      </w:r>
    </w:p>
    <w:p>
      <w:pPr>
        <w:spacing w:before="80" w:after="80"/>
        <w:ind w:left="720"/>
      </w:pPr>
      <w:r>
        <w:rPr>
          <w:rFonts w:ascii="Georgia" w:cs="Georgia" w:eastAsia="Georgia" w:hAnsi="Georgia"/>
          <w:sz w:val="22"/>
          <w:szCs w:val="22"/>
        </w:rPr>
        <w:t xml:space="preserve">Proven application three: Expansion signal monitoring. AI that identifies accounts showing indicators of growth potential — usage approaching feature ceilings, new stakeholders entering the platform, budget cycle timing, business outcome data suggesting capacity for expansion — and routes those signals to expansion plays before the window closes. CSQLs don't generate themselves. AI can surface them systematically, at scale, in a way no human can maintain manually across a full book of business.</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3 PROVEN AI APPLICATIONS IN CS:</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1. Signal-based churn detection — surfaces at-risk accounts 6–8 weeks early</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2. Automated save play triggers — AI detection + context, human judgment + execution</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3. Expansion signal monitoring — systematic CSQL generation at scale</w:t>
      </w:r>
    </w:p>
    <w:p>
      <w:r>
        <w:t xml:space="preserve"/>
      </w:r>
    </w:p>
    <w:p>
      <w:pPr>
        <w:pBdr>
          <w:bottom w:val="single" w:color="00A896" w:sz="3" w:space="1"/>
        </w:pBdr>
        <w:spacing w:before="120" w:after="120"/>
      </w:pPr>
      <w:r>
        <w:t xml:space="preserve"/>
      </w:r>
    </w:p>
    <w:p>
      <w:r>
        <w:t xml:space="preserve"/>
      </w:r>
    </w:p>
    <w:p>
      <w:pPr>
        <w:shd w:fill="0F1F4B" w:val="clear"/>
        <w:spacing w:before="280" w:after="120"/>
      </w:pPr>
      <w:r>
        <w:rPr>
          <w:rFonts w:ascii="Arial" w:cs="Arial" w:eastAsia="Arial" w:hAnsi="Arial"/>
          <w:b/>
          <w:bCs/>
          <w:caps/>
          <w:color w:val="FFFFFF"/>
          <w:sz w:val="22"/>
          <w:szCs w:val="22"/>
        </w:rPr>
        <w:t xml:space="preserve">SEGMENT 5 — THE CCOPILOT ARCHITECTURE: What 15 Agents Actually Do</w:t>
      </w:r>
    </w:p>
    <w:p>
      <w:pPr>
        <w:spacing w:before="80" w:after="40"/>
      </w:pPr>
      <w:r>
        <w:rPr>
          <w:rFonts w:ascii="Courier New" w:cs="Courier New" w:eastAsia="Courier New" w:hAnsi="Courier New"/>
          <w:b/>
          <w:bCs/>
          <w:color w:val="F4A000"/>
          <w:sz w:val="20"/>
          <w:szCs w:val="20"/>
        </w:rPr>
        <w:t xml:space="preserve">[7:30–9:00]</w:t>
      </w:r>
    </w:p>
    <w:p>
      <w:r>
        <w:t xml:space="preserve"/>
      </w:r>
    </w:p>
    <w:p>
      <w:pPr>
        <w:spacing w:before="60" w:after="60"/>
        <w:ind w:left="360"/>
      </w:pPr>
      <w:r>
        <w:rPr>
          <w:rFonts w:ascii="Arial" w:cs="Arial" w:eastAsia="Arial" w:hAnsi="Arial"/>
          <w:i/>
          <w:iCs/>
          <w:color w:val="6B46C1"/>
          <w:sz w:val="18"/>
          <w:szCs w:val="18"/>
        </w:rPr>
        <w:t xml:space="preserve">[DIRECTION: Personal and direct — you built this. Own it without overselling. The honest assessment of what works vs. what's harder is what earns credibility here.]</w:t>
      </w:r>
    </w:p>
    <w:p>
      <w:r>
        <w:t xml:space="preserve"/>
      </w:r>
    </w:p>
    <w:p>
      <w:pPr>
        <w:spacing w:before="80" w:after="80"/>
        <w:ind w:left="720"/>
      </w:pPr>
      <w:r>
        <w:rPr>
          <w:rFonts w:ascii="Georgia" w:cs="Georgia" w:eastAsia="Georgia" w:hAnsi="Georgia"/>
          <w:sz w:val="22"/>
          <w:szCs w:val="22"/>
        </w:rPr>
        <w:t xml:space="preserve">Let me give you a real example of what AI-native CS infrastructure actually looks like — because I built it, and I can tell you what works and what's harder than the pitch decks suggest.</w:t>
      </w:r>
    </w:p>
    <w:p>
      <w:pPr>
        <w:spacing w:before="80" w:after="80"/>
        <w:ind w:left="720"/>
      </w:pPr>
      <w:r>
        <w:rPr>
          <w:rFonts w:ascii="Georgia" w:cs="Georgia" w:eastAsia="Georgia" w:hAnsi="Georgia"/>
          <w:sz w:val="22"/>
          <w:szCs w:val="22"/>
        </w:rPr>
        <w:t xml:space="preserve">CCOPilot.ai uses 15 agents across five categories. Core intelligence agents handle customer data aggregation, health score computation, and predictive modeling. Risk detection agents monitor churn signals and surface intervention priorities. Relationship management agents track stakeholder mapping and champion health. Business cycle agents handle EBR scheduling, expansion signal detection, and CSQL generation. Customer recovery agents manage save play orchestration and post-churn analysis.</w:t>
      </w:r>
    </w:p>
    <w:p>
      <w:pPr>
        <w:spacing w:before="80" w:after="80"/>
        <w:ind w:left="720"/>
      </w:pPr>
      <w:r>
        <w:rPr>
          <w:rFonts w:ascii="Georgia" w:cs="Georgia" w:eastAsia="Georgia" w:hAnsi="Georgia"/>
          <w:sz w:val="22"/>
          <w:szCs w:val="22"/>
        </w:rPr>
        <w:t xml:space="preserve">What works exactly as intended: signal detection, health scoring, automated briefing generation, meeting prep summaries. These are high-value, well-defined tasks where AI consistently outperforms manual execution — faster, more complete, runs at 3am without being asked.</w:t>
      </w:r>
    </w:p>
    <w:p>
      <w:pPr>
        <w:spacing w:before="80" w:after="80"/>
        <w:ind w:left="720"/>
      </w:pPr>
      <w:r>
        <w:rPr>
          <w:rFonts w:ascii="Georgia" w:cs="Georgia" w:eastAsia="Georgia" w:hAnsi="Georgia"/>
          <w:sz w:val="22"/>
          <w:szCs w:val="22"/>
        </w:rPr>
        <w:t xml:space="preserve">What's harder than the marketing materials suggest: the judgment layer. AI can surface that an account is at risk. It cannot replace a human CSM who knows that this particular customer's champion is going through a company restructure and needs a very different kind of conversation than what the risk score suggests. The augmentation model is right. The replacement model is wrong. Build for augmentation.</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CCOPilot.ai — 15 Agents across 5 Categories:</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Core Intelligence · Risk Detection · Relationship Management · Business Cycle · Customer Recovery</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AI Augmentation (correct) vs. AI Replacement (wrong)</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AI handles: routine detection, data aggregation, briefings, health scoring</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Human handles: judgment, relationships, negotiation, exception management</w:t>
      </w:r>
    </w:p>
    <w:p>
      <w:r>
        <w:t xml:space="preserve"/>
      </w:r>
    </w:p>
    <w:p>
      <w:pPr>
        <w:pBdr>
          <w:bottom w:val="single" w:color="00A896" w:sz="3" w:space="1"/>
        </w:pBdr>
        <w:spacing w:before="120" w:after="120"/>
      </w:pPr>
      <w:r>
        <w:t xml:space="preserve"/>
      </w:r>
    </w:p>
    <w:p>
      <w:r>
        <w:t xml:space="preserve"/>
      </w:r>
    </w:p>
    <w:p>
      <w:pPr>
        <w:shd w:fill="0F1F4B" w:val="clear"/>
        <w:spacing w:before="280" w:after="120"/>
      </w:pPr>
      <w:r>
        <w:rPr>
          <w:rFonts w:ascii="Arial" w:cs="Arial" w:eastAsia="Arial" w:hAnsi="Arial"/>
          <w:b/>
          <w:bCs/>
          <w:caps/>
          <w:color w:val="FFFFFF"/>
          <w:sz w:val="22"/>
          <w:szCs w:val="22"/>
        </w:rPr>
        <w:t xml:space="preserve">SEGMENT 6 — DO THIS MONDAY + CLOSE</w:t>
      </w:r>
    </w:p>
    <w:p>
      <w:pPr>
        <w:spacing w:before="80" w:after="40"/>
      </w:pPr>
      <w:r>
        <w:rPr>
          <w:rFonts w:ascii="Courier New" w:cs="Courier New" w:eastAsia="Courier New" w:hAnsi="Courier New"/>
          <w:b/>
          <w:bCs/>
          <w:color w:val="F4A000"/>
          <w:sz w:val="20"/>
          <w:szCs w:val="20"/>
        </w:rPr>
        <w:t xml:space="preserve">[9:00–11:00]</w:t>
      </w:r>
    </w:p>
    <w:p>
      <w:r>
        <w:t xml:space="preserve"/>
      </w:r>
    </w:p>
    <w:p>
      <w:pPr>
        <w:spacing w:before="60" w:after="60"/>
        <w:ind w:left="360"/>
      </w:pPr>
      <w:r>
        <w:rPr>
          <w:rFonts w:ascii="Arial" w:cs="Arial" w:eastAsia="Arial" w:hAnsi="Arial"/>
          <w:i/>
          <w:iCs/>
          <w:color w:val="6B46C1"/>
          <w:sz w:val="18"/>
          <w:szCs w:val="18"/>
        </w:rPr>
        <w:t xml:space="preserve">[DIRECTION: Crisp and direct. The three-step framework is practical and immediate. Close with the investment frame — not cynicism about AI, urgency about doing it right.]</w:t>
      </w:r>
    </w:p>
    <w:p>
      <w:r>
        <w:t xml:space="preserve"/>
      </w:r>
    </w:p>
    <w:p>
      <w:pPr>
        <w:spacing w:before="80" w:after="80"/>
        <w:ind w:left="720"/>
      </w:pPr>
      <w:r>
        <w:rPr>
          <w:rFonts w:ascii="Georgia" w:cs="Georgia" w:eastAsia="Georgia" w:hAnsi="Georgia"/>
          <w:sz w:val="22"/>
          <w:szCs w:val="22"/>
        </w:rPr>
        <w:t xml:space="preserve">Here's what you do Monday morning.</w:t>
      </w:r>
    </w:p>
    <w:p>
      <w:r>
        <w:t xml:space="preserve"/>
      </w:r>
    </w:p>
    <w:p>
      <w:pPr>
        <w:spacing w:before="80" w:after="80"/>
        <w:ind w:left="720"/>
      </w:pPr>
      <w:r>
        <w:rPr>
          <w:rFonts w:ascii="Georgia" w:cs="Georgia" w:eastAsia="Georgia" w:hAnsi="Georgia"/>
          <w:sz w:val="22"/>
          <w:szCs w:val="22"/>
        </w:rPr>
        <w:t xml:space="preserve">One: Run the 5 GPT wrapper questions on every AI tool your team currently uses or is evaluating. Every single one. Pull up the vendor website, pull up the contract if you have one, and find the specific answers. If you can't find them — call the vendor. How they respond to the questions tells you as much as the answers themselves.</w:t>
      </w:r>
    </w:p>
    <w:p>
      <w:r>
        <w:t xml:space="preserve"/>
      </w:r>
    </w:p>
    <w:p>
      <w:pPr>
        <w:spacing w:before="80" w:after="80"/>
        <w:ind w:left="720"/>
      </w:pPr>
      <w:r>
        <w:rPr>
          <w:rFonts w:ascii="Georgia" w:cs="Georgia" w:eastAsia="Georgia" w:hAnsi="Georgia"/>
          <w:sz w:val="22"/>
          <w:szCs w:val="22"/>
        </w:rPr>
        <w:t xml:space="preserve">Two: Identify whether each tool you're evaluating is in Quadrant 1 — proven impact, straightforward implementation — or Quadrant 4 — unproven outcomes, complex implementation. Quadrant 1 first. Always. You build credibility for AI investment by showing early wins, not by betting the portfolio on ambitious technology you haven't validated.</w:t>
      </w:r>
    </w:p>
    <w:p>
      <w:r>
        <w:t xml:space="preserve"/>
      </w:r>
    </w:p>
    <w:p>
      <w:pPr>
        <w:spacing w:before="80" w:after="80"/>
        <w:ind w:left="720"/>
      </w:pPr>
      <w:r>
        <w:rPr>
          <w:rFonts w:ascii="Georgia" w:cs="Georgia" w:eastAsia="Georgia" w:hAnsi="Georgia"/>
          <w:sz w:val="22"/>
          <w:szCs w:val="22"/>
        </w:rPr>
        <w:t xml:space="preserve">Three: If you're not using any AI yet in your CS motion — start with health scoring. Not the most glamorous application. The highest-value one. A well-built health score built on behavioral signals, validated against actual renewal outcomes, and used to drive CSM prioritization will deliver more measurable ROI in 90 days than any AI chat feature your vendor is pitching.</w:t>
      </w:r>
    </w:p>
    <w:p>
      <w:r>
        <w:t xml:space="preserve"/>
      </w:r>
    </w:p>
    <w:p>
      <w:pPr>
        <w:spacing w:before="80" w:after="80"/>
        <w:ind w:left="720"/>
      </w:pPr>
      <w:r>
        <w:rPr>
          <w:rFonts w:ascii="Georgia" w:cs="Georgia" w:eastAsia="Georgia" w:hAnsi="Georgia"/>
          <w:sz w:val="22"/>
          <w:szCs w:val="22"/>
        </w:rPr>
        <w:t xml:space="preserve">The 4.4 trillion dollar AI market is real. The opportunity in CS specifically is real. The companies that get this right will build competitive advantages that are very difficult to replicate. The ones that buy GPT wrappers and call it AI transformation will have expensive shelfware and a team that's more skeptical of the next real innovation when it arrives.</w:t>
      </w:r>
    </w:p>
    <w:p>
      <w:pPr>
        <w:spacing w:before="80" w:after="80"/>
        <w:ind w:left="720"/>
      </w:pPr>
      <w:r>
        <w:rPr>
          <w:rFonts w:ascii="Georgia" w:cs="Georgia" w:eastAsia="Georgia" w:hAnsi="Georgia"/>
          <w:sz w:val="22"/>
          <w:szCs w:val="22"/>
        </w:rPr>
        <w:t xml:space="preserve">Build it right. Start Monday.</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DO THIS MONDAY:</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1. Run the 5 GPT wrapper questions on every AI tool you use or are evaluating</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2. Classify each tool: Quadrant 1 (proven, simple) vs. Quadrant 4 (unproven, complex)</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3. If no AI yet — start with health scoring. Highest ROI. Most proven.</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$4.4T projected AI market by 2030 (Gartner)</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50–60% of CSM time spent on tasks AI can automate</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Signal-based detection surfaces risk accounts 6–8 weeks before human detection</w:t>
      </w:r>
    </w:p>
    <w:p>
      <w:r>
        <w:t xml:space="preserve"/>
      </w:r>
    </w:p>
    <w:p>
      <w:pPr>
        <w:spacing w:before="60" w:after="60"/>
        <w:ind w:left="360"/>
      </w:pPr>
      <w:r>
        <w:rPr>
          <w:rFonts w:ascii="Arial" w:cs="Arial" w:eastAsia="Arial" w:hAnsi="Arial"/>
          <w:i/>
          <w:iCs/>
          <w:color w:val="6B46C1"/>
          <w:sz w:val="18"/>
          <w:szCs w:val="18"/>
        </w:rPr>
        <w:t xml:space="preserve">[DIRECTION: Hold on camera 3–4 seconds after final line before cut.]</w:t>
      </w:r>
    </w:p>
    <w:p>
      <w:r>
        <w:t xml:space="preserve"/>
      </w:r>
    </w:p>
    <w:p>
      <w:pPr>
        <w:pBdr>
          <w:bottom w:val="single" w:color="00A896" w:sz="3" w:space="1"/>
        </w:pBdr>
        <w:spacing w:before="120" w:after="120"/>
      </w:pPr>
      <w:r>
        <w:t xml:space="preserve"/>
      </w:r>
    </w:p>
    <w:p>
      <w:r>
        <w:t xml:space="preserve"/>
      </w:r>
    </w:p>
    <w:p>
      <w:pPr>
        <w:shd w:fill="4A5568" w:val="clear"/>
        <w:spacing w:before="280" w:after="120"/>
      </w:pPr>
      <w:r>
        <w:rPr>
          <w:rFonts w:ascii="Arial" w:cs="Arial" w:eastAsia="Arial" w:hAnsi="Arial"/>
          <w:b/>
          <w:bCs/>
          <w:caps/>
          <w:color w:val="FFFFFF"/>
          <w:sz w:val="22"/>
          <w:szCs w:val="22"/>
        </w:rPr>
        <w:t xml:space="preserve">PRODUCTION NOTES</w:t>
      </w:r>
    </w:p>
    <w:p>
      <w:r>
        <w:t xml:space="preserve"/>
      </w:r>
    </w:p>
    <w:p>
      <w:pPr>
        <w:spacing w:before="80" w:after="60"/>
      </w:pPr>
      <w:r>
        <w:rPr>
          <w:rFonts w:ascii="Arial" w:cs="Arial" w:eastAsia="Arial" w:hAnsi="Arial"/>
          <w:b/>
          <w:bCs/>
          <w:sz w:val="20"/>
          <w:szCs w:val="20"/>
        </w:rPr>
        <w:t xml:space="preserve">B-Roll Suggestions:</w:t>
      </w:r>
    </w:p>
    <w:p>
      <w:pPr>
        <w:pStyle w:val="ListParagraph"/>
        <w:numPr>
          <w:ilvl w:val="0"/>
          <w:numId w:val="2"/>
        </w:numPr>
        <w:spacing w:before="40" w:after="40"/>
      </w:pPr>
      <w:r>
        <w:rPr>
          <w:rFonts w:ascii="Arial" w:cs="Arial" w:eastAsia="Arial" w:hAnsi="Arial"/>
          <w:sz w:val="18"/>
          <w:szCs w:val="18"/>
        </w:rPr>
        <w:t xml:space="preserve">Segment 1: Shane coding on screen; CCOPilot agent dashboard; then cut to skeptical/concerned CSM look</w:t>
      </w:r>
    </w:p>
    <w:p>
      <w:pPr>
        <w:pStyle w:val="ListParagraph"/>
        <w:numPr>
          <w:ilvl w:val="0"/>
          <w:numId w:val="2"/>
        </w:numPr>
        <w:spacing w:before="40" w:after="40"/>
      </w:pPr>
      <w:r>
        <w:rPr>
          <w:rFonts w:ascii="Arial" w:cs="Arial" w:eastAsia="Arial" w:hAnsi="Arial"/>
          <w:sz w:val="18"/>
          <w:szCs w:val="18"/>
        </w:rPr>
        <w:t xml:space="preserve">Segment 2: Vendor pitch deck montage; AI marketing buzzwords scrolling; then behavioral data visualization contrast</w:t>
      </w:r>
    </w:p>
    <w:p>
      <w:pPr>
        <w:pStyle w:val="ListParagraph"/>
        <w:numPr>
          <w:ilvl w:val="0"/>
          <w:numId w:val="2"/>
        </w:numPr>
        <w:spacing w:before="40" w:after="40"/>
      </w:pPr>
      <w:r>
        <w:rPr>
          <w:rFonts w:ascii="Arial" w:cs="Arial" w:eastAsia="Arial" w:hAnsi="Arial"/>
          <w:sz w:val="18"/>
          <w:szCs w:val="18"/>
        </w:rPr>
        <w:t xml:space="preserve">Segment 3: Table of questions appearing on screen one by one; vendor meeting simulation</w:t>
      </w:r>
    </w:p>
    <w:p>
      <w:pPr>
        <w:pStyle w:val="ListParagraph"/>
        <w:numPr>
          <w:ilvl w:val="0"/>
          <w:numId w:val="2"/>
        </w:numPr>
        <w:spacing w:before="40" w:after="40"/>
      </w:pPr>
      <w:r>
        <w:rPr>
          <w:rFonts w:ascii="Arial" w:cs="Arial" w:eastAsia="Arial" w:hAnsi="Arial"/>
          <w:sz w:val="18"/>
          <w:szCs w:val="18"/>
        </w:rPr>
        <w:t xml:space="preserve">Segment 4: Signal detection dashboard in motion; risk alerts populating; expansion pipeline filling</w:t>
      </w:r>
    </w:p>
    <w:p>
      <w:pPr>
        <w:pStyle w:val="ListParagraph"/>
        <w:numPr>
          <w:ilvl w:val="0"/>
          <w:numId w:val="2"/>
        </w:numPr>
        <w:spacing w:before="40" w:after="40"/>
      </w:pPr>
      <w:r>
        <w:rPr>
          <w:rFonts w:ascii="Arial" w:cs="Arial" w:eastAsia="Arial" w:hAnsi="Arial"/>
          <w:sz w:val="18"/>
          <w:szCs w:val="18"/>
        </w:rPr>
        <w:t xml:space="preserve">Segment 5: CCOPilot architecture diagram; agent category icons; inverted pyramid visualization</w:t>
      </w:r>
    </w:p>
    <w:p>
      <w:pPr>
        <w:pStyle w:val="ListParagraph"/>
        <w:numPr>
          <w:ilvl w:val="0"/>
          <w:numId w:val="2"/>
        </w:numPr>
        <w:spacing w:before="40" w:after="40"/>
      </w:pPr>
      <w:r>
        <w:rPr>
          <w:rFonts w:ascii="Arial" w:cs="Arial" w:eastAsia="Arial" w:hAnsi="Arial"/>
          <w:sz w:val="18"/>
          <w:szCs w:val="18"/>
        </w:rPr>
        <w:t xml:space="preserve">Segment 6: AI tool audit process; Quadrant matrix visualization; health score dashboard</w:t>
      </w:r>
    </w:p>
    <w:p>
      <w:r>
        <w:t xml:space="preserve"/>
      </w:r>
    </w:p>
    <w:p>
      <w:r>
        <w:rPr>
          <w:rFonts w:ascii="Arial" w:cs="Arial" w:eastAsia="Arial" w:hAnsi="Arial"/>
          <w:b/>
          <w:bCs/>
          <w:sz w:val="18"/>
          <w:szCs w:val="18"/>
        </w:rPr>
        <w:t xml:space="preserve">Accent Color: </w:t>
      </w:r>
      <w:r>
        <w:rPr>
          <w:rFonts w:ascii="Arial" w:cs="Arial" w:eastAsia="Arial" w:hAnsi="Arial"/>
          <w:color w:val="0891B2"/>
          <w:sz w:val="18"/>
          <w:szCs w:val="18"/>
        </w:rPr>
        <w:t xml:space="preserve">Cyan #0891B2</w:t>
      </w:r>
    </w:p>
    <w:p>
      <w:r>
        <w:rPr>
          <w:rFonts w:ascii="Arial" w:cs="Arial" w:eastAsia="Arial" w:hAnsi="Arial"/>
          <w:b/>
          <w:bCs/>
          <w:sz w:val="18"/>
          <w:szCs w:val="18"/>
        </w:rPr>
        <w:t xml:space="preserve">Word Count Target: </w:t>
      </w:r>
      <w:r>
        <w:rPr>
          <w:rFonts w:ascii="Arial" w:cs="Arial" w:eastAsia="Arial" w:hAnsi="Arial"/>
          <w:sz w:val="18"/>
          <w:szCs w:val="18"/>
        </w:rPr>
        <w:t xml:space="preserve">~1,480 words  |  Estimated Runtime: 9–11 minutes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2026-02-19T16:31:39.411Z</dcterms:created>
  <dcterms:modified xsi:type="dcterms:W3CDTF">2026-02-19T16:31:39.412Z</dcterms:modified>
</cp:coreProperties>
</file>

<file path=docProps/custom.xml><?xml version="1.0" encoding="utf-8"?>
<Properties xmlns="http://schemas.openxmlformats.org/officeDocument/2006/custom-properties" xmlns:vt="http://schemas.openxmlformats.org/officeDocument/2006/docPropsVTypes"/>
</file>