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65A30D" w:val="clear"/>
        <w:spacing w:before="0" w:after="80"/>
        <w:jc w:val="center"/>
      </w:pPr>
      <w:r>
        <w:rPr>
          <w:rFonts w:ascii="Arial" w:cs="Arial" w:eastAsia="Arial" w:hAnsi="Arial"/>
          <w:b/>
          <w:bCs/>
          <w:caps/>
          <w:color w:val="FFFFFF"/>
          <w:sz w:val="32"/>
          <w:szCs w:val="32"/>
        </w:rPr>
        <w:t xml:space="preserve">MODULE 5.1 — VIDEO SCRIPT</w:t>
      </w:r>
    </w:p>
    <w:p>
      <w:pPr>
        <w:shd w:fill="0F1F4B" w:val="clear"/>
        <w:spacing w:before="0" w:after="200"/>
        <w:jc w:val="center"/>
      </w:pPr>
      <w:r>
        <w:rPr>
          <w:rFonts w:ascii="Georgia" w:cs="Georgia" w:eastAsia="Georgia" w:hAnsi="Georgia"/>
          <w:b/>
          <w:bCs/>
          <w:color w:val="FFFFFF"/>
          <w:sz w:val="28"/>
          <w:szCs w:val="28"/>
        </w:rPr>
        <w:t xml:space="preserve">Expansion Revenue: Stop Asking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5.1 — Expansion Revenue: Stop Asking Permission</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5: The Revenue Engine</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Lime #65A30D</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We're Not Salespeople</w:t>
      </w:r>
    </w:p>
    <w:p>
      <w:pPr>
        <w:spacing w:before="80" w:after="40"/>
      </w:pPr>
      <w:r>
        <w:rPr>
          <w:rFonts w:ascii="Courier New" w:cs="Courier New" w:eastAsia="Courier New" w:hAnsi="Courier New"/>
          <w:b/>
          <w:bCs/>
          <w:color w:val="F4A000"/>
          <w:sz w:val="20"/>
          <w:szCs w:val="20"/>
        </w:rPr>
        <w:t xml:space="preserve">[0:00–0:55]</w:t>
      </w:r>
    </w:p>
    <w:p>
      <w:r>
        <w:t xml:space="preserve"/>
      </w:r>
    </w:p>
    <w:p>
      <w:pPr>
        <w:spacing w:before="60" w:after="60"/>
        <w:ind w:left="360"/>
      </w:pPr>
      <w:r>
        <w:rPr>
          <w:rFonts w:ascii="Arial" w:cs="Arial" w:eastAsia="Arial" w:hAnsi="Arial"/>
          <w:i/>
          <w:iCs/>
          <w:color w:val="6B46C1"/>
          <w:sz w:val="18"/>
          <w:szCs w:val="18"/>
        </w:rPr>
        <w:t xml:space="preserve">[DIRECTION: Slightly frustrated but self-aware energy. This opener names the cultural problem precisely before you argue against it. Let the audience recognize themselves.]</w:t>
      </w:r>
    </w:p>
    <w:p>
      <w:r>
        <w:t xml:space="preserve"/>
      </w:r>
    </w:p>
    <w:p>
      <w:pPr>
        <w:spacing w:before="80" w:after="80"/>
        <w:ind w:left="720"/>
      </w:pPr>
      <w:r>
        <w:rPr>
          <w:rFonts w:ascii="Georgia" w:cs="Georgia" w:eastAsia="Georgia" w:hAnsi="Georgia"/>
          <w:sz w:val="22"/>
          <w:szCs w:val="22"/>
        </w:rPr>
        <w:t xml:space="preserve">There's a phrase I've heard in almost every CS organization I've worked with, at every company, at every stage.</w:t>
      </w:r>
    </w:p>
    <w:p>
      <w:pPr>
        <w:spacing w:before="80" w:after="80"/>
        <w:ind w:left="720"/>
      </w:pPr>
      <w:r>
        <w:rPr>
          <w:rFonts w:ascii="Georgia" w:cs="Georgia" w:eastAsia="Georgia" w:hAnsi="Georgia"/>
          <w:sz w:val="22"/>
          <w:szCs w:val="22"/>
        </w:rPr>
        <w:t xml:space="preserve">'We're not salespeople.'</w:t>
      </w:r>
    </w:p>
    <w:p>
      <w:pPr>
        <w:spacing w:before="80" w:after="80"/>
        <w:ind w:left="720"/>
      </w:pPr>
      <w:r>
        <w:rPr>
          <w:rFonts w:ascii="Georgia" w:cs="Georgia" w:eastAsia="Georgia" w:hAnsi="Georgia"/>
          <w:sz w:val="22"/>
          <w:szCs w:val="22"/>
        </w:rPr>
        <w:t xml:space="preserve">It usually comes up when the conversation turns to expansion. Someone asks why CS isn't surfacing more upsell opportunities, and somebody says it — quietly, or sometimes loudly — 'We're not salespeople.'</w:t>
      </w:r>
    </w:p>
    <w:p>
      <w:pPr>
        <w:spacing w:before="80" w:after="80"/>
        <w:ind w:left="720"/>
      </w:pPr>
      <w:r>
        <w:rPr>
          <w:rFonts w:ascii="Georgia" w:cs="Georgia" w:eastAsia="Georgia" w:hAnsi="Georgia"/>
          <w:sz w:val="22"/>
          <w:szCs w:val="22"/>
        </w:rPr>
        <w:t xml:space="preserve">I understand where it started. Early CS teams were deliberately positioned as post-sale support — a counterweight to aggressive sales behavior, a voice for the customer's interests. And that instinct was correct.</w:t>
      </w:r>
    </w:p>
    <w:p>
      <w:pPr>
        <w:spacing w:before="80" w:after="80"/>
        <w:ind w:left="720"/>
      </w:pPr>
      <w:r>
        <w:rPr>
          <w:rFonts w:ascii="Georgia" w:cs="Georgia" w:eastAsia="Georgia" w:hAnsi="Georgia"/>
          <w:sz w:val="22"/>
          <w:szCs w:val="22"/>
        </w:rPr>
        <w:t xml:space="preserve">But somewhere along the way, 'we're not salespeople' stopped being a positioning statement and became an excuse. An excuse to stay quiet when customers are ready to grow. An excuse not to build the systems that turn customer value into company revenue. And an excuse that is costing your organization real money every single quarter.</w:t>
      </w:r>
    </w:p>
    <w:p>
      <w:pPr>
        <w:spacing w:before="80" w:after="80"/>
        <w:ind w:left="720"/>
      </w:pPr>
      <w:r>
        <w:rPr>
          <w:rFonts w:ascii="Georgia" w:cs="Georgia" w:eastAsia="Georgia" w:hAnsi="Georgia"/>
          <w:sz w:val="22"/>
          <w:szCs w:val="22"/>
        </w:rPr>
        <w:t xml:space="preserve">Today we build the expansion motion that CS should have had from the beginning. Not a sales motion. An outcome motion. There is a difference.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5.1 — Expansion Revenue: Stop Asking Permission</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FINANCIAL CASE THAT'S BEYOND DEBATE</w:t>
      </w:r>
    </w:p>
    <w:p>
      <w:pPr>
        <w:spacing w:before="80" w:after="40"/>
      </w:pPr>
      <w:r>
        <w:rPr>
          <w:rFonts w:ascii="Courier New" w:cs="Courier New" w:eastAsia="Courier New" w:hAnsi="Courier New"/>
          <w:b/>
          <w:bCs/>
          <w:color w:val="F4A000"/>
          <w:sz w:val="20"/>
          <w:szCs w:val="20"/>
        </w:rPr>
        <w:t xml:space="preserve">[0:55–2:30]</w:t>
      </w:r>
    </w:p>
    <w:p>
      <w:r>
        <w:t xml:space="preserve"/>
      </w:r>
    </w:p>
    <w:p>
      <w:pPr>
        <w:spacing w:before="60" w:after="60"/>
        <w:ind w:left="360"/>
      </w:pPr>
      <w:r>
        <w:rPr>
          <w:rFonts w:ascii="Arial" w:cs="Arial" w:eastAsia="Arial" w:hAnsi="Arial"/>
          <w:i/>
          <w:iCs/>
          <w:color w:val="6B46C1"/>
          <w:sz w:val="18"/>
          <w:szCs w:val="18"/>
        </w:rPr>
        <w:t xml:space="preserve">[DIRECTION: Data-driven and slightly impatient. These numbers are not subtle. Don't let them slide past — let each one register.]</w:t>
      </w:r>
    </w:p>
    <w:p>
      <w:r>
        <w:t xml:space="preserve"/>
      </w:r>
    </w:p>
    <w:p>
      <w:pPr>
        <w:spacing w:before="80" w:after="80"/>
        <w:ind w:left="720"/>
      </w:pPr>
      <w:r>
        <w:rPr>
          <w:rFonts w:ascii="Georgia" w:cs="Georgia" w:eastAsia="Georgia" w:hAnsi="Georgia"/>
          <w:sz w:val="22"/>
          <w:szCs w:val="22"/>
        </w:rPr>
        <w:t xml:space="preserve">Let me put the financial case on the table, because this conversation sometimes gets framed as a philosophical debate when it is actually a math problem.</w:t>
      </w:r>
    </w:p>
    <w:p>
      <w:pPr>
        <w:spacing w:before="80" w:after="80"/>
        <w:ind w:left="720"/>
      </w:pPr>
      <w:r>
        <w:rPr>
          <w:rFonts w:ascii="Georgia" w:cs="Georgia" w:eastAsia="Georgia" w:hAnsi="Georgia"/>
          <w:sz w:val="22"/>
          <w:szCs w:val="22"/>
        </w:rPr>
        <w:t xml:space="preserve">At top-performing SaaS companies, more than 50 percent of new ARR comes from upsells and cross-sells to existing customers. Not new logo acquisition. Existing customers.</w:t>
      </w:r>
    </w:p>
    <w:p>
      <w:pPr>
        <w:spacing w:before="80" w:after="80"/>
        <w:ind w:left="720"/>
      </w:pPr>
      <w:r>
        <w:rPr>
          <w:rFonts w:ascii="Georgia" w:cs="Georgia" w:eastAsia="Georgia" w:hAnsi="Georgia"/>
          <w:sz w:val="22"/>
          <w:szCs w:val="22"/>
        </w:rPr>
        <w:t xml:space="preserve">The cost to acquire a new customer is 5 to 7 times higher than the cost to expand an existing one. The win rate on expansion deals is dramatically higher than new business. The sales cycle is shorter. The relationship capital is already built. The business case is already proven because they're using the product.</w:t>
      </w:r>
    </w:p>
    <w:p>
      <w:pPr>
        <w:spacing w:before="80" w:after="80"/>
        <w:ind w:left="720"/>
      </w:pPr>
      <w:r>
        <w:rPr>
          <w:rFonts w:ascii="Georgia" w:cs="Georgia" w:eastAsia="Georgia" w:hAnsi="Georgia"/>
          <w:sz w:val="22"/>
          <w:szCs w:val="22"/>
        </w:rPr>
        <w:t xml:space="preserve">And here's the gap: most companies have no formal expansion motion in CS. What they have is an informal practice where CSMs mention opportunities in Slack and sometimes someone follows up. Sometimes. If the stars align. If the account executive happens to notice.</w:t>
      </w:r>
    </w:p>
    <w:p>
      <w:pPr>
        <w:spacing w:before="80" w:after="80"/>
        <w:ind w:left="720"/>
      </w:pPr>
      <w:r>
        <w:rPr>
          <w:rFonts w:ascii="Georgia" w:cs="Georgia" w:eastAsia="Georgia" w:hAnsi="Georgia"/>
          <w:sz w:val="22"/>
          <w:szCs w:val="22"/>
        </w:rPr>
        <w:t xml:space="preserve">That is not a motion. That is an accident. And accidents don't compound.</w:t>
      </w:r>
    </w:p>
    <w:p>
      <w:pPr>
        <w:spacing w:before="80" w:after="80"/>
        <w:ind w:left="720"/>
      </w:pPr>
      <w:r>
        <w:rPr>
          <w:rFonts w:ascii="Georgia" w:cs="Georgia" w:eastAsia="Georgia" w:hAnsi="Georgia"/>
          <w:sz w:val="22"/>
          <w:szCs w:val="22"/>
        </w:rPr>
        <w:t xml:space="preserve">Let's build something that compounds.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50%+ of new ARR at top-performing SaaS from existing customer base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5–7× higher cost to acquire new customer vs. expand existing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Win rate on expansion: dramatically higher than new business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33% higher expansion revenue at companies with formal strategic review process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3 — THE CSQL: The Post-Sale MQL</w:t>
      </w:r>
    </w:p>
    <w:p>
      <w:pPr>
        <w:spacing w:before="80" w:after="40"/>
      </w:pPr>
      <w:r>
        <w:rPr>
          <w:rFonts w:ascii="Courier New" w:cs="Courier New" w:eastAsia="Courier New" w:hAnsi="Courier New"/>
          <w:b/>
          <w:bCs/>
          <w:color w:val="F4A000"/>
          <w:sz w:val="20"/>
          <w:szCs w:val="20"/>
        </w:rPr>
        <w:t xml:space="preserve">[2:30–4:30]</w:t>
      </w:r>
    </w:p>
    <w:p>
      <w:r>
        <w:t xml:space="preserve"/>
      </w:r>
    </w:p>
    <w:p>
      <w:pPr>
        <w:spacing w:before="60" w:after="60"/>
        <w:ind w:left="360"/>
      </w:pPr>
      <w:r>
        <w:rPr>
          <w:rFonts w:ascii="Arial" w:cs="Arial" w:eastAsia="Arial" w:hAnsi="Arial"/>
          <w:i/>
          <w:iCs/>
          <w:color w:val="6B46C1"/>
          <w:sz w:val="18"/>
          <w:szCs w:val="18"/>
        </w:rPr>
        <w:t xml:space="preserve">[DIRECTION: This is the structural core of the module. Clear and deliberate. Define the CSQL precisely — the audience may have heard the term but never implemented it with rigor.]</w:t>
      </w:r>
    </w:p>
    <w:p>
      <w:r>
        <w:t xml:space="preserve"/>
      </w:r>
    </w:p>
    <w:p>
      <w:pPr>
        <w:spacing w:before="80" w:after="80"/>
        <w:ind w:left="720"/>
      </w:pPr>
      <w:r>
        <w:rPr>
          <w:rFonts w:ascii="Georgia" w:cs="Georgia" w:eastAsia="Georgia" w:hAnsi="Georgia"/>
          <w:sz w:val="22"/>
          <w:szCs w:val="22"/>
        </w:rPr>
        <w:t xml:space="preserve">The CSQL — the Customer Success Qualified Lead — is the expansion opportunity identified by CS based on account signals, conversation data, and usage behavior. It is the post-sale equivalent of a marketing qualified lead.</w:t>
      </w:r>
    </w:p>
    <w:p>
      <w:pPr>
        <w:spacing w:before="80" w:after="80"/>
        <w:ind w:left="720"/>
      </w:pPr>
      <w:r>
        <w:rPr>
          <w:rFonts w:ascii="Georgia" w:cs="Georgia" w:eastAsia="Georgia" w:hAnsi="Georgia"/>
          <w:sz w:val="22"/>
          <w:szCs w:val="22"/>
        </w:rPr>
        <w:t xml:space="preserve">And here's what's striking: companies spend enormous amounts of time and money debating MQL definitions, qualification criteria, SLA handoffs, conversion tracking. They have entire teams dedicated to the MQL pipeline.</w:t>
      </w:r>
    </w:p>
    <w:p>
      <w:pPr>
        <w:spacing w:before="80" w:after="80"/>
        <w:ind w:left="720"/>
      </w:pPr>
      <w:r>
        <w:rPr>
          <w:rFonts w:ascii="Georgia" w:cs="Georgia" w:eastAsia="Georgia" w:hAnsi="Georgia"/>
          <w:sz w:val="22"/>
          <w:szCs w:val="22"/>
        </w:rPr>
        <w:t xml:space="preserve">Most of those same companies have no definition of what constitutes a CSQL, no qualification criteria, no SLA for response, and no way to measure CSQL conversion to closed revenue.</w:t>
      </w:r>
    </w:p>
    <w:p>
      <w:pPr>
        <w:spacing w:before="80" w:after="80"/>
        <w:ind w:left="720"/>
      </w:pPr>
      <w:r>
        <w:rPr>
          <w:rFonts w:ascii="Georgia" w:cs="Georgia" w:eastAsia="Georgia" w:hAnsi="Georgia"/>
          <w:sz w:val="22"/>
          <w:szCs w:val="22"/>
        </w:rPr>
        <w:t xml:space="preserve">The CSQL deserves the same rigor as the MQL. It doesn't get it. That is the gap we're closing today.</w:t>
      </w:r>
    </w:p>
    <w:p>
      <w:r>
        <w:t xml:space="preserve"/>
      </w:r>
    </w:p>
    <w:p>
      <w:pPr>
        <w:spacing w:before="80" w:after="80"/>
        <w:ind w:left="720"/>
      </w:pPr>
      <w:r>
        <w:rPr>
          <w:rFonts w:ascii="Georgia" w:cs="Georgia" w:eastAsia="Georgia" w:hAnsi="Georgia"/>
          <w:sz w:val="22"/>
          <w:szCs w:val="22"/>
        </w:rPr>
        <w:t xml:space="preserve">Building the CSQL process has four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5A30D"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CCCCCC" w:sz="1"/>
              <w:left w:val="single" w:color="CCCCCC" w:sz="1"/>
              <w:bottom w:val="single" w:color="CCCCCC" w:sz="1"/>
              <w:right w:val="single" w:color="CCCCCC" w:sz="1"/>
            </w:tcBorders>
            <w:shd w:fill="65A30D" w:val="clear"/>
            <w:tcMar>
              <w:top w:type="dxa" w:w="80"/>
              <w:left w:type="dxa" w:w="120"/>
              <w:bottom w:type="dxa" w:w="80"/>
              <w:right w:type="dxa" w:w="120"/>
            </w:tcMar>
          </w:tcPr>
          <w:p>
            <w:r>
              <w:rPr>
                <w:rFonts w:ascii="Arial" w:cs="Arial" w:eastAsia="Arial" w:hAnsi="Arial"/>
                <w:b/>
                <w:bCs/>
                <w:color w:val="FFFFFF"/>
                <w:sz w:val="18"/>
                <w:szCs w:val="18"/>
              </w:rPr>
              <w:t xml:space="preserve">WHAT IT MEANS IN PRACTICE</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65A30D"/>
                <w:sz w:val="18"/>
                <w:szCs w:val="18"/>
              </w:rPr>
              <w:t xml:space="preserve">Signal Identification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Usage growth approaching feature ceiling, new stakeholders entering platform, budget cycle timing, feature adoption at capacity</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65A30D"/>
                <w:sz w:val="18"/>
                <w:szCs w:val="18"/>
              </w:rPr>
              <w:t xml:space="preserve">Qualification Standards</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Not every opportunity is a CSQL. Define the 3 criteria that make it qualified vs. a wish. Write it down.</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65A30D"/>
                <w:sz w:val="18"/>
                <w:szCs w:val="18"/>
              </w:rPr>
              <w:t xml:space="preserve">48-Hour SLA</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Every CSQL gets a response within 48 hours. Buying windows close fast. CSQLs sitting untouched for a week lose momentum.</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65A30D"/>
                <w:sz w:val="18"/>
                <w:szCs w:val="18"/>
              </w:rPr>
              <w:t xml:space="preserve">Measurement</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Volume, conversion rate, average deal size, time to close — tracked exactly like any pipeline metric.</w:t>
            </w:r>
          </w:p>
        </w:tc>
      </w:tr>
    </w:tbl>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CSQL = Customer Success Qualified Lead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Post-sale MQL — deserves identical rigor: definition, qualification, SLA, measurement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48-Hour SLA: buying windows close fast — CSQLs sitting untouched lose momentum</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4 — THE FATAL FRAMING ERROR</w:t>
      </w:r>
    </w:p>
    <w:p>
      <w:pPr>
        <w:spacing w:before="80" w:after="40"/>
      </w:pPr>
      <w:r>
        <w:rPr>
          <w:rFonts w:ascii="Courier New" w:cs="Courier New" w:eastAsia="Courier New" w:hAnsi="Courier New"/>
          <w:b/>
          <w:bCs/>
          <w:color w:val="F4A000"/>
          <w:sz w:val="20"/>
          <w:szCs w:val="20"/>
        </w:rPr>
        <w:t xml:space="preserve">[4:30–6:30]</w:t>
      </w:r>
    </w:p>
    <w:p>
      <w:r>
        <w:t xml:space="preserve"/>
      </w:r>
    </w:p>
    <w:p>
      <w:pPr>
        <w:spacing w:before="60" w:after="60"/>
        <w:ind w:left="360"/>
      </w:pPr>
      <w:r>
        <w:rPr>
          <w:rFonts w:ascii="Arial" w:cs="Arial" w:eastAsia="Arial" w:hAnsi="Arial"/>
          <w:i/>
          <w:iCs/>
          <w:color w:val="6B46C1"/>
          <w:sz w:val="18"/>
          <w:szCs w:val="18"/>
        </w:rPr>
        <w:t xml:space="preserve">[DIRECTION: This is the most important slide in the module for behavior change. Say the wrong framing — almost apologetically. Then say the right framing — with full confidence. The contrast is the lesson.]</w:t>
      </w:r>
    </w:p>
    <w:p>
      <w:r>
        <w:t xml:space="preserve"/>
      </w:r>
    </w:p>
    <w:p>
      <w:pPr>
        <w:spacing w:before="80" w:after="80"/>
        <w:ind w:left="720"/>
      </w:pPr>
      <w:r>
        <w:rPr>
          <w:rFonts w:ascii="Georgia" w:cs="Georgia" w:eastAsia="Georgia" w:hAnsi="Georgia"/>
          <w:sz w:val="22"/>
          <w:szCs w:val="22"/>
        </w:rPr>
        <w:t xml:space="preserve">Before we talk about the mechanics of expansion conversations, we have to talk about framing. Because the framing error is the most common reason expansion conversations fail — even when the signal is right and the timing is perfect.</w:t>
      </w:r>
    </w:p>
    <w:p>
      <w:r>
        <w:t xml:space="preserve"/>
      </w:r>
    </w:p>
    <w:p>
      <w:pPr>
        <w:spacing w:before="80" w:after="80"/>
        <w:ind w:left="720"/>
      </w:pPr>
      <w:r>
        <w:rPr>
          <w:rFonts w:ascii="Georgia" w:cs="Georgia" w:eastAsia="Georgia" w:hAnsi="Georgia"/>
          <w:sz w:val="22"/>
          <w:szCs w:val="22"/>
        </w:rPr>
        <w:t xml:space="preserve">Here are two ways to open an expansion conversation. Listen to the difference.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0404" w:val="clear"/>
            <w:tcMar>
              <w:top w:type="dxa" w:w="80"/>
              <w:left w:type="dxa" w:w="120"/>
              <w:bottom w:type="dxa" w:w="80"/>
              <w:right w:type="dxa" w:w="120"/>
            </w:tcMar>
          </w:tcPr>
          <w:p>
            <w:r>
              <w:rPr>
                <w:rFonts w:ascii="Arial" w:cs="Arial" w:eastAsia="Arial" w:hAnsi="Arial"/>
                <w:b/>
                <w:bCs/>
                <w:caps/>
                <w:color w:val="FCA5A5"/>
                <w:sz w:val="18"/>
                <w:szCs w:val="18"/>
              </w:rPr>
              <w:t xml:space="preserve">FATAL FRAMING — TRIGGERS PROCUREMENT DEFENSE</w:t>
            </w:r>
          </w:p>
        </w:tc>
        <w:tc>
          <w:tcPr>
            <w:tcW w:type="dxa" w:w="4680"/>
            <w:tcBorders>
              <w:top w:val="single" w:color="CCCCCC" w:sz="1"/>
              <w:left w:val="single" w:color="CCCCCC" w:sz="1"/>
              <w:bottom w:val="single" w:color="CCCCCC" w:sz="1"/>
              <w:right w:val="single" w:color="CCCCCC" w:sz="1"/>
            </w:tcBorders>
            <w:shd w:fill="052E16" w:val="clear"/>
            <w:tcMar>
              <w:top w:type="dxa" w:w="80"/>
              <w:left w:type="dxa" w:w="120"/>
              <w:bottom w:type="dxa" w:w="80"/>
              <w:right w:type="dxa" w:w="120"/>
            </w:tcMar>
          </w:tcPr>
          <w:p>
            <w:r>
              <w:rPr>
                <w:rFonts w:ascii="Arial" w:cs="Arial" w:eastAsia="Arial" w:hAnsi="Arial"/>
                <w:b/>
                <w:bCs/>
                <w:caps/>
                <w:color w:val="86EFAC"/>
                <w:sz w:val="18"/>
                <w:szCs w:val="18"/>
              </w:rPr>
              <w:t xml:space="preserve">OUTCOME ARCHITECT FRAMING — OPENS CONVERSATION</w:t>
            </w:r>
          </w:p>
        </w:tc>
      </w:tr>
      <w:tr>
        <w:tc>
          <w:tcPr>
            <w:tcW w:type="dxa" w:w="4680"/>
            <w:tcBorders>
              <w:top w:val="single" w:color="CCCCCC" w:sz="1"/>
              <w:left w:val="single" w:color="CCCCCC" w:sz="1"/>
              <w:bottom w:val="single" w:color="CCCCCC" w:sz="1"/>
              <w:right w:val="single" w:color="CCCCCC" w:sz="1"/>
            </w:tcBorders>
            <w:shd w:fill="EEF2FA" w:val="clear"/>
            <w:tcMar>
              <w:top w:type="dxa" w:w="120"/>
              <w:left w:type="dxa" w:w="120"/>
              <w:bottom w:type="dxa" w:w="120"/>
              <w:right w:type="dxa" w:w="120"/>
            </w:tcMar>
          </w:tcPr>
          <w:p>
            <w:r>
              <w:rPr>
                <w:rFonts w:ascii="Georgia" w:cs="Georgia" w:eastAsia="Georgia" w:hAnsi="Georgia"/>
                <w:i/>
                <w:iCs/>
                <w:color w:val="991B1B"/>
                <w:sz w:val="20"/>
                <w:szCs w:val="20"/>
              </w:rPr>
              <w:t xml:space="preserve">"We have a new feature we'd like to tell you about."</w:t>
            </w:r>
          </w:p>
        </w:tc>
        <w:tc>
          <w:tcPr>
            <w:tcW w:type="dxa" w:w="4680"/>
            <w:tcBorders>
              <w:top w:val="single" w:color="CCCCCC" w:sz="1"/>
              <w:left w:val="single" w:color="CCCCCC" w:sz="1"/>
              <w:bottom w:val="single" w:color="CCCCCC" w:sz="1"/>
              <w:right w:val="single" w:color="CCCCCC" w:sz="1"/>
            </w:tcBorders>
            <w:shd w:fill="EEF2FA" w:val="clear"/>
            <w:tcMar>
              <w:top w:type="dxa" w:w="120"/>
              <w:left w:type="dxa" w:w="120"/>
              <w:bottom w:type="dxa" w:w="120"/>
              <w:right w:type="dxa" w:w="120"/>
            </w:tcMar>
          </w:tcPr>
          <w:p>
            <w:r>
              <w:rPr>
                <w:rFonts w:ascii="Georgia" w:cs="Georgia" w:eastAsia="Georgia" w:hAnsi="Georgia"/>
                <w:i/>
                <w:iCs/>
                <w:color w:val="166534"/>
                <w:sz w:val="20"/>
                <w:szCs w:val="20"/>
              </w:rPr>
              <w:t xml:space="preserve">"Based on your usage patterns, you're generating $400K in annual value from the platform. Companies with similar profiles who activate the advanced analytics module see an additional $200K. Given your Q3 planning cycle, would it make sense to explore this?"</w:t>
            </w:r>
          </w:p>
        </w:tc>
      </w:tr>
    </w:tbl>
    <w:p>
      <w:r>
        <w:t xml:space="preserve"/>
      </w:r>
    </w:p>
    <w:p>
      <w:pPr>
        <w:spacing w:before="80" w:after="80"/>
        <w:ind w:left="720"/>
      </w:pPr>
      <w:r>
        <w:rPr>
          <w:rFonts w:ascii="Georgia" w:cs="Georgia" w:eastAsia="Georgia" w:hAnsi="Georgia"/>
          <w:sz w:val="22"/>
          <w:szCs w:val="22"/>
        </w:rPr>
        <w:t xml:space="preserve">The first version triggers procurement. It sounds like a sales pitch. The customer's defenses activate. They start thinking about budget cycles, approval processes, competing priorities.</w:t>
      </w:r>
    </w:p>
    <w:p>
      <w:pPr>
        <w:spacing w:before="80" w:after="80"/>
        <w:ind w:left="720"/>
      </w:pPr>
      <w:r>
        <w:rPr>
          <w:rFonts w:ascii="Georgia" w:cs="Georgia" w:eastAsia="Georgia" w:hAnsi="Georgia"/>
          <w:sz w:val="22"/>
          <w:szCs w:val="22"/>
        </w:rPr>
        <w:t xml:space="preserve">The second version does something completely different. It opens with data they care about — the value they're already generating. It quantifies the potential upside in their terms. It connects to their planning cycle. And it asks a question that gives them agency.</w:t>
      </w:r>
    </w:p>
    <w:p>
      <w:pPr>
        <w:spacing w:before="80" w:after="80"/>
        <w:ind w:left="720"/>
      </w:pPr>
      <w:r>
        <w:rPr>
          <w:rFonts w:ascii="Georgia" w:cs="Georgia" w:eastAsia="Georgia" w:hAnsi="Georgia"/>
          <w:sz w:val="22"/>
          <w:szCs w:val="22"/>
        </w:rPr>
        <w:t xml:space="preserve">You're not asking for money. You're offering insight. You're not selling, you're advising. You're not triggering a procurement process, you're opening a conversation that they want to have.</w:t>
      </w:r>
    </w:p>
    <w:p>
      <w:pPr>
        <w:spacing w:before="80" w:after="80"/>
        <w:ind w:left="720"/>
      </w:pPr>
      <w:r>
        <w:rPr>
          <w:rFonts w:ascii="Georgia" w:cs="Georgia" w:eastAsia="Georgia" w:hAnsi="Georgia"/>
          <w:sz w:val="22"/>
          <w:szCs w:val="22"/>
        </w:rPr>
        <w:t xml:space="preserve">The Outcome Architect doesn't expand accounts. The Outcome Architect identifies where the customer is leaving value on the table — and then offers a specific path to get to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Fatal Framing: 'We have a new feature we'd like to tell you about' → triggers procurement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Outcome Framing: Open with their value data → quantify upside → connect to their cycle → ask a question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You're not asking for money. You're offering insight. That framing changes everything.</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EXPANSION STAIRCASE INTRO + STEP 1</w:t>
      </w:r>
    </w:p>
    <w:p>
      <w:pPr>
        <w:spacing w:before="80" w:after="40"/>
      </w:pPr>
      <w:r>
        <w:rPr>
          <w:rFonts w:ascii="Courier New" w:cs="Courier New" w:eastAsia="Courier New" w:hAnsi="Courier New"/>
          <w:b/>
          <w:bCs/>
          <w:color w:val="F4A000"/>
          <w:sz w:val="20"/>
          <w:szCs w:val="20"/>
        </w:rPr>
        <w:t xml:space="preserve">[6:30–8:30]</w:t>
      </w:r>
    </w:p>
    <w:p>
      <w:r>
        <w:t xml:space="preserve"/>
      </w:r>
    </w:p>
    <w:p>
      <w:pPr>
        <w:spacing w:before="60" w:after="60"/>
        <w:ind w:left="360"/>
      </w:pPr>
      <w:r>
        <w:rPr>
          <w:rFonts w:ascii="Arial" w:cs="Arial" w:eastAsia="Arial" w:hAnsi="Arial"/>
          <w:i/>
          <w:iCs/>
          <w:color w:val="6B46C1"/>
          <w:sz w:val="18"/>
          <w:szCs w:val="18"/>
        </w:rPr>
        <w:t xml:space="preserve">[DIRECTION: Introduce the Expansion Staircase concept clearly — this is a teaser for Module 5.2, but Step 1 needs to land fully here. Don't rush through it — this is the guardrail that protects expansion conversations from failing.]</w:t>
      </w:r>
    </w:p>
    <w:p>
      <w:r>
        <w:t xml:space="preserve"/>
      </w:r>
    </w:p>
    <w:p>
      <w:pPr>
        <w:spacing w:before="80" w:after="80"/>
        <w:ind w:left="720"/>
      </w:pPr>
      <w:r>
        <w:rPr>
          <w:rFonts w:ascii="Georgia" w:cs="Georgia" w:eastAsia="Georgia" w:hAnsi="Georgia"/>
          <w:sz w:val="22"/>
          <w:szCs w:val="22"/>
        </w:rPr>
        <w:t xml:space="preserve">The Expansion Staircase is the full framework for moving customers from their current contract value to maximum account potential. We'll go deep on all five steps in Module 5.2.</w:t>
      </w:r>
    </w:p>
    <w:p>
      <w:pPr>
        <w:spacing w:before="80" w:after="80"/>
        <w:ind w:left="720"/>
      </w:pPr>
      <w:r>
        <w:rPr>
          <w:rFonts w:ascii="Georgia" w:cs="Georgia" w:eastAsia="Georgia" w:hAnsi="Georgia"/>
          <w:sz w:val="22"/>
          <w:szCs w:val="22"/>
        </w:rPr>
        <w:t xml:space="preserve">But today I want to spend time on Step 1 specifically — because without it, everything else fails.</w:t>
      </w:r>
    </w:p>
    <w:p>
      <w:pPr>
        <w:spacing w:before="80" w:after="80"/>
        <w:ind w:left="720"/>
      </w:pPr>
      <w:r>
        <w:rPr>
          <w:rFonts w:ascii="Georgia" w:cs="Georgia" w:eastAsia="Georgia" w:hAnsi="Georgia"/>
          <w:sz w:val="22"/>
          <w:szCs w:val="22"/>
        </w:rPr>
        <w:t xml:space="preserve">Step 1: Full Adoption. Before any expansion conversation, you must confirm that the customer is actually using everything they already bought.</w:t>
      </w:r>
    </w:p>
    <w:p>
      <w:pPr>
        <w:spacing w:before="80" w:after="80"/>
        <w:ind w:left="720"/>
      </w:pPr>
      <w:r>
        <w:rPr>
          <w:rFonts w:ascii="Georgia" w:cs="Georgia" w:eastAsia="Georgia" w:hAnsi="Georgia"/>
          <w:sz w:val="22"/>
          <w:szCs w:val="22"/>
        </w:rPr>
        <w:t xml:space="preserve">This sounds obvious. It is shockingly not practiced.</w:t>
      </w:r>
    </w:p>
    <w:p>
      <w:pPr>
        <w:spacing w:before="80" w:after="80"/>
        <w:ind w:left="720"/>
      </w:pPr>
      <w:r>
        <w:rPr>
          <w:rFonts w:ascii="Georgia" w:cs="Georgia" w:eastAsia="Georgia" w:hAnsi="Georgia"/>
          <w:sz w:val="22"/>
          <w:szCs w:val="22"/>
        </w:rPr>
        <w:t xml:space="preserve">If your customer is using 40 percent of the features they're paying for and you propose an expansion — you have not just failed the expansion conversation. You have confirmed that the current product isn't delivering value, which is the most effective possible argument for churn at renewal.</w:t>
      </w:r>
    </w:p>
    <w:p>
      <w:pPr>
        <w:spacing w:before="80" w:after="80"/>
        <w:ind w:left="720"/>
      </w:pPr>
      <w:r>
        <w:rPr>
          <w:rFonts w:ascii="Georgia" w:cs="Georgia" w:eastAsia="Georgia" w:hAnsi="Georgia"/>
          <w:sz w:val="22"/>
          <w:szCs w:val="22"/>
        </w:rPr>
        <w:t xml:space="preserve">Full Adoption is not just a prerequisite for expansion. It is the most powerful churn prevention tool you have. An account where every purchased feature is actively used by a majority of licensed users is an account that is very difficult to move to a competitor. Switching costs are real when you're actually using the product.</w:t>
      </w:r>
    </w:p>
    <w:p>
      <w:pPr>
        <w:spacing w:before="80" w:after="80"/>
        <w:ind w:left="720"/>
      </w:pPr>
      <w:r>
        <w:rPr>
          <w:rFonts w:ascii="Georgia" w:cs="Georgia" w:eastAsia="Georgia" w:hAnsi="Georgia"/>
          <w:sz w:val="22"/>
          <w:szCs w:val="22"/>
        </w:rPr>
        <w:t xml:space="preserve">So before you open any expansion conversation, run the adoption audit. If adoption is below 70 percent — the conversation is not 'let's expand.' The conversation is 'let's make sure you're getting full value from what you have.' That conversation builds the trust that makes expansion possible in the next quarter.</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EXPANSION STAIRCASE — Step 1 (of 5)</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STEP 1: Full Adoption — confirm customer is using everything they bought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Adoption &lt; 70%: conversation is value delivery, not expansion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Adoption ≥ 70%: expansion conversation is appropriate — proceed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Full adoption = strongest churn prevention AND expansion prerequisite</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[8:30–10:30]</w:t>
      </w:r>
    </w:p>
    <w:p>
      <w:r>
        <w:t xml:space="preserve"/>
      </w:r>
    </w:p>
    <w:p>
      <w:pPr>
        <w:spacing w:before="60" w:after="60"/>
        <w:ind w:left="360"/>
      </w:pPr>
      <w:r>
        <w:rPr>
          <w:rFonts w:ascii="Arial" w:cs="Arial" w:eastAsia="Arial" w:hAnsi="Arial"/>
          <w:i/>
          <w:iCs/>
          <w:color w:val="6B46C1"/>
          <w:sz w:val="18"/>
          <w:szCs w:val="18"/>
        </w:rPr>
        <w:t xml:space="preserve">[DIRECTION: Direct and specific. The three actions are concrete and immediately executable. Close with the compounding revenue message — expansion isn't one conversation, it's a motion.]</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Count the expansion opportunities your CS team surfaced last quarter versus how many converted to closed revenue. If the conversion rate is below 30 percent, you have a process problem — not a pipeline problem. The signals are there. The handoff, the framing, or the follow-through is broken.</w:t>
      </w:r>
    </w:p>
    <w:p>
      <w:r>
        <w:t xml:space="preserve"/>
      </w:r>
    </w:p>
    <w:p>
      <w:pPr>
        <w:spacing w:before="80" w:after="80"/>
        <w:ind w:left="720"/>
      </w:pPr>
      <w:r>
        <w:rPr>
          <w:rFonts w:ascii="Georgia" w:cs="Georgia" w:eastAsia="Georgia" w:hAnsi="Georgia"/>
          <w:sz w:val="22"/>
          <w:szCs w:val="22"/>
        </w:rPr>
        <w:t xml:space="preserve">Two: Build your CSQL definition today. What three signals, in your specific business, constitute a qualified expansion opportunity? Write it down. If three different people on your team would give three different answers to that question, you don't have a CSQL process — you have opinions.</w:t>
      </w:r>
    </w:p>
    <w:p>
      <w:r>
        <w:t xml:space="preserve"/>
      </w:r>
    </w:p>
    <w:p>
      <w:pPr>
        <w:spacing w:before="80" w:after="80"/>
        <w:ind w:left="720"/>
      </w:pPr>
      <w:r>
        <w:rPr>
          <w:rFonts w:ascii="Georgia" w:cs="Georgia" w:eastAsia="Georgia" w:hAnsi="Georgia"/>
          <w:sz w:val="22"/>
          <w:szCs w:val="22"/>
        </w:rPr>
        <w:t xml:space="preserve">Three: Schedule one expansion conversation this week using the value framing, not the feature pitch. Open with their data. Connect to their business objective. Quantify the upside in their terms. Ask a question. See what happens.</w:t>
      </w:r>
    </w:p>
    <w:p>
      <w:r>
        <w:t xml:space="preserve"/>
      </w:r>
    </w:p>
    <w:p>
      <w:pPr>
        <w:spacing w:before="80" w:after="80"/>
        <w:ind w:left="720"/>
      </w:pPr>
      <w:r>
        <w:rPr>
          <w:rFonts w:ascii="Georgia" w:cs="Georgia" w:eastAsia="Georgia" w:hAnsi="Georgia"/>
          <w:sz w:val="22"/>
          <w:szCs w:val="22"/>
        </w:rPr>
        <w:t xml:space="preserve">Here's the compounding math that should motivate this.</w:t>
      </w:r>
    </w:p>
    <w:p>
      <w:pPr>
        <w:spacing w:before="80" w:after="80"/>
        <w:ind w:left="720"/>
      </w:pPr>
      <w:r>
        <w:rPr>
          <w:rFonts w:ascii="Georgia" w:cs="Georgia" w:eastAsia="Georgia" w:hAnsi="Georgia"/>
          <w:sz w:val="22"/>
          <w:szCs w:val="22"/>
        </w:rPr>
        <w:t xml:space="preserve">Top-performing SaaS companies grow NRR above 120 percent — meaning existing customers spend more than 20 percent more each year, even after accounting for churn. That compounding is almost entirely driven by a formal, disciplined, outcome-oriented expansion motion.</w:t>
      </w:r>
    </w:p>
    <w:p>
      <w:pPr>
        <w:spacing w:before="80" w:after="80"/>
        <w:ind w:left="720"/>
      </w:pPr>
      <w:r>
        <w:rPr>
          <w:rFonts w:ascii="Georgia" w:cs="Georgia" w:eastAsia="Georgia" w:hAnsi="Georgia"/>
          <w:sz w:val="22"/>
          <w:szCs w:val="22"/>
        </w:rPr>
        <w:t xml:space="preserve">You already have the relationship. You already have the data. You already know more about what this customer needs than any sales team chasing new logos ever will.</w:t>
      </w:r>
    </w:p>
    <w:p>
      <w:pPr>
        <w:spacing w:before="80" w:after="80"/>
        <w:ind w:left="720"/>
      </w:pPr>
      <w:r>
        <w:rPr>
          <w:rFonts w:ascii="Georgia" w:cs="Georgia" w:eastAsia="Georgia" w:hAnsi="Georgia"/>
          <w:sz w:val="22"/>
          <w:szCs w:val="22"/>
        </w:rPr>
        <w:t xml:space="preserve">Stop asking permission to use it. Start Monday.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Count expansion opps surfaced vs. converted — if conversion &lt; 30%, process problem, not pipeline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Build your CSQL definition: 3 signals that constitute a qualified opportunity — write it down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Schedule one expansion conversation this week using value framing, not feature pitch</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NRR &gt;120% companies: formal expansion motion drives the compounding</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pPr>
        <w:spacing w:before="80" w:after="60"/>
      </w:pPr>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CS team meeting — someone visibly uncomfortable discussing expansion</w:t>
      </w:r>
    </w:p>
    <w:p>
      <w:pPr>
        <w:pStyle w:val="ListParagraph"/>
        <w:numPr>
          <w:ilvl w:val="0"/>
          <w:numId w:val="2"/>
        </w:numPr>
        <w:spacing w:before="40" w:after="40"/>
      </w:pPr>
      <w:r>
        <w:rPr>
          <w:rFonts w:ascii="Arial" w:cs="Arial" w:eastAsia="Arial" w:hAnsi="Arial"/>
          <w:sz w:val="18"/>
          <w:szCs w:val="18"/>
        </w:rPr>
        <w:t xml:space="preserve">Segment 2: Revenue waterfall chart; NRR compounding visualization; side-by-side CAC comparison</w:t>
      </w:r>
    </w:p>
    <w:p>
      <w:pPr>
        <w:pStyle w:val="ListParagraph"/>
        <w:numPr>
          <w:ilvl w:val="0"/>
          <w:numId w:val="2"/>
        </w:numPr>
        <w:spacing w:before="40" w:after="40"/>
      </w:pPr>
      <w:r>
        <w:rPr>
          <w:rFonts w:ascii="Arial" w:cs="Arial" w:eastAsia="Arial" w:hAnsi="Arial"/>
          <w:sz w:val="18"/>
          <w:szCs w:val="18"/>
        </w:rPr>
        <w:t xml:space="preserve">Segment 3: Pipeline tracker with CSQL column empty vs. filled; MQL-to-CSQL parallel visual</w:t>
      </w:r>
    </w:p>
    <w:p>
      <w:pPr>
        <w:pStyle w:val="ListParagraph"/>
        <w:numPr>
          <w:ilvl w:val="0"/>
          <w:numId w:val="2"/>
        </w:numPr>
        <w:spacing w:before="40" w:after="40"/>
      </w:pPr>
      <w:r>
        <w:rPr>
          <w:rFonts w:ascii="Arial" w:cs="Arial" w:eastAsia="Arial" w:hAnsi="Arial"/>
          <w:sz w:val="18"/>
          <w:szCs w:val="18"/>
        </w:rPr>
        <w:t xml:space="preserve">Segment 4: Two conversation simulations side-by-side; defense/procurement reaction vs. open dialogue</w:t>
      </w:r>
    </w:p>
    <w:p>
      <w:pPr>
        <w:pStyle w:val="ListParagraph"/>
        <w:numPr>
          <w:ilvl w:val="0"/>
          <w:numId w:val="2"/>
        </w:numPr>
        <w:spacing w:before="40" w:after="40"/>
      </w:pPr>
      <w:r>
        <w:rPr>
          <w:rFonts w:ascii="Arial" w:cs="Arial" w:eastAsia="Arial" w:hAnsi="Arial"/>
          <w:sz w:val="18"/>
          <w:szCs w:val="18"/>
        </w:rPr>
        <w:t xml:space="preserve">Segment 5: Feature adoption heatmap; Expansion Staircase diagram (Step 1 highlighted)</w:t>
      </w:r>
    </w:p>
    <w:p>
      <w:pPr>
        <w:pStyle w:val="ListParagraph"/>
        <w:numPr>
          <w:ilvl w:val="0"/>
          <w:numId w:val="2"/>
        </w:numPr>
        <w:spacing w:before="40" w:after="40"/>
      </w:pPr>
      <w:r>
        <w:rPr>
          <w:rFonts w:ascii="Arial" w:cs="Arial" w:eastAsia="Arial" w:hAnsi="Arial"/>
          <w:sz w:val="18"/>
          <w:szCs w:val="18"/>
        </w:rPr>
        <w:t xml:space="preserve">Segment 6: CSM at desk writing CSQL definition; expansion conversation calendar invite</w:t>
      </w:r>
    </w:p>
    <w:p>
      <w:r>
        <w:t xml:space="preserve"/>
      </w:r>
    </w:p>
    <w:p>
      <w:r>
        <w:rPr>
          <w:rFonts w:ascii="Arial" w:cs="Arial" w:eastAsia="Arial" w:hAnsi="Arial"/>
          <w:b/>
          <w:bCs/>
          <w:sz w:val="18"/>
          <w:szCs w:val="18"/>
        </w:rPr>
        <w:t xml:space="preserve">Accent Color: </w:t>
      </w:r>
      <w:r>
        <w:rPr>
          <w:rFonts w:ascii="Arial" w:cs="Arial" w:eastAsia="Arial" w:hAnsi="Arial"/>
          <w:color w:val="65A30D"/>
          <w:sz w:val="18"/>
          <w:szCs w:val="18"/>
        </w:rPr>
        <w:t xml:space="preserve">Lime #65A30D</w:t>
      </w:r>
    </w:p>
    <w:p>
      <w:r>
        <w:rPr>
          <w:rFonts w:ascii="Arial" w:cs="Arial" w:eastAsia="Arial" w:hAnsi="Arial"/>
          <w:b/>
          <w:bCs/>
          <w:sz w:val="18"/>
          <w:szCs w:val="18"/>
        </w:rPr>
        <w:t xml:space="preserve">Word Count Target: </w:t>
      </w:r>
      <w:r>
        <w:rPr>
          <w:rFonts w:ascii="Arial" w:cs="Arial" w:eastAsia="Arial" w:hAnsi="Arial"/>
          <w:sz w:val="18"/>
          <w:szCs w:val="18"/>
        </w:rPr>
        <w:t xml:space="preserve">~1,480 words  |  Estimated Runtime: 9–11 minutes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2026-02-19T16:36:37.200Z</dcterms:created>
  <dcterms:modified xsi:type="dcterms:W3CDTF">2026-02-19T16:36:37.201Z</dcterms:modified>
</cp:coreProperties>
</file>

<file path=docProps/custom.xml><?xml version="1.0" encoding="utf-8"?>
<Properties xmlns="http://schemas.openxmlformats.org/officeDocument/2006/custom-properties" xmlns:vt="http://schemas.openxmlformats.org/officeDocument/2006/docPropsVTypes"/>
</file>