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7C3AED" w:val="clear"/>
        <w:spacing w:before="0" w:after="80"/>
        <w:jc w:val="center"/>
      </w:pPr>
      <w:r>
        <w:rPr>
          <w:rFonts w:ascii="Arial" w:cs="Arial" w:eastAsia="Arial" w:hAnsi="Arial"/>
          <w:b/>
          <w:bCs/>
          <w:caps/>
          <w:color w:val="FFFFFF"/>
          <w:sz w:val="32"/>
          <w:szCs w:val="32"/>
        </w:rPr>
        <w:t xml:space="preserve">MODULE 5.2 — VIDEO SCRIPT</w:t>
      </w:r>
    </w:p>
    <w:p>
      <w:pPr>
        <w:shd w:fill="0F1F4B" w:val="clear"/>
        <w:spacing w:before="0" w:after="200"/>
        <w:jc w:val="center"/>
      </w:pPr>
      <w:r>
        <w:rPr>
          <w:rFonts w:ascii="Georgia" w:cs="Georgia" w:eastAsia="Georgia" w:hAnsi="Georgia"/>
          <w:b/>
          <w:bCs/>
          <w:color w:val="FFFFFF"/>
          <w:sz w:val="28"/>
          <w:szCs w:val="28"/>
        </w:rPr>
        <w:t xml:space="preserve">The Expansion Staircase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5.2 — The Expansion Staircase</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Phase / Week</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Phase 2 — The Build · Week 5: The Revenue Engine</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Presenter</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Shane James — CCO2go.ai</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Target Runtime</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9–11 minutes</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Accent Color</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Violet #7C3AED</w:t>
            </w:r>
          </w:p>
        </w:tc>
      </w:tr>
      <w:tr>
        <w:tc>
          <w:tcPr>
            <w:tcW w:type="dxa" w:w="2800"/>
            <w:tcBorders>
              <w:top w:val="single" w:color="CCCCCC" w:sz="1"/>
              <w:left w:val="single" w:color="CCCCCC" w:sz="1"/>
              <w:bottom w:val="single" w:color="CCCCCC" w:sz="1"/>
              <w:right w:val="single" w:color="CCCCCC" w:sz="1"/>
            </w:tcBorders>
            <w:shd w:fill="0F1F4B"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6560"/>
            <w:tcBorders>
              <w:top w:val="single" w:color="CCCCCC" w:sz="1"/>
              <w:left w:val="single" w:color="CCCCCC" w:sz="1"/>
              <w:bottom w:val="single" w:color="CCCCCC" w:sz="1"/>
              <w:right w:val="single" w:color="CCCCCC" w:sz="1"/>
            </w:tcBorders>
            <w:shd w:fill="EEF2FA" w:val="clear"/>
            <w:tcMar>
              <w:top w:type="dxa" w:w="80"/>
              <w:left w:type="dxa" w:w="120"/>
              <w:bottom w:type="dxa" w:w="80"/>
              <w:right w:type="dxa" w:w="120"/>
            </w:tcMar>
          </w:tcPr>
          <w:p>
            <w:r>
              <w:rPr>
                <w:rFonts w:ascii="Arial" w:cs="Arial" w:eastAsia="Arial" w:hAnsi="Arial"/>
                <w:sz w:val="20"/>
                <w:szCs w:val="20"/>
              </w:rPr>
              <w:t xml:space="preserve">1.0 — February 2026</w:t>
            </w:r>
          </w:p>
        </w:tc>
      </w:tr>
    </w:tbl>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1 — COLD OPEN: Why Most Expansion Conversations Fail Before They Start</w:t>
      </w:r>
    </w:p>
    <w:p>
      <w:pPr>
        <w:spacing w:before="80" w:after="40"/>
      </w:pPr>
      <w:r>
        <w:rPr>
          <w:rFonts w:ascii="Courier New" w:cs="Courier New" w:eastAsia="Courier New" w:hAnsi="Courier New"/>
          <w:b/>
          <w:bCs/>
          <w:color w:val="F4A000"/>
          <w:sz w:val="20"/>
          <w:szCs w:val="20"/>
        </w:rPr>
        <w:t xml:space="preserve">[0:00–0:55]</w:t>
      </w:r>
    </w:p>
    <w:p>
      <w:r>
        <w:t xml:space="preserve"/>
      </w:r>
    </w:p>
    <w:p>
      <w:pPr>
        <w:spacing w:before="60" w:after="60"/>
        <w:ind w:left="360"/>
      </w:pPr>
      <w:r>
        <w:rPr>
          <w:rFonts w:ascii="Arial" w:cs="Arial" w:eastAsia="Arial" w:hAnsi="Arial"/>
          <w:i/>
          <w:iCs/>
          <w:color w:val="6B46C1"/>
          <w:sz w:val="18"/>
          <w:szCs w:val="18"/>
        </w:rPr>
        <w:t xml:space="preserve">[DIRECTION: Slightly pointed. You're naming a pattern they've all experienced. Let the absurdity of random expansion timing land before pivoting to the framework.]</w:t>
      </w:r>
    </w:p>
    <w:p>
      <w:r>
        <w:t xml:space="preserve"/>
      </w:r>
    </w:p>
    <w:p>
      <w:pPr>
        <w:spacing w:before="80" w:after="80"/>
        <w:ind w:left="720"/>
      </w:pPr>
      <w:r>
        <w:rPr>
          <w:rFonts w:ascii="Georgia" w:cs="Georgia" w:eastAsia="Georgia" w:hAnsi="Georgia"/>
          <w:sz w:val="22"/>
          <w:szCs w:val="22"/>
        </w:rPr>
        <w:t xml:space="preserve">Here's a scenario that happens at companies every day.</w:t>
      </w:r>
    </w:p>
    <w:p>
      <w:pPr>
        <w:spacing w:before="80" w:after="80"/>
        <w:ind w:left="720"/>
      </w:pPr>
      <w:r>
        <w:rPr>
          <w:rFonts w:ascii="Georgia" w:cs="Georgia" w:eastAsia="Georgia" w:hAnsi="Georgia"/>
          <w:sz w:val="22"/>
          <w:szCs w:val="22"/>
        </w:rPr>
        <w:t xml:space="preserve">A CSM notices a customer is using the product heavily. Usage is up. Logins are frequent. Multiple teams are involved. The CSM thinks: this looks like an expansion opportunity. And then — because there's no framework for what to do next — they either wait, mention it in a Slack message, or walk into a renewal conversation with a vague 'we also have this other thing you might like.'</w:t>
      </w:r>
    </w:p>
    <w:p>
      <w:pPr>
        <w:spacing w:before="80" w:after="80"/>
        <w:ind w:left="720"/>
      </w:pPr>
      <w:r>
        <w:rPr>
          <w:rFonts w:ascii="Georgia" w:cs="Georgia" w:eastAsia="Georgia" w:hAnsi="Georgia"/>
          <w:sz w:val="22"/>
          <w:szCs w:val="22"/>
        </w:rPr>
        <w:t xml:space="preserve">None of those work. Not because the opportunity wasn't real. Because the approach ignored the most important question: what step is this customer on?</w:t>
      </w:r>
    </w:p>
    <w:p>
      <w:pPr>
        <w:spacing w:before="80" w:after="80"/>
        <w:ind w:left="720"/>
      </w:pPr>
      <w:r>
        <w:rPr>
          <w:rFonts w:ascii="Georgia" w:cs="Georgia" w:eastAsia="Georgia" w:hAnsi="Georgia"/>
          <w:sz w:val="22"/>
          <w:szCs w:val="22"/>
        </w:rPr>
        <w:t xml:space="preserve">Expansion is not a single conversation. It's a staircase. Each step has specific signals that tell you when you're ready to advance. Each step has a specific conversation trigger. And most importantly — skipping steps doesn't accelerate anything. It collapses the whole structure.</w:t>
      </w:r>
    </w:p>
    <w:p>
      <w:pPr>
        <w:spacing w:before="80" w:after="80"/>
        <w:ind w:left="720"/>
      </w:pPr>
      <w:r>
        <w:rPr>
          <w:rFonts w:ascii="Georgia" w:cs="Georgia" w:eastAsia="Georgia" w:hAnsi="Georgia"/>
          <w:sz w:val="22"/>
          <w:szCs w:val="22"/>
        </w:rPr>
        <w:t xml:space="preserve">Today we build the complete Expansion Staircase. Five steps. Every signal. Every trigger. No guessing about where the customer is or what to say next.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MODULE 5.2 — The Expansion Staircase</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2 — THE STAIRCASE ARCHITECTURE</w:t>
      </w:r>
    </w:p>
    <w:p>
      <w:pPr>
        <w:spacing w:before="80" w:after="40"/>
      </w:pPr>
      <w:r>
        <w:rPr>
          <w:rFonts w:ascii="Courier New" w:cs="Courier New" w:eastAsia="Courier New" w:hAnsi="Courier New"/>
          <w:b/>
          <w:bCs/>
          <w:color w:val="F4A000"/>
          <w:sz w:val="20"/>
          <w:szCs w:val="20"/>
        </w:rPr>
        <w:t xml:space="preserve">[0:55–2:30]</w:t>
      </w:r>
    </w:p>
    <w:p>
      <w:r>
        <w:t xml:space="preserve"/>
      </w:r>
    </w:p>
    <w:p>
      <w:pPr>
        <w:spacing w:before="60" w:after="60"/>
        <w:ind w:left="360"/>
      </w:pPr>
      <w:r>
        <w:rPr>
          <w:rFonts w:ascii="Arial" w:cs="Arial" w:eastAsia="Arial" w:hAnsi="Arial"/>
          <w:i/>
          <w:iCs/>
          <w:color w:val="6B46C1"/>
          <w:sz w:val="18"/>
          <w:szCs w:val="18"/>
        </w:rPr>
        <w:t xml:space="preserve">[DIRECTION: Structural and clear. Set up the complete framework before drilling into each step. The audience needs to see the whole before you explain the parts.]</w:t>
      </w:r>
    </w:p>
    <w:p>
      <w:r>
        <w:t xml:space="preserve"/>
      </w:r>
    </w:p>
    <w:p>
      <w:pPr>
        <w:spacing w:before="80" w:after="80"/>
        <w:ind w:left="720"/>
      </w:pPr>
      <w:r>
        <w:rPr>
          <w:rFonts w:ascii="Georgia" w:cs="Georgia" w:eastAsia="Georgia" w:hAnsi="Georgia"/>
          <w:sz w:val="22"/>
          <w:szCs w:val="22"/>
        </w:rPr>
        <w:t xml:space="preserve">The Expansion Staircase has five steps, each building on the one below it. You cannot skip steps. You cannot run steps simultaneously. And you cannot push a customer up the staircase — you can only create the conditions that make them ready to move.</w:t>
      </w:r>
    </w:p>
    <w:p>
      <w:pPr>
        <w:spacing w:before="80" w:after="80"/>
        <w:ind w:left="720"/>
      </w:pPr>
      <w:r>
        <w:rPr>
          <w:rFonts w:ascii="Georgia" w:cs="Georgia" w:eastAsia="Georgia" w:hAnsi="Georgia"/>
          <w:sz w:val="22"/>
          <w:szCs w:val="22"/>
        </w:rPr>
        <w:t xml:space="preserve">Step 1 is Full Adoption — we covered this in Module 5.1. At least 70 percent of licensed features in active use. Without this, no expansion conversation is appropriate.</w:t>
      </w:r>
    </w:p>
    <w:p>
      <w:pPr>
        <w:spacing w:before="80" w:after="80"/>
        <w:ind w:left="720"/>
      </w:pPr>
      <w:r>
        <w:rPr>
          <w:rFonts w:ascii="Georgia" w:cs="Georgia" w:eastAsia="Georgia" w:hAnsi="Georgia"/>
          <w:sz w:val="22"/>
          <w:szCs w:val="22"/>
        </w:rPr>
        <w:t xml:space="preserve">Step 2 is Value Expansion — extending the customer's use case within the existing product. New business problem, same product.</w:t>
      </w:r>
    </w:p>
    <w:p>
      <w:pPr>
        <w:spacing w:before="80" w:after="80"/>
        <w:ind w:left="720"/>
      </w:pPr>
      <w:r>
        <w:rPr>
          <w:rFonts w:ascii="Georgia" w:cs="Georgia" w:eastAsia="Georgia" w:hAnsi="Georgia"/>
          <w:sz w:val="22"/>
          <w:szCs w:val="22"/>
        </w:rPr>
        <w:t xml:space="preserve">Step 3 is Seat Expansion — growing the number of licensed users, typically into a new department or team.</w:t>
      </w:r>
    </w:p>
    <w:p>
      <w:pPr>
        <w:spacing w:before="80" w:after="80"/>
        <w:ind w:left="720"/>
      </w:pPr>
      <w:r>
        <w:rPr>
          <w:rFonts w:ascii="Georgia" w:cs="Georgia" w:eastAsia="Georgia" w:hAnsi="Georgia"/>
          <w:sz w:val="22"/>
          <w:szCs w:val="22"/>
        </w:rPr>
        <w:t xml:space="preserve">Step 4 is Tier Upgrade — moving the customer to a higher product tier, unlocking advanced capabilities they've been asking about.</w:t>
      </w:r>
    </w:p>
    <w:p>
      <w:pPr>
        <w:spacing w:before="80" w:after="80"/>
        <w:ind w:left="720"/>
      </w:pPr>
      <w:r>
        <w:rPr>
          <w:rFonts w:ascii="Georgia" w:cs="Georgia" w:eastAsia="Georgia" w:hAnsi="Georgia"/>
          <w:sz w:val="22"/>
          <w:szCs w:val="22"/>
        </w:rPr>
        <w:t xml:space="preserve">Step 5 is Strategic Partnership — multi-year, cross-functional, executive-level commitment that ties your roadmap to their business outcomes.</w:t>
      </w:r>
    </w:p>
    <w:p>
      <w:pPr>
        <w:spacing w:before="80" w:after="80"/>
        <w:ind w:left="720"/>
      </w:pPr>
      <w:r>
        <w:rPr>
          <w:rFonts w:ascii="Georgia" w:cs="Georgia" w:eastAsia="Georgia" w:hAnsi="Georgia"/>
          <w:sz w:val="22"/>
          <w:szCs w:val="22"/>
        </w:rPr>
        <w:t xml:space="preserve">Each step requires a different signal to initiate and a different conversation to close. The mistake most CS teams make is treating all five as the same conversation with different price points. They are not.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THE EXPANSION STAIRCASE — 5 Steps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 Full Adoption (prerequisite) → 2. Value Expansion → 3. Seat Expansion → 4. Tier Upgrade → 5. Strategic Partnership</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Each step: specific signal to initiate + specific conversation trigger</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Skipping steps doesn't accelerate — it collapses the structure</w:t>
      </w:r>
    </w:p>
    <w:p>
      <w:r>
        <w:t xml:space="preserve"/>
      </w:r>
    </w:p>
    <w:p>
      <w:pPr>
        <w:pBdr>
          <w:bottom w:val="single" w:color="00A896" w:sz="3" w:space="1"/>
        </w:pBdr>
        <w:spacing w:before="120" w:after="120"/>
      </w:pPr>
      <w:r>
        <w:t xml:space="preserve"/>
      </w:r>
    </w:p>
    <w:p>
      <w:r>
        <w:t xml:space="preserve"/>
      </w:r>
    </w:p>
    <w:p>
      <w:r>
        <w:br w:type="page"/>
      </w:r>
    </w:p>
    <w:p>
      <w:pPr>
        <w:shd w:fill="0F1F4B" w:val="clear"/>
        <w:spacing w:before="280" w:after="120"/>
      </w:pPr>
      <w:r>
        <w:rPr>
          <w:rFonts w:ascii="Arial" w:cs="Arial" w:eastAsia="Arial" w:hAnsi="Arial"/>
          <w:b/>
          <w:bCs/>
          <w:caps/>
          <w:color w:val="FFFFFF"/>
          <w:sz w:val="22"/>
          <w:szCs w:val="22"/>
        </w:rPr>
        <w:t xml:space="preserve">SEGMENT 3 — STEPS 2 + 3: Value Expansion and Seat Expansion</w:t>
      </w:r>
    </w:p>
    <w:p>
      <w:pPr>
        <w:spacing w:before="80" w:after="40"/>
      </w:pPr>
      <w:r>
        <w:rPr>
          <w:rFonts w:ascii="Courier New" w:cs="Courier New" w:eastAsia="Courier New" w:hAnsi="Courier New"/>
          <w:b/>
          <w:bCs/>
          <w:color w:val="F4A000"/>
          <w:sz w:val="20"/>
          <w:szCs w:val="20"/>
        </w:rPr>
        <w:t xml:space="preserve">[2:30–5:30]</w:t>
      </w:r>
    </w:p>
    <w:p>
      <w:r>
        <w:t xml:space="preserve"/>
      </w:r>
    </w:p>
    <w:p>
      <w:pPr>
        <w:spacing w:before="60" w:after="60"/>
        <w:ind w:left="360"/>
      </w:pPr>
      <w:r>
        <w:rPr>
          <w:rFonts w:ascii="Arial" w:cs="Arial" w:eastAsia="Arial" w:hAnsi="Arial"/>
          <w:i/>
          <w:iCs/>
          <w:color w:val="6B46C1"/>
          <w:sz w:val="18"/>
          <w:szCs w:val="18"/>
        </w:rPr>
        <w:t xml:space="preserve">[DIRECTION: Walk each step with the same cadence: signal → what it means → conversation trigger. Deliberate rhythm. Let each one complete before moving to the next.]</w:t>
      </w:r>
    </w:p>
    <w:p>
      <w:r>
        <w:t xml:space="preserve"/>
      </w:r>
    </w:p>
    <w:p>
      <w:pPr>
        <w:spacing w:before="80" w:after="80"/>
        <w:ind w:left="720"/>
      </w:pPr>
      <w:r>
        <w:rPr>
          <w:rFonts w:ascii="Georgia" w:cs="Georgia" w:eastAsia="Georgia" w:hAnsi="Georgia"/>
          <w:sz w:val="22"/>
          <w:szCs w:val="22"/>
        </w:rPr>
        <w:t xml:space="preserve">Step 2: Value Expansion. This is the first conversation you have after Full Adoption is confirmed.</w:t>
      </w:r>
    </w:p>
    <w:p>
      <w:pPr>
        <w:spacing w:before="80" w:after="80"/>
        <w:ind w:left="720"/>
      </w:pPr>
      <w:r>
        <w:rPr>
          <w:rFonts w:ascii="Georgia" w:cs="Georgia" w:eastAsia="Georgia" w:hAnsi="Georgia"/>
          <w:sz w:val="22"/>
          <w:szCs w:val="22"/>
        </w:rPr>
        <w:t xml:space="preserve">The signal is feature ceiling approach. Your customer has adopted what they have, is using it consistently, and is starting to bump into the limits of their current configuration. You'll see this in usage data — heavy utilization of specific features, workarounds appearing in support tickets, requests for capabilities they don't currently have.</w:t>
      </w:r>
    </w:p>
    <w:p>
      <w:pPr>
        <w:spacing w:before="80" w:after="80"/>
        <w:ind w:left="720"/>
      </w:pPr>
      <w:r>
        <w:rPr>
          <w:rFonts w:ascii="Georgia" w:cs="Georgia" w:eastAsia="Georgia" w:hAnsi="Georgia"/>
          <w:sz w:val="22"/>
          <w:szCs w:val="22"/>
        </w:rPr>
        <w:t xml:space="preserve">The conversation trigger is what I call the Use Case Extension. You're not proposing a new product. You're extending the value they're already extracting. 'You've been using the analytics module at full capacity for three months. The companies we work with at your stage typically hit this point when they're ready to add the predictive layer — here's what that looks like for an account like yours.'</w:t>
      </w:r>
    </w:p>
    <w:p>
      <w:pPr>
        <w:spacing w:before="80" w:after="80"/>
        <w:ind w:left="720"/>
      </w:pPr>
      <w:r>
        <w:rPr>
          <w:rFonts w:ascii="Georgia" w:cs="Georgia" w:eastAsia="Georgia" w:hAnsi="Georgia"/>
          <w:sz w:val="22"/>
          <w:szCs w:val="22"/>
        </w:rPr>
        <w:t xml:space="preserve">The customer doesn't feel sold. They feel understood. That's the distinction.</w:t>
      </w:r>
    </w:p>
    <w:p>
      <w:r>
        <w:t xml:space="preserve"/>
      </w:r>
    </w:p>
    <w:p>
      <w:pPr>
        <w:spacing w:before="80" w:after="80"/>
        <w:ind w:left="720"/>
      </w:pPr>
      <w:r>
        <w:rPr>
          <w:rFonts w:ascii="Georgia" w:cs="Georgia" w:eastAsia="Georgia" w:hAnsi="Georgia"/>
          <w:sz w:val="22"/>
          <w:szCs w:val="22"/>
        </w:rPr>
        <w:t xml:space="preserve">Step 3: Seat Expansion. This is the most mishandled step in the staircase — because teams often try to run it before Value Expansion is complete.</w:t>
      </w:r>
    </w:p>
    <w:p>
      <w:pPr>
        <w:spacing w:before="80" w:after="80"/>
        <w:ind w:left="720"/>
      </w:pPr>
      <w:r>
        <w:rPr>
          <w:rFonts w:ascii="Georgia" w:cs="Georgia" w:eastAsia="Georgia" w:hAnsi="Georgia"/>
          <w:sz w:val="22"/>
          <w:szCs w:val="22"/>
        </w:rPr>
        <w:t xml:space="preserve">The signal for seat expansion is cross-departmental friction. Someone outside the primary team is mentioned as needing information from the platform. A manager says 'my ops team keeps asking me to pull this manually.' New hires are onboarded into a department that interacts with your platform but doesn't have licenses. Growth hiring announcements in relevant functions.</w:t>
      </w:r>
    </w:p>
    <w:p>
      <w:pPr>
        <w:spacing w:before="80" w:after="80"/>
        <w:ind w:left="720"/>
      </w:pPr>
      <w:r>
        <w:rPr>
          <w:rFonts w:ascii="Georgia" w:cs="Georgia" w:eastAsia="Georgia" w:hAnsi="Georgia"/>
          <w:sz w:val="22"/>
          <w:szCs w:val="22"/>
        </w:rPr>
        <w:t xml:space="preserve">The conversation trigger is the Team Expansion frame. 'Your ops team is working around the data every week — what would it mean for their output if they had direct access instead of requesting it from you?' That question makes the value case without making the price case. Let them make the price case themselves.</w:t>
      </w:r>
    </w:p>
    <w:p>
      <w:pPr>
        <w:spacing w:before="80" w:after="80"/>
        <w:ind w:left="720"/>
      </w:pPr>
      <w:r>
        <w:rPr>
          <w:rFonts w:ascii="Georgia" w:cs="Georgia" w:eastAsia="Georgia" w:hAnsi="Georgia"/>
          <w:sz w:val="22"/>
          <w:szCs w:val="22"/>
        </w:rPr>
        <w:t xml:space="preserve">The mistake at Step 3 is leading with user count pricing. Don't. Lead with the friction the unlicensed team is experiencing. The license conversation follows naturally once they've articulated the problem.</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STEP 2 — Value Expansion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Signal: Feature ceiling approach — heavy utilization, workarounds, capability requests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Trigger: Use Case Extension — 'You're hitting the ceiling of X. Here's what companies at your stage do next.'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STEP 3 — Seat Expansion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Signal: Cross-departmental friction — unlicensed team pulling data manually, growth hiring</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Trigger: Team Expansion frame — 'What would it mean if your ops team had direct access instead of requesting it from you?'</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Mistake: Leading with user count pricing. Lead with friction. License conversation follows.</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4 — STEPS 4 + 5: Tier Upgrade and Strategic Partnership</w:t>
      </w:r>
    </w:p>
    <w:p>
      <w:pPr>
        <w:spacing w:before="80" w:after="40"/>
      </w:pPr>
      <w:r>
        <w:rPr>
          <w:rFonts w:ascii="Courier New" w:cs="Courier New" w:eastAsia="Courier New" w:hAnsi="Courier New"/>
          <w:b/>
          <w:bCs/>
          <w:color w:val="F4A000"/>
          <w:sz w:val="20"/>
          <w:szCs w:val="20"/>
        </w:rPr>
        <w:t xml:space="preserve">[5:30–7:30]</w:t>
      </w:r>
    </w:p>
    <w:p>
      <w:r>
        <w:t xml:space="preserve"/>
      </w:r>
    </w:p>
    <w:p>
      <w:pPr>
        <w:spacing w:before="60" w:after="60"/>
        <w:ind w:left="360"/>
      </w:pPr>
      <w:r>
        <w:rPr>
          <w:rFonts w:ascii="Arial" w:cs="Arial" w:eastAsia="Arial" w:hAnsi="Arial"/>
          <w:i/>
          <w:iCs/>
          <w:color w:val="6B46C1"/>
          <w:sz w:val="18"/>
          <w:szCs w:val="18"/>
        </w:rPr>
        <w:t xml:space="preserve">[DIRECTION: Slightly elevated energy — these are the highest-value steps. The strategic partnership close is aspirational but grounded. Don't oversell. Frame it as the natural endpoint of a well-executed staircase.]</w:t>
      </w:r>
    </w:p>
    <w:p>
      <w:r>
        <w:t xml:space="preserve"/>
      </w:r>
    </w:p>
    <w:p>
      <w:pPr>
        <w:spacing w:before="80" w:after="80"/>
        <w:ind w:left="720"/>
      </w:pPr>
      <w:r>
        <w:rPr>
          <w:rFonts w:ascii="Georgia" w:cs="Georgia" w:eastAsia="Georgia" w:hAnsi="Georgia"/>
          <w:sz w:val="22"/>
          <w:szCs w:val="22"/>
        </w:rPr>
        <w:t xml:space="preserve">Step 4: Tier Upgrade. This is where significant ARR growth happens — and where most teams leave it on the table because they don't track the signals consistently.</w:t>
      </w:r>
    </w:p>
    <w:p>
      <w:pPr>
        <w:spacing w:before="80" w:after="80"/>
        <w:ind w:left="720"/>
      </w:pPr>
      <w:r>
        <w:rPr>
          <w:rFonts w:ascii="Georgia" w:cs="Georgia" w:eastAsia="Georgia" w:hAnsi="Georgia"/>
          <w:sz w:val="22"/>
          <w:szCs w:val="22"/>
        </w:rPr>
        <w:t xml:space="preserve">The signal for a Tier Upgrade is recurring advanced feature requests. Not one ask in a support ticket. A pattern. The same capability requested across multiple conversations, multiple quarters, from multiple stakeholders. When you see that pattern, the customer is telling you what they need — they just don't know it maps to a different tier.</w:t>
      </w:r>
    </w:p>
    <w:p>
      <w:pPr>
        <w:spacing w:before="80" w:after="80"/>
        <w:ind w:left="720"/>
      </w:pPr>
      <w:r>
        <w:rPr>
          <w:rFonts w:ascii="Georgia" w:cs="Georgia" w:eastAsia="Georgia" w:hAnsi="Georgia"/>
          <w:sz w:val="22"/>
          <w:szCs w:val="22"/>
        </w:rPr>
        <w:t xml:space="preserve">There are three common signals: reporting and compliance needs emerging — your customer's team is starting to ask about audit trails, access controls, advanced permissions. Executive visibility desired — someone senior wants a dashboard or report format that requires higher-tier features. Integration requirements growing — they want to connect your platform to other enterprise systems in ways that require API access or advanced configuration.</w:t>
      </w:r>
    </w:p>
    <w:p>
      <w:pPr>
        <w:spacing w:before="80" w:after="80"/>
        <w:ind w:left="720"/>
      </w:pPr>
      <w:r>
        <w:rPr>
          <w:rFonts w:ascii="Georgia" w:cs="Georgia" w:eastAsia="Georgia" w:hAnsi="Georgia"/>
          <w:sz w:val="22"/>
          <w:szCs w:val="22"/>
        </w:rPr>
        <w:t xml:space="preserve">The conversation trigger is the Capability Unlock. 'You've asked about advanced reporting three separate times in the last two quarters. That's a Tier 2 feature — let me show you exactly what it does for a company at your stage before we talk about what the upgrade looks like.' Show the value first. Show the price second.</w:t>
      </w:r>
    </w:p>
    <w:p>
      <w:r>
        <w:t xml:space="preserve"/>
      </w:r>
    </w:p>
    <w:p>
      <w:pPr>
        <w:spacing w:before="80" w:after="80"/>
        <w:ind w:left="720"/>
      </w:pPr>
      <w:r>
        <w:rPr>
          <w:rFonts w:ascii="Georgia" w:cs="Georgia" w:eastAsia="Georgia" w:hAnsi="Georgia"/>
          <w:sz w:val="22"/>
          <w:szCs w:val="22"/>
        </w:rPr>
        <w:t xml:space="preserve">Step 5: Strategic Partnership. This is the top of the staircase — and most accounts will never reach it. That's fine. The ones that do are your most valuable, most loyal, and most referenceable customers. They are worth the investment.</w:t>
      </w:r>
    </w:p>
    <w:p>
      <w:pPr>
        <w:spacing w:before="80" w:after="80"/>
        <w:ind w:left="720"/>
      </w:pPr>
      <w:r>
        <w:rPr>
          <w:rFonts w:ascii="Georgia" w:cs="Georgia" w:eastAsia="Georgia" w:hAnsi="Georgia"/>
          <w:sz w:val="22"/>
          <w:szCs w:val="22"/>
        </w:rPr>
        <w:t xml:space="preserve">The signal for a Strategic Partnership is executive sponsor engagement. Not just executive access — active participation. Your executive sponsor is referencing the platform in their planning. They're including it in roadmap conversations. They're asking what your product roadmap looks like because they want to align their business planning to it.</w:t>
      </w:r>
    </w:p>
    <w:p>
      <w:pPr>
        <w:spacing w:before="80" w:after="80"/>
        <w:ind w:left="720"/>
      </w:pPr>
      <w:r>
        <w:rPr>
          <w:rFonts w:ascii="Georgia" w:cs="Georgia" w:eastAsia="Georgia" w:hAnsi="Georgia"/>
          <w:sz w:val="22"/>
          <w:szCs w:val="22"/>
        </w:rPr>
        <w:t xml:space="preserve">The conversation trigger is the Partnership Frame. 'Given where your business is going in the next 18 months — the expansion you told me about, the new market entry — I don't think we should be thinking about this as a vendor relationship anymore. I think we should be planning this together. What would a three-year roadmap conversation look like?'</w:t>
      </w:r>
    </w:p>
    <w:p>
      <w:pPr>
        <w:spacing w:before="80" w:after="80"/>
        <w:ind w:left="720"/>
      </w:pPr>
      <w:r>
        <w:rPr>
          <w:rFonts w:ascii="Georgia" w:cs="Georgia" w:eastAsia="Georgia" w:hAnsi="Georgia"/>
          <w:sz w:val="22"/>
          <w:szCs w:val="22"/>
        </w:rPr>
        <w:t xml:space="preserve">At Step 5, the relationship has become genuinely mutual. You know their business. They trust your judgment. The conversation isn't about price — it's about alignment.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STEP 4 — Tier Upgrade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Signal: Recurring advanced feature requests — pattern across multiple conversations and quarters</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Trigger: Capability Unlock — 'You've asked about X three times. That's a Tier 2 feature. Let me show you what it does first.'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STEP 5 — Strategic Partnership</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Signal: Executive sponsor actively aligning their planning to your roadmap</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Trigger: Partnership Frame — 'I don't think we should be thinking about this as a vendor relationship anymore.'</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5 — THE FULL STAIRCASE + WHERE TEAMS BREAK DOWN</w:t>
      </w:r>
    </w:p>
    <w:p>
      <w:pPr>
        <w:spacing w:before="80" w:after="40"/>
      </w:pPr>
      <w:r>
        <w:rPr>
          <w:rFonts w:ascii="Courier New" w:cs="Courier New" w:eastAsia="Courier New" w:hAnsi="Courier New"/>
          <w:b/>
          <w:bCs/>
          <w:color w:val="F4A000"/>
          <w:sz w:val="20"/>
          <w:szCs w:val="20"/>
        </w:rPr>
        <w:t xml:space="preserve">[7:30–9:00]</w:t>
      </w:r>
    </w:p>
    <w:p>
      <w:r>
        <w:t xml:space="preserve"/>
      </w:r>
    </w:p>
    <w:p>
      <w:pPr>
        <w:spacing w:before="60" w:after="60"/>
        <w:ind w:left="360"/>
      </w:pPr>
      <w:r>
        <w:rPr>
          <w:rFonts w:ascii="Arial" w:cs="Arial" w:eastAsia="Arial" w:hAnsi="Arial"/>
          <w:i/>
          <w:iCs/>
          <w:color w:val="6B46C1"/>
          <w:sz w:val="18"/>
          <w:szCs w:val="18"/>
        </w:rPr>
        <w:t xml:space="preserve">[DIRECTION: Practical and slightly critical. This is where you name the failure patterns honestly. The table does visual work — reference it, don't narrate it line by line.]</w:t>
      </w:r>
    </w:p>
    <w:p>
      <w:r>
        <w:t xml:space="preserve"/>
      </w:r>
    </w:p>
    <w:p>
      <w:pPr>
        <w:spacing w:before="80" w:after="80"/>
        <w:ind w:left="720"/>
      </w:pPr>
      <w:r>
        <w:rPr>
          <w:rFonts w:ascii="Georgia" w:cs="Georgia" w:eastAsia="Georgia" w:hAnsi="Georgia"/>
          <w:sz w:val="22"/>
          <w:szCs w:val="22"/>
        </w:rPr>
        <w:t xml:space="preserve">Let me show you the complete staircase, and then I want to name the two places where teams consistently break down.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600"/>
        <w:gridCol w:w="2200"/>
        <w:gridCol w:w="2880"/>
        <w:gridCol w:w="2200"/>
      </w:tblGrid>
      <w:tr>
        <w:tc>
          <w:tcPr>
            <w:tcW w:type="dxa" w:w="480"/>
            <w:tcBorders>
              <w:top w:val="single" w:color="CCCCCC" w:sz="1"/>
              <w:left w:val="single" w:color="CCCCCC" w:sz="1"/>
              <w:bottom w:val="single" w:color="CCCCCC" w:sz="1"/>
              <w:right w:val="single" w:color="CCCCCC" w:sz="1"/>
            </w:tcBorders>
            <w:shd w:fill="7C3AED" w:val="clear"/>
            <w:tcMar>
              <w:top w:type="dxa" w:w="80"/>
              <w:left w:type="dxa" w:w="80"/>
              <w:bottom w:type="dxa" w:w="80"/>
              <w:right w:type="dxa" w:w="80"/>
            </w:tcMar>
          </w:tcPr>
          <w:p>
            <w:r>
              <w:rPr>
                <w:rFonts w:ascii="Arial" w:cs="Arial" w:eastAsia="Arial" w:hAnsi="Arial"/>
                <w:b/>
                <w:bCs/>
                <w:color w:val="FFFFFF"/>
                <w:sz w:val="16"/>
                <w:szCs w:val="16"/>
              </w:rPr>
              <w:t xml:space="preserve">#</w:t>
            </w:r>
          </w:p>
        </w:tc>
        <w:tc>
          <w:tcPr>
            <w:tcW w:type="dxa" w:w="1600"/>
            <w:tcBorders>
              <w:top w:val="single" w:color="CCCCCC" w:sz="1"/>
              <w:left w:val="single" w:color="CCCCCC" w:sz="1"/>
              <w:bottom w:val="single" w:color="CCCCCC" w:sz="1"/>
              <w:right w:val="single" w:color="CCCCCC" w:sz="1"/>
            </w:tcBorders>
            <w:shd w:fill="7C3AED" w:val="clear"/>
            <w:tcMar>
              <w:top w:type="dxa" w:w="80"/>
              <w:left w:type="dxa" w:w="80"/>
              <w:bottom w:type="dxa" w:w="80"/>
              <w:right w:type="dxa" w:w="80"/>
            </w:tcMar>
          </w:tcPr>
          <w:p>
            <w:r>
              <w:rPr>
                <w:rFonts w:ascii="Arial" w:cs="Arial" w:eastAsia="Arial" w:hAnsi="Arial"/>
                <w:b/>
                <w:bCs/>
                <w:color w:val="FFFFFF"/>
                <w:sz w:val="16"/>
                <w:szCs w:val="16"/>
              </w:rPr>
              <w:t xml:space="preserve">Step</w:t>
            </w:r>
          </w:p>
        </w:tc>
        <w:tc>
          <w:tcPr>
            <w:tcW w:type="dxa" w:w="2200"/>
            <w:tcBorders>
              <w:top w:val="single" w:color="CCCCCC" w:sz="1"/>
              <w:left w:val="single" w:color="CCCCCC" w:sz="1"/>
              <w:bottom w:val="single" w:color="CCCCCC" w:sz="1"/>
              <w:right w:val="single" w:color="CCCCCC" w:sz="1"/>
            </w:tcBorders>
            <w:shd w:fill="7C3AED" w:val="clear"/>
            <w:tcMar>
              <w:top w:type="dxa" w:w="80"/>
              <w:left w:type="dxa" w:w="80"/>
              <w:bottom w:type="dxa" w:w="80"/>
              <w:right w:type="dxa" w:w="80"/>
            </w:tcMar>
          </w:tcPr>
          <w:p>
            <w:r>
              <w:rPr>
                <w:rFonts w:ascii="Arial" w:cs="Arial" w:eastAsia="Arial" w:hAnsi="Arial"/>
                <w:b/>
                <w:bCs/>
                <w:color w:val="FFFFFF"/>
                <w:sz w:val="16"/>
                <w:szCs w:val="16"/>
              </w:rPr>
              <w:t xml:space="preserve">Signal to Advance</w:t>
            </w:r>
          </w:p>
        </w:tc>
        <w:tc>
          <w:tcPr>
            <w:tcW w:type="dxa" w:w="2880"/>
            <w:tcBorders>
              <w:top w:val="single" w:color="CCCCCC" w:sz="1"/>
              <w:left w:val="single" w:color="CCCCCC" w:sz="1"/>
              <w:bottom w:val="single" w:color="CCCCCC" w:sz="1"/>
              <w:right w:val="single" w:color="CCCCCC" w:sz="1"/>
            </w:tcBorders>
            <w:shd w:fill="7C3AED" w:val="clear"/>
            <w:tcMar>
              <w:top w:type="dxa" w:w="80"/>
              <w:left w:type="dxa" w:w="80"/>
              <w:bottom w:type="dxa" w:w="80"/>
              <w:right w:type="dxa" w:w="80"/>
            </w:tcMar>
          </w:tcPr>
          <w:p>
            <w:r>
              <w:rPr>
                <w:rFonts w:ascii="Arial" w:cs="Arial" w:eastAsia="Arial" w:hAnsi="Arial"/>
                <w:b/>
                <w:bCs/>
                <w:color w:val="FFFFFF"/>
                <w:sz w:val="16"/>
                <w:szCs w:val="16"/>
              </w:rPr>
              <w:t xml:space="preserve">Conversation Trigger</w:t>
            </w:r>
          </w:p>
        </w:tc>
        <w:tc>
          <w:tcPr>
            <w:tcW w:type="dxa" w:w="2200"/>
            <w:tcBorders>
              <w:top w:val="single" w:color="CCCCCC" w:sz="1"/>
              <w:left w:val="single" w:color="CCCCCC" w:sz="1"/>
              <w:bottom w:val="single" w:color="CCCCCC" w:sz="1"/>
              <w:right w:val="single" w:color="CCCCCC" w:sz="1"/>
            </w:tcBorders>
            <w:shd w:fill="7C3AED" w:val="clear"/>
            <w:tcMar>
              <w:top w:type="dxa" w:w="80"/>
              <w:left w:type="dxa" w:w="80"/>
              <w:bottom w:type="dxa" w:w="80"/>
              <w:right w:type="dxa" w:w="80"/>
            </w:tcMar>
          </w:tcPr>
          <w:p>
            <w:r>
              <w:rPr>
                <w:rFonts w:ascii="Arial" w:cs="Arial" w:eastAsia="Arial" w:hAnsi="Arial"/>
                <w:b/>
                <w:bCs/>
                <w:color w:val="FFFFFF"/>
                <w:sz w:val="16"/>
                <w:szCs w:val="16"/>
              </w:rPr>
              <w:t xml:space="preserve">Outcome</w:t>
            </w:r>
          </w:p>
        </w:tc>
      </w:tr>
      <w:tr>
        <w:tc>
          <w:tcPr>
            <w:tcW w:type="dxa" w:w="48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7C3AED"/>
                <w:sz w:val="20"/>
                <w:szCs w:val="20"/>
              </w:rPr>
              <w:t xml:space="preserve">1</w:t>
            </w:r>
          </w:p>
        </w:tc>
        <w:tc>
          <w:tcPr>
            <w:tcW w:type="dxa" w:w="16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6"/>
                <w:szCs w:val="16"/>
              </w:rPr>
              <w:t xml:space="preserve">Full Adoption</w:t>
            </w:r>
          </w:p>
        </w:tc>
        <w:tc>
          <w:tcPr>
            <w:tcW w:type="dxa" w:w="22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5"/>
                <w:szCs w:val="15"/>
              </w:rPr>
              <w:t xml:space="preserve">≥70% feature adoption by licensed users</w:t>
            </w:r>
          </w:p>
        </w:tc>
        <w:tc>
          <w:tcPr>
            <w:tcW w:type="dxa" w:w="288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Georgia" w:cs="Georgia" w:eastAsia="Georgia" w:hAnsi="Georgia"/>
                <w:i/>
                <w:iCs/>
                <w:color w:val="7C3AED"/>
                <w:sz w:val="15"/>
                <w:szCs w:val="15"/>
              </w:rPr>
              <w:t xml:space="preserve">Value delivery conversation — not expansion</w:t>
            </w:r>
          </w:p>
        </w:tc>
        <w:tc>
          <w:tcPr>
            <w:tcW w:type="dxa" w:w="22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4A5568"/>
                <w:sz w:val="14"/>
                <w:szCs w:val="14"/>
              </w:rPr>
              <w:t xml:space="preserve">Covered in Module 5.1</w:t>
            </w:r>
          </w:p>
        </w:tc>
      </w:tr>
      <w:tr>
        <w:tc>
          <w:tcPr>
            <w:tcW w:type="dxa" w:w="48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7C3AED"/>
                <w:sz w:val="20"/>
                <w:szCs w:val="20"/>
              </w:rPr>
              <w:t xml:space="preserve">2</w:t>
            </w:r>
          </w:p>
        </w:tc>
        <w:tc>
          <w:tcPr>
            <w:tcW w:type="dxa" w:w="16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6"/>
                <w:szCs w:val="16"/>
              </w:rPr>
              <w:t xml:space="preserve">Value Expansion</w:t>
            </w:r>
          </w:p>
        </w:tc>
        <w:tc>
          <w:tcPr>
            <w:tcW w:type="dxa" w:w="22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5"/>
                <w:szCs w:val="15"/>
              </w:rPr>
              <w:t xml:space="preserve">Feature ceiling approached; usage growth; new business objective stated</w:t>
            </w:r>
          </w:p>
        </w:tc>
        <w:tc>
          <w:tcPr>
            <w:tcW w:type="dxa" w:w="288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Georgia" w:cs="Georgia" w:eastAsia="Georgia" w:hAnsi="Georgia"/>
                <w:i/>
                <w:iCs/>
                <w:color w:val="7C3AED"/>
                <w:sz w:val="15"/>
                <w:szCs w:val="15"/>
              </w:rPr>
              <w:t xml:space="preserve">Use Case Extension: 'You're hitting the ceiling of X — here's what companies in your position do next'</w:t>
            </w:r>
          </w:p>
        </w:tc>
        <w:tc>
          <w:tcPr>
            <w:tcW w:type="dxa" w:w="22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4A5568"/>
                <w:sz w:val="14"/>
                <w:szCs w:val="14"/>
              </w:rPr>
              <w:t xml:space="preserve">Expand scope within existing product</w:t>
            </w:r>
          </w:p>
        </w:tc>
      </w:tr>
      <w:tr>
        <w:tc>
          <w:tcPr>
            <w:tcW w:type="dxa" w:w="48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7C3AED"/>
                <w:sz w:val="20"/>
                <w:szCs w:val="20"/>
              </w:rPr>
              <w:t xml:space="preserve">3</w:t>
            </w:r>
          </w:p>
        </w:tc>
        <w:tc>
          <w:tcPr>
            <w:tcW w:type="dxa" w:w="16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6"/>
                <w:szCs w:val="16"/>
              </w:rPr>
              <w:t xml:space="preserve">Seat Expansion</w:t>
            </w:r>
          </w:p>
        </w:tc>
        <w:tc>
          <w:tcPr>
            <w:tcW w:type="dxa" w:w="22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5"/>
                <w:szCs w:val="15"/>
              </w:rPr>
              <w:t xml:space="preserve">New department or team mentioned; collaboration friction visible; growth hiring signals</w:t>
            </w:r>
          </w:p>
        </w:tc>
        <w:tc>
          <w:tcPr>
            <w:tcW w:type="dxa" w:w="288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Georgia" w:cs="Georgia" w:eastAsia="Georgia" w:hAnsi="Georgia"/>
                <w:i/>
                <w:iCs/>
                <w:color w:val="7C3AED"/>
                <w:sz w:val="15"/>
                <w:szCs w:val="15"/>
              </w:rPr>
              <w:t xml:space="preserve">Team Expansion: 'Your ops team is working around this — what would it mean if they had direct access?'</w:t>
            </w:r>
          </w:p>
        </w:tc>
        <w:tc>
          <w:tcPr>
            <w:tcW w:type="dxa" w:w="22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4A5568"/>
                <w:sz w:val="14"/>
                <w:szCs w:val="14"/>
              </w:rPr>
              <w:t xml:space="preserve">Grow licensed users within account</w:t>
            </w:r>
          </w:p>
        </w:tc>
      </w:tr>
      <w:tr>
        <w:tc>
          <w:tcPr>
            <w:tcW w:type="dxa" w:w="48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7C3AED"/>
                <w:sz w:val="20"/>
                <w:szCs w:val="20"/>
              </w:rPr>
              <w:t xml:space="preserve">4</w:t>
            </w:r>
          </w:p>
        </w:tc>
        <w:tc>
          <w:tcPr>
            <w:tcW w:type="dxa" w:w="16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6"/>
                <w:szCs w:val="16"/>
              </w:rPr>
              <w:t xml:space="preserve">Tier Upgrade</w:t>
            </w:r>
          </w:p>
        </w:tc>
        <w:tc>
          <w:tcPr>
            <w:tcW w:type="dxa" w:w="22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5"/>
                <w:szCs w:val="15"/>
              </w:rPr>
              <w:t xml:space="preserve">Advanced feature requests recurring; reporting/compliance need emerging; executive visibility desired</w:t>
            </w:r>
          </w:p>
        </w:tc>
        <w:tc>
          <w:tcPr>
            <w:tcW w:type="dxa" w:w="288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Georgia" w:cs="Georgia" w:eastAsia="Georgia" w:hAnsi="Georgia"/>
                <w:i/>
                <w:iCs/>
                <w:color w:val="7C3AED"/>
                <w:sz w:val="15"/>
                <w:szCs w:val="15"/>
              </w:rPr>
              <w:t xml:space="preserve">Capability Unlock: 'You've asked about [X] three times — that's a Tier 2 feature. Let me show you what it does for an account at your stage'</w:t>
            </w:r>
          </w:p>
        </w:tc>
        <w:tc>
          <w:tcPr>
            <w:tcW w:type="dxa" w:w="22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4A5568"/>
                <w:sz w:val="14"/>
                <w:szCs w:val="14"/>
              </w:rPr>
              <w:t xml:space="preserve">Move to higher product tier</w:t>
            </w:r>
          </w:p>
        </w:tc>
      </w:tr>
      <w:tr>
        <w:tc>
          <w:tcPr>
            <w:tcW w:type="dxa" w:w="48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color w:val="7C3AED"/>
                <w:sz w:val="20"/>
                <w:szCs w:val="20"/>
              </w:rPr>
              <w:t xml:space="preserve">5</w:t>
            </w:r>
          </w:p>
        </w:tc>
        <w:tc>
          <w:tcPr>
            <w:tcW w:type="dxa" w:w="16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b/>
                <w:bCs/>
                <w:sz w:val="16"/>
                <w:szCs w:val="16"/>
              </w:rPr>
              <w:t xml:space="preserve">Strategic Partnership</w:t>
            </w:r>
          </w:p>
        </w:tc>
        <w:tc>
          <w:tcPr>
            <w:tcW w:type="dxa" w:w="22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1A1A2E"/>
                <w:sz w:val="15"/>
                <w:szCs w:val="15"/>
              </w:rPr>
              <w:t xml:space="preserve">Executive sponsor engaged; multi-year planning conversation; cross-functional dependency visible</w:t>
            </w:r>
          </w:p>
        </w:tc>
        <w:tc>
          <w:tcPr>
            <w:tcW w:type="dxa" w:w="288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Georgia" w:cs="Georgia" w:eastAsia="Georgia" w:hAnsi="Georgia"/>
                <w:i/>
                <w:iCs/>
                <w:color w:val="7C3AED"/>
                <w:sz w:val="15"/>
                <w:szCs w:val="15"/>
              </w:rPr>
              <w:t xml:space="preserve">Partnership Conversation: 'Given where your business is going in the next 18 months — we should be planning this together'</w:t>
            </w:r>
          </w:p>
        </w:tc>
        <w:tc>
          <w:tcPr>
            <w:tcW w:type="dxa" w:w="2200"/>
            <w:tcBorders>
              <w:top w:val="single" w:color="CCCCCC" w:sz="1"/>
              <w:left w:val="single" w:color="CCCCCC" w:sz="1"/>
              <w:bottom w:val="single" w:color="CCCCCC" w:sz="1"/>
              <w:right w:val="single" w:color="CCCCCC" w:sz="1"/>
            </w:tcBorders>
            <w:shd w:fill="EEF2FA" w:val="clear"/>
            <w:tcMar>
              <w:top w:type="dxa" w:w="80"/>
              <w:left w:type="dxa" w:w="80"/>
              <w:bottom w:type="dxa" w:w="80"/>
              <w:right w:type="dxa" w:w="80"/>
            </w:tcMar>
          </w:tcPr>
          <w:p>
            <w:r>
              <w:rPr>
                <w:rFonts w:ascii="Arial" w:cs="Arial" w:eastAsia="Arial" w:hAnsi="Arial"/>
                <w:color w:val="4A5568"/>
                <w:sz w:val="14"/>
                <w:szCs w:val="14"/>
              </w:rPr>
              <w:t xml:space="preserve">Multi-year, cross-functional commitment</w:t>
            </w:r>
          </w:p>
        </w:tc>
      </w:tr>
    </w:tbl>
    <w:p>
      <w:r>
        <w:t xml:space="preserve"/>
      </w:r>
    </w:p>
    <w:p>
      <w:pPr>
        <w:spacing w:before="80" w:after="80"/>
        <w:ind w:left="720"/>
      </w:pPr>
      <w:r>
        <w:rPr>
          <w:rFonts w:ascii="Georgia" w:cs="Georgia" w:eastAsia="Georgia" w:hAnsi="Georgia"/>
          <w:sz w:val="22"/>
          <w:szCs w:val="22"/>
        </w:rPr>
        <w:t xml:space="preserve">Breakdown point one: jumping from Step 1 directly to Step 3 or 4. Full Adoption is confirmed, so the CSM feels momentum and immediately pushes for a seat expansion or tier upgrade. The customer resists because the value case for the expansion hasn't been built. Step 2 — Value Expansion — is the value case for everything above it. Skip it and you're asking for money before you've proven the return.</w:t>
      </w:r>
    </w:p>
    <w:p>
      <w:pPr>
        <w:spacing w:before="80" w:after="80"/>
        <w:ind w:left="720"/>
      </w:pPr>
      <w:r>
        <w:rPr>
          <w:rFonts w:ascii="Georgia" w:cs="Georgia" w:eastAsia="Georgia" w:hAnsi="Georgia"/>
          <w:sz w:val="22"/>
          <w:szCs w:val="22"/>
        </w:rPr>
        <w:t xml:space="preserve">Breakdown point two: running the wrong conversation at the right step. You're at Step 3, but you lead with pricing. You're at Step 4, but you describe features instead of outcomes. The signal is right, the timing is right, and the conversation fails because the framing was wrong.</w:t>
      </w:r>
    </w:p>
    <w:p>
      <w:pPr>
        <w:spacing w:before="80" w:after="80"/>
        <w:ind w:left="720"/>
      </w:pPr>
      <w:r>
        <w:rPr>
          <w:rFonts w:ascii="Georgia" w:cs="Georgia" w:eastAsia="Georgia" w:hAnsi="Georgia"/>
          <w:sz w:val="22"/>
          <w:szCs w:val="22"/>
        </w:rPr>
        <w:t xml:space="preserve">The staircase doesn't fail because the customer wasn't ready. It fails because the CSM either moved too fast or spoke the wrong language at the right moment.</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COMPLETE EXPANSION STAIRCASE — (see table)</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Breakdown #1: Skipping Step 2. Step 2 is the value case for Steps 3–5.</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Breakdown #2: Wrong conversation at the right step. Right signal, wrong framing = lost opportunity.</w:t>
      </w:r>
    </w:p>
    <w:p>
      <w:r>
        <w:t xml:space="preserve"/>
      </w:r>
    </w:p>
    <w:p>
      <w:pPr>
        <w:pBdr>
          <w:bottom w:val="single" w:color="00A896" w:sz="3" w:space="1"/>
        </w:pBdr>
        <w:spacing w:before="120" w:after="120"/>
      </w:pPr>
      <w:r>
        <w:t xml:space="preserve"/>
      </w:r>
    </w:p>
    <w:p>
      <w:r>
        <w:t xml:space="preserve"/>
      </w:r>
    </w:p>
    <w:p>
      <w:pPr>
        <w:shd w:fill="0F1F4B" w:val="clear"/>
        <w:spacing w:before="280" w:after="120"/>
      </w:pPr>
      <w:r>
        <w:rPr>
          <w:rFonts w:ascii="Arial" w:cs="Arial" w:eastAsia="Arial" w:hAnsi="Arial"/>
          <w:b/>
          <w:bCs/>
          <w:caps/>
          <w:color w:val="FFFFFF"/>
          <w:sz w:val="22"/>
          <w:szCs w:val="22"/>
        </w:rPr>
        <w:t xml:space="preserve">SEGMENT 6 — DO THIS MONDAY + CLOSE</w:t>
      </w:r>
    </w:p>
    <w:p>
      <w:pPr>
        <w:spacing w:before="80" w:after="40"/>
      </w:pPr>
      <w:r>
        <w:rPr>
          <w:rFonts w:ascii="Courier New" w:cs="Courier New" w:eastAsia="Courier New" w:hAnsi="Courier New"/>
          <w:b/>
          <w:bCs/>
          <w:color w:val="F4A000"/>
          <w:sz w:val="20"/>
          <w:szCs w:val="20"/>
        </w:rPr>
        <w:t xml:space="preserve">[9:00–11:00]</w:t>
      </w:r>
    </w:p>
    <w:p>
      <w:r>
        <w:t xml:space="preserve"/>
      </w:r>
    </w:p>
    <w:p>
      <w:pPr>
        <w:spacing w:before="60" w:after="60"/>
        <w:ind w:left="360"/>
      </w:pPr>
      <w:r>
        <w:rPr>
          <w:rFonts w:ascii="Arial" w:cs="Arial" w:eastAsia="Arial" w:hAnsi="Arial"/>
          <w:i/>
          <w:iCs/>
          <w:color w:val="6B46C1"/>
          <w:sz w:val="18"/>
          <w:szCs w:val="18"/>
        </w:rPr>
        <w:t xml:space="preserve">[DIRECTION: Crisp and direct. The account audit is the key action — this is diagnostic before it's prescriptive. Close with the compounding LTV point.]</w:t>
      </w:r>
    </w:p>
    <w:p>
      <w:r>
        <w:t xml:space="preserve"/>
      </w:r>
    </w:p>
    <w:p>
      <w:pPr>
        <w:spacing w:before="80" w:after="80"/>
        <w:ind w:left="720"/>
      </w:pPr>
      <w:r>
        <w:rPr>
          <w:rFonts w:ascii="Georgia" w:cs="Georgia" w:eastAsia="Georgia" w:hAnsi="Georgia"/>
          <w:sz w:val="22"/>
          <w:szCs w:val="22"/>
        </w:rPr>
        <w:t xml:space="preserve">Here's what you do Monday morning.</w:t>
      </w:r>
    </w:p>
    <w:p>
      <w:r>
        <w:t xml:space="preserve"/>
      </w:r>
    </w:p>
    <w:p>
      <w:pPr>
        <w:spacing w:before="80" w:after="80"/>
        <w:ind w:left="720"/>
      </w:pPr>
      <w:r>
        <w:rPr>
          <w:rFonts w:ascii="Georgia" w:cs="Georgia" w:eastAsia="Georgia" w:hAnsi="Georgia"/>
          <w:sz w:val="22"/>
          <w:szCs w:val="22"/>
        </w:rPr>
        <w:t xml:space="preserve">One: For every Tier 1 account, identify which step of the Expansion Staircase they're currently on. Not where you want them to be. Where the signals say they actually are. Write it down next to each account name. If you don't know the step for any account in your Tier 1 — you have a visibility problem, not an expansion problem.</w:t>
      </w:r>
    </w:p>
    <w:p>
      <w:r>
        <w:t xml:space="preserve"/>
      </w:r>
    </w:p>
    <w:p>
      <w:pPr>
        <w:spacing w:before="80" w:after="80"/>
        <w:ind w:left="720"/>
      </w:pPr>
      <w:r>
        <w:rPr>
          <w:rFonts w:ascii="Georgia" w:cs="Georgia" w:eastAsia="Georgia" w:hAnsi="Georgia"/>
          <w:sz w:val="22"/>
          <w:szCs w:val="22"/>
        </w:rPr>
        <w:t xml:space="preserve">Two: For every account on Step 2 or above — verify that Step 1 (Full Adoption) is confirmed before you do anything else. If adoption is below 70 percent for any account you're planning to expand, remove that account from your expansion queue and put it in your value delivery queue. Expand in the wrong order and you will accelerate churn, not revenue.</w:t>
      </w:r>
    </w:p>
    <w:p>
      <w:r>
        <w:t xml:space="preserve"/>
      </w:r>
    </w:p>
    <w:p>
      <w:pPr>
        <w:spacing w:before="80" w:after="80"/>
        <w:ind w:left="720"/>
      </w:pPr>
      <w:r>
        <w:rPr>
          <w:rFonts w:ascii="Georgia" w:cs="Georgia" w:eastAsia="Georgia" w:hAnsi="Georgia"/>
          <w:sz w:val="22"/>
          <w:szCs w:val="22"/>
        </w:rPr>
        <w:t xml:space="preserve">Three: For the accounts that are legitimately on Step 2 or Step 3 — identify the one specific signal that would advance them to the next step, and build a 30-day plan to create that condition. Not to close the deal. To create the signal. The deal follows the signal. Always.</w:t>
      </w:r>
    </w:p>
    <w:p>
      <w:r>
        <w:t xml:space="preserve"/>
      </w:r>
    </w:p>
    <w:p>
      <w:pPr>
        <w:spacing w:before="80" w:after="80"/>
        <w:ind w:left="720"/>
      </w:pPr>
      <w:r>
        <w:rPr>
          <w:rFonts w:ascii="Georgia" w:cs="Georgia" w:eastAsia="Georgia" w:hAnsi="Georgia"/>
          <w:sz w:val="22"/>
          <w:szCs w:val="22"/>
        </w:rPr>
        <w:t xml:space="preserve">Accounts that receive full Expansion Staircase execution — all five steps in order, with the right conversation at each — generate three times the lifetime value of accounts managed without a formal expansion framework. Three times. On the same product. With the same customer.</w:t>
      </w:r>
    </w:p>
    <w:p>
      <w:pPr>
        <w:spacing w:before="80" w:after="80"/>
        <w:ind w:left="720"/>
      </w:pPr>
      <w:r>
        <w:rPr>
          <w:rFonts w:ascii="Georgia" w:cs="Georgia" w:eastAsia="Georgia" w:hAnsi="Georgia"/>
          <w:sz w:val="22"/>
          <w:szCs w:val="22"/>
        </w:rPr>
        <w:t xml:space="preserve">The staircase is already there. The customer will climb it if you show them the steps. Stop guessing which rung they're on. Start Monday.</w:t>
      </w:r>
    </w:p>
    <w:p>
      <w:r>
        <w:t xml:space="preserve"/>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DO THIS MONDAY:</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1. Map every Tier 1 account to their current Expansion Staircase step</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2. Verify Step 1 (Full Adoption ≥70%) before any expansion conversation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3. For Step 2/3 accounts: identify the one signal that advances them — build 30-day plan</w:t>
      </w:r>
    </w:p>
    <w:p>
      <w:pPr>
        <w:pBdr>
          <w:left w:val="single" w:color="00A896" w:sz="4" w:space="4"/>
        </w:pBdr>
        <w:spacing w:before="100" w:after="100"/>
        <w:ind w:left="360"/>
      </w:pPr>
      <w:r>
        <w:rPr>
          <w:rFonts w:ascii="Arial" w:cs="Arial" w:eastAsia="Arial" w:hAnsi="Arial"/>
          <w:b/>
          <w:bCs/>
          <w:color w:val="00A896"/>
          <w:sz w:val="20"/>
          <w:szCs w:val="20"/>
        </w:rPr>
        <w:t xml:space="preserve">ON SCREEN:  </w:t>
      </w:r>
      <w:r>
        <w:rPr>
          <w:rFonts w:ascii="Arial" w:cs="Arial" w:eastAsia="Arial" w:hAnsi="Arial"/>
          <w:color w:val="00A896"/>
          <w:sz w:val="20"/>
          <w:szCs w:val="20"/>
        </w:rPr>
        <w:t xml:space="preserve">Full staircase execution: 3× lifetime value vs. no formal expansion framework</w:t>
      </w:r>
    </w:p>
    <w:p>
      <w:r>
        <w:t xml:space="preserve"/>
      </w:r>
    </w:p>
    <w:p>
      <w:pPr>
        <w:spacing w:before="60" w:after="60"/>
        <w:ind w:left="360"/>
      </w:pPr>
      <w:r>
        <w:rPr>
          <w:rFonts w:ascii="Arial" w:cs="Arial" w:eastAsia="Arial" w:hAnsi="Arial"/>
          <w:i/>
          <w:iCs/>
          <w:color w:val="6B46C1"/>
          <w:sz w:val="18"/>
          <w:szCs w:val="18"/>
        </w:rPr>
        <w:t xml:space="preserve">[DIRECTION: Hold on camera 3–4 seconds after final line before cut.]</w:t>
      </w:r>
    </w:p>
    <w:p>
      <w:r>
        <w:t xml:space="preserve"/>
      </w:r>
    </w:p>
    <w:p>
      <w:pPr>
        <w:pBdr>
          <w:bottom w:val="single" w:color="00A896" w:sz="3" w:space="1"/>
        </w:pBdr>
        <w:spacing w:before="120" w:after="120"/>
      </w:pPr>
      <w:r>
        <w:t xml:space="preserve"/>
      </w:r>
    </w:p>
    <w:p>
      <w:r>
        <w:t xml:space="preserve"/>
      </w:r>
    </w:p>
    <w:p>
      <w:pPr>
        <w:shd w:fill="4A5568" w:val="clear"/>
        <w:spacing w:before="280" w:after="120"/>
      </w:pPr>
      <w:r>
        <w:rPr>
          <w:rFonts w:ascii="Arial" w:cs="Arial" w:eastAsia="Arial" w:hAnsi="Arial"/>
          <w:b/>
          <w:bCs/>
          <w:caps/>
          <w:color w:val="FFFFFF"/>
          <w:sz w:val="22"/>
          <w:szCs w:val="22"/>
        </w:rPr>
        <w:t xml:space="preserve">PRODUCTION NOTES</w:t>
      </w:r>
    </w:p>
    <w:p>
      <w:r>
        <w:t xml:space="preserve"/>
      </w:r>
    </w:p>
    <w:p>
      <w:pPr>
        <w:spacing w:before="80" w:after="60"/>
      </w:pPr>
      <w:r>
        <w:rPr>
          <w:rFonts w:ascii="Arial" w:cs="Arial" w:eastAsia="Arial" w:hAnsi="Arial"/>
          <w:b/>
          <w:bCs/>
          <w:sz w:val="20"/>
          <w:szCs w:val="20"/>
        </w:rPr>
        <w:t xml:space="preserve">B-Roll Suggestions:</w:t>
      </w:r>
    </w:p>
    <w:p>
      <w:pPr>
        <w:pStyle w:val="ListParagraph"/>
        <w:numPr>
          <w:ilvl w:val="0"/>
          <w:numId w:val="2"/>
        </w:numPr>
        <w:spacing w:before="40" w:after="40"/>
      </w:pPr>
      <w:r>
        <w:rPr>
          <w:rFonts w:ascii="Arial" w:cs="Arial" w:eastAsia="Arial" w:hAnsi="Arial"/>
          <w:sz w:val="18"/>
          <w:szCs w:val="18"/>
        </w:rPr>
        <w:t xml:space="preserve">Segment 1: CSM staring at account list, unsure where to start; Slack message screenshot mentioning expansion</w:t>
      </w:r>
    </w:p>
    <w:p>
      <w:pPr>
        <w:pStyle w:val="ListParagraph"/>
        <w:numPr>
          <w:ilvl w:val="0"/>
          <w:numId w:val="2"/>
        </w:numPr>
        <w:spacing w:before="40" w:after="40"/>
      </w:pPr>
      <w:r>
        <w:rPr>
          <w:rFonts w:ascii="Arial" w:cs="Arial" w:eastAsia="Arial" w:hAnsi="Arial"/>
          <w:sz w:val="18"/>
          <w:szCs w:val="18"/>
        </w:rPr>
        <w:t xml:space="preserve">Segment 2: Staircase diagram building step by step; account progression animation</w:t>
      </w:r>
    </w:p>
    <w:p>
      <w:pPr>
        <w:pStyle w:val="ListParagraph"/>
        <w:numPr>
          <w:ilvl w:val="0"/>
          <w:numId w:val="2"/>
        </w:numPr>
        <w:spacing w:before="40" w:after="40"/>
      </w:pPr>
      <w:r>
        <w:rPr>
          <w:rFonts w:ascii="Arial" w:cs="Arial" w:eastAsia="Arial" w:hAnsi="Arial"/>
          <w:sz w:val="18"/>
          <w:szCs w:val="18"/>
        </w:rPr>
        <w:t xml:space="preserve">Segment 3: Usage analytics dashboard showing ceiling approach; cross-team friction meeting scene</w:t>
      </w:r>
    </w:p>
    <w:p>
      <w:pPr>
        <w:pStyle w:val="ListParagraph"/>
        <w:numPr>
          <w:ilvl w:val="0"/>
          <w:numId w:val="2"/>
        </w:numPr>
        <w:spacing w:before="40" w:after="40"/>
      </w:pPr>
      <w:r>
        <w:rPr>
          <w:rFonts w:ascii="Arial" w:cs="Arial" w:eastAsia="Arial" w:hAnsi="Arial"/>
          <w:sz w:val="18"/>
          <w:szCs w:val="18"/>
        </w:rPr>
        <w:t xml:space="preserve">Segment 4: Executive review meeting with platform in discussion; roadmap alignment conversation</w:t>
      </w:r>
    </w:p>
    <w:p>
      <w:pPr>
        <w:pStyle w:val="ListParagraph"/>
        <w:numPr>
          <w:ilvl w:val="0"/>
          <w:numId w:val="2"/>
        </w:numPr>
        <w:spacing w:before="40" w:after="40"/>
      </w:pPr>
      <w:r>
        <w:rPr>
          <w:rFonts w:ascii="Arial" w:cs="Arial" w:eastAsia="Arial" w:hAnsi="Arial"/>
          <w:sz w:val="18"/>
          <w:szCs w:val="18"/>
        </w:rPr>
        <w:t xml:space="preserve">Segment 5: Full staircase table on screen; two breakdown scenarios highlighted in red</w:t>
      </w:r>
    </w:p>
    <w:p>
      <w:pPr>
        <w:pStyle w:val="ListParagraph"/>
        <w:numPr>
          <w:ilvl w:val="0"/>
          <w:numId w:val="2"/>
        </w:numPr>
        <w:spacing w:before="40" w:after="40"/>
      </w:pPr>
      <w:r>
        <w:rPr>
          <w:rFonts w:ascii="Arial" w:cs="Arial" w:eastAsia="Arial" w:hAnsi="Arial"/>
          <w:sz w:val="18"/>
          <w:szCs w:val="18"/>
        </w:rPr>
        <w:t xml:space="preserve">Segment 6: CSM mapping accounts to staircase steps; adoption audit dashboard</w:t>
      </w:r>
    </w:p>
    <w:p>
      <w:r>
        <w:t xml:space="preserve"/>
      </w:r>
    </w:p>
    <w:p>
      <w:r>
        <w:rPr>
          <w:rFonts w:ascii="Arial" w:cs="Arial" w:eastAsia="Arial" w:hAnsi="Arial"/>
          <w:b/>
          <w:bCs/>
          <w:sz w:val="18"/>
          <w:szCs w:val="18"/>
        </w:rPr>
        <w:t xml:space="preserve">Accent Color: </w:t>
      </w:r>
      <w:r>
        <w:rPr>
          <w:rFonts w:ascii="Arial" w:cs="Arial" w:eastAsia="Arial" w:hAnsi="Arial"/>
          <w:color w:val="7C3AED"/>
          <w:sz w:val="18"/>
          <w:szCs w:val="18"/>
        </w:rPr>
        <w:t xml:space="preserve">Violet #7C3AED</w:t>
      </w:r>
    </w:p>
    <w:p>
      <w:r>
        <w:rPr>
          <w:rFonts w:ascii="Arial" w:cs="Arial" w:eastAsia="Arial" w:hAnsi="Arial"/>
          <w:b/>
          <w:bCs/>
          <w:sz w:val="18"/>
          <w:szCs w:val="18"/>
        </w:rPr>
        <w:t xml:space="preserve">Word Count Target: </w:t>
      </w:r>
      <w:r>
        <w:rPr>
          <w:rFonts w:ascii="Arial" w:cs="Arial" w:eastAsia="Arial" w:hAnsi="Arial"/>
          <w:sz w:val="18"/>
          <w:szCs w:val="18"/>
        </w:rPr>
        <w:t xml:space="preserve">~1,500 words  |  Estimated Runtime: 9–11 minutes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2026-02-19T16:55:05.727Z</dcterms:created>
  <dcterms:modified xsi:type="dcterms:W3CDTF">2026-02-19T16:55:05.728Z</dcterms:modified>
</cp:coreProperties>
</file>

<file path=docProps/custom.xml><?xml version="1.0" encoding="utf-8"?>
<Properties xmlns="http://schemas.openxmlformats.org/officeDocument/2006/custom-properties" xmlns:vt="http://schemas.openxmlformats.org/officeDocument/2006/docPropsVTypes"/>
</file>