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BE185D" w:val="clear"/>
        <w:spacing w:before="0" w:after="80"/>
        <w:jc w:val="center"/>
      </w:pPr>
      <w:r>
        <w:rPr>
          <w:rFonts w:ascii="Arial" w:cs="Arial" w:eastAsia="Arial" w:hAnsi="Arial"/>
          <w:b/>
          <w:bCs/>
          <w:caps/>
          <w:color w:val="FFFFFF"/>
          <w:sz w:val="32"/>
          <w:szCs w:val="32"/>
        </w:rPr>
        <w:t xml:space="preserve">MODULE 8.3 — VIDEO SCRIPT</w:t>
      </w:r>
    </w:p>
    <w:p>
      <w:pPr>
        <w:shd w:fill="0F1F4B" w:val="clear"/>
        <w:spacing w:before="0" w:after="200"/>
        <w:jc w:val="center"/>
      </w:pPr>
      <w:r>
        <w:rPr>
          <w:rFonts w:ascii="Georgia" w:cs="Georgia" w:eastAsia="Georgia" w:hAnsi="Georgia"/>
          <w:b/>
          <w:bCs/>
          <w:color w:val="FFFFFF"/>
          <w:sz w:val="28"/>
          <w:szCs w:val="28"/>
        </w:rPr>
        <w:t xml:space="preserve">The CS Operations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8.3 — The CS Operations Playbook</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3 — The Proof · Week 8: Operational Scale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Rose #BE185D</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Book Ch.7 — Process automation + living playbooks architecture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DEAD PLAYBOOK PROBLEM</w:t>
      </w:r>
    </w:p>
    <w:p>
      <w:pPr>
        <w:spacing w:before="80" w:after="40"/>
      </w:pPr>
      <w:r>
        <w:rPr>
          <w:rFonts w:ascii="Courier New" w:cs="Courier New" w:eastAsia="Courier New" w:hAnsi="Courier New"/>
          <w:b/>
          <w:bCs/>
          <w:color w:val="F4A000"/>
          <w:sz w:val="20"/>
          <w:szCs w:val="20"/>
        </w:rPr>
        <w:t xml:space="preserve">[0:00–1:00]</w:t>
      </w:r>
    </w:p>
    <w:p>
      <w:r>
        <w:t xml:space="preserve"/>
      </w:r>
    </w:p>
    <w:p>
      <w:pPr>
        <w:spacing w:before="60" w:after="60"/>
        <w:ind w:left="360"/>
      </w:pPr>
      <w:r>
        <w:rPr>
          <w:rFonts w:ascii="Arial" w:cs="Arial" w:eastAsia="Arial" w:hAnsi="Arial"/>
          <w:i/>
          <w:iCs/>
          <w:color w:val="6B46C1"/>
          <w:sz w:val="18"/>
          <w:szCs w:val="18"/>
        </w:rPr>
        <w:t xml:space="preserve">[DIRECTION: Name the dead playbook failure mode immediately. The audience either has a playbook they haven't looked at in a year, or they have no playbook and know they should. Both are the same problem.]</w:t>
      </w:r>
    </w:p>
    <w:p>
      <w:r>
        <w:t xml:space="preserve"/>
      </w:r>
    </w:p>
    <w:p>
      <w:pPr>
        <w:spacing w:before="80" w:after="80"/>
        <w:ind w:left="720"/>
      </w:pPr>
      <w:r>
        <w:rPr>
          <w:rFonts w:ascii="Georgia" w:cs="Georgia" w:eastAsia="Georgia" w:hAnsi="Georgia"/>
          <w:sz w:val="22"/>
          <w:szCs w:val="22"/>
        </w:rPr>
        <w:t xml:space="preserve">Most CS organizations have a playbook. It exists somewhere — a Notion doc, a Confluence page, a Google Drive folder full of process documentation. It was written carefully, probably by your best CSM or a consultant you hired, at a specific point in time.</w:t>
      </w:r>
    </w:p>
    <w:p>
      <w:pPr>
        <w:spacing w:before="80" w:after="80"/>
        <w:ind w:left="720"/>
      </w:pPr>
      <w:r>
        <w:rPr>
          <w:rFonts w:ascii="Georgia" w:cs="Georgia" w:eastAsia="Georgia" w:hAnsi="Georgia"/>
          <w:sz w:val="22"/>
          <w:szCs w:val="22"/>
        </w:rPr>
        <w:t xml:space="preserve">It's wrong.</w:t>
      </w:r>
    </w:p>
    <w:p>
      <w:pPr>
        <w:spacing w:before="80" w:after="80"/>
        <w:ind w:left="720"/>
      </w:pPr>
      <w:r>
        <w:rPr>
          <w:rFonts w:ascii="Georgia" w:cs="Georgia" w:eastAsia="Georgia" w:hAnsi="Georgia"/>
          <w:sz w:val="22"/>
          <w:szCs w:val="22"/>
        </w:rPr>
        <w:t xml:space="preserve">Not because it was written poorly. Because the moment it was finished, it started decaying. The product changed. The competitive landscape shifted. A new customer segment emerged. A CSM tried something that worked 30 percent better than the documented approach — and that improvement lives in their head, not in the playbook. The playbook reflects how the team operated when it was written, not how it should operate today.</w:t>
      </w:r>
    </w:p>
    <w:p>
      <w:pPr>
        <w:spacing w:before="80" w:after="80"/>
        <w:ind w:left="720"/>
      </w:pPr>
      <w:r>
        <w:rPr>
          <w:rFonts w:ascii="Georgia" w:cs="Georgia" w:eastAsia="Georgia" w:hAnsi="Georgia"/>
          <w:sz w:val="22"/>
          <w:szCs w:val="22"/>
        </w:rPr>
        <w:t xml:space="preserve">The dead playbook problem has two components. First: the content decays because there's no update mechanism. Second: the format is wrong — a document you read is not a playbook your team executes. A playbook is a signal-triggered, workflow-orchestrated set of actions that fires when the situation demands it, not a reference document CSMs consult when they remember to.</w:t>
      </w:r>
    </w:p>
    <w:p>
      <w:pPr>
        <w:spacing w:before="80" w:after="80"/>
        <w:ind w:left="720"/>
      </w:pPr>
      <w:r>
        <w:rPr>
          <w:rFonts w:ascii="Georgia" w:cs="Georgia" w:eastAsia="Georgia" w:hAnsi="Georgia"/>
          <w:sz w:val="22"/>
          <w:szCs w:val="22"/>
        </w:rPr>
        <w:t xml:space="preserve">This module builds the living version.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8.3 — The CS Operations Playbook</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Dead playbook: static document, written once, decays from day one, consulted when CSMs remember to.</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Living playbook: signal-triggered, workflow-orchestrated, updates automatically from outcomes. Not a document — a system.</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ANATOMY OF A LIVING PLAYBOOK</w:t>
      </w:r>
    </w:p>
    <w:p>
      <w:pPr>
        <w:spacing w:before="80" w:after="40"/>
      </w:pPr>
      <w:r>
        <w:rPr>
          <w:rFonts w:ascii="Courier New" w:cs="Courier New" w:eastAsia="Courier New" w:hAnsi="Courier New"/>
          <w:b/>
          <w:bCs/>
          <w:color w:val="F4A000"/>
          <w:sz w:val="20"/>
          <w:szCs w:val="20"/>
        </w:rPr>
        <w:t xml:space="preserve">[1:00–2:30]</w:t>
      </w:r>
    </w:p>
    <w:p>
      <w:r>
        <w:t xml:space="preserve"/>
      </w:r>
    </w:p>
    <w:p>
      <w:pPr>
        <w:spacing w:before="60" w:after="60"/>
        <w:ind w:left="360"/>
      </w:pPr>
      <w:r>
        <w:rPr>
          <w:rFonts w:ascii="Arial" w:cs="Arial" w:eastAsia="Arial" w:hAnsi="Arial"/>
          <w:i/>
          <w:iCs/>
          <w:color w:val="6B46C1"/>
          <w:sz w:val="18"/>
          <w:szCs w:val="18"/>
        </w:rPr>
        <w:t xml:space="preserve">[DIRECTION: The three components are the structural model. Each one is a concrete design decision the audience needs to make for every playbook they build.]</w:t>
      </w:r>
    </w:p>
    <w:p>
      <w:r>
        <w:t xml:space="preserve"/>
      </w:r>
    </w:p>
    <w:p>
      <w:pPr>
        <w:spacing w:before="80" w:after="80"/>
        <w:ind w:left="720"/>
      </w:pPr>
      <w:r>
        <w:rPr>
          <w:rFonts w:ascii="Georgia" w:cs="Georgia" w:eastAsia="Georgia" w:hAnsi="Georgia"/>
          <w:sz w:val="22"/>
          <w:szCs w:val="22"/>
        </w:rPr>
        <w:t xml:space="preserve">A living playbook has three components that a dead playbook doesn't.</w:t>
      </w:r>
    </w:p>
    <w:p>
      <w:pPr>
        <w:spacing w:before="80" w:after="80"/>
        <w:ind w:left="720"/>
      </w:pPr>
      <w:r>
        <w:rPr>
          <w:rFonts w:ascii="Georgia" w:cs="Georgia" w:eastAsia="Georgia" w:hAnsi="Georgia"/>
          <w:sz w:val="22"/>
          <w:szCs w:val="22"/>
        </w:rPr>
        <w:t xml:space="preserve">Component one: a signal-triggered entry point. The playbook doesn't start when a CSM decides to run it. It starts when a behavioral signal — or a combination of signals — crosses a defined threshold. Stage 2 of the Churn Cascade confirmed by the Churn Prediction Agent. Champion departure detected by the Champion Departure Monitor. A renewal date crossing into the T-90 window. The signal is the starting gun, not the CSM's memory.</w:t>
      </w:r>
    </w:p>
    <w:p>
      <w:pPr>
        <w:spacing w:before="80" w:after="80"/>
        <w:ind w:left="720"/>
      </w:pPr>
      <w:r>
        <w:rPr>
          <w:rFonts w:ascii="Georgia" w:cs="Georgia" w:eastAsia="Georgia" w:hAnsi="Georgia"/>
          <w:sz w:val="22"/>
          <w:szCs w:val="22"/>
        </w:rPr>
        <w:t xml:space="preserve">Component two: a defined workflow sequence. Once triggered, the playbook specifies exactly what happens, in what order, and who is responsible. Not 'reach out to the customer' — 'CSM initiates discovery call within 48 hours using the Stage 2 save play talk track, with the goal of identifying the specific objection category.' Sequence, timeline, responsibility, and success criteria at each step. No ambiguity about what 'next step' means.</w:t>
      </w:r>
    </w:p>
    <w:p>
      <w:pPr>
        <w:spacing w:before="80" w:after="80"/>
        <w:ind w:left="720"/>
      </w:pPr>
      <w:r>
        <w:rPr>
          <w:rFonts w:ascii="Georgia" w:cs="Georgia" w:eastAsia="Georgia" w:hAnsi="Georgia"/>
          <w:sz w:val="22"/>
          <w:szCs w:val="22"/>
        </w:rPr>
        <w:t xml:space="preserve">Component three: an outcome feedback loop. Every time a playbook runs, the outcome is logged — whether the save play succeeded, which talk track was used, which objection was named, which CSM ran the play. Over time, the playbook accumulates data about what actually works for your specific customer base. The content of the playbook updates based on that data. Top-performer behavior propagates to the whole team automatically, not through a training session six months later.</w:t>
      </w:r>
    </w:p>
    <w:p>
      <w:pPr>
        <w:spacing w:before="80" w:after="80"/>
        <w:ind w:left="720"/>
      </w:pPr>
      <w:r>
        <w:rPr>
          <w:rFonts w:ascii="Georgia" w:cs="Georgia" w:eastAsia="Georgia" w:hAnsi="Georgia"/>
          <w:sz w:val="22"/>
          <w:szCs w:val="22"/>
        </w:rPr>
        <w:t xml:space="preserve">That third component is what makes it living. Most CS organizations have the first two in some form — they have triggers and they have documented sequences. Almost none have the feedback loop. The result is a playbook that stops improving the day it's written.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LIVING PLAYBOOK: (1) Signal-triggered entry — defined threshold, not CSM memory · (2) Defined workflow sequence — specific action, timeline, responsibility, success criteria · (3) Outcome feedback loop — results logged, playbook content updates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Component 3 (feedback loop) is what most orgs are missing. Without it, the playbook stops improving the day it's written.</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THE 6 CORE PLAYBOOKS</w:t>
      </w:r>
    </w:p>
    <w:p>
      <w:pPr>
        <w:spacing w:before="80" w:after="40"/>
      </w:pPr>
      <w:r>
        <w:rPr>
          <w:rFonts w:ascii="Courier New" w:cs="Courier New" w:eastAsia="Courier New" w:hAnsi="Courier New"/>
          <w:b/>
          <w:bCs/>
          <w:color w:val="F4A000"/>
          <w:sz w:val="20"/>
          <w:szCs w:val="20"/>
        </w:rPr>
        <w:t xml:space="preserve">[2:30–6:00]</w:t>
      </w:r>
    </w:p>
    <w:p>
      <w:r>
        <w:t xml:space="preserve"/>
      </w:r>
    </w:p>
    <w:p>
      <w:pPr>
        <w:spacing w:before="60" w:after="60"/>
        <w:ind w:left="360"/>
      </w:pPr>
      <w:r>
        <w:rPr>
          <w:rFonts w:ascii="Arial" w:cs="Arial" w:eastAsia="Arial" w:hAnsi="Arial"/>
          <w:i/>
          <w:iCs/>
          <w:color w:val="6B46C1"/>
          <w:sz w:val="18"/>
          <w:szCs w:val="18"/>
        </w:rPr>
        <w:t xml:space="preserve">[DIRECTION: Walk the table by playbook. The 'How It Learns' column is the differentiator column — emphasize it. That's what makes these living, not static.]</w:t>
      </w:r>
    </w:p>
    <w:p>
      <w:r>
        <w:t xml:space="preserve"/>
      </w:r>
    </w:p>
    <w:p>
      <w:pPr>
        <w:spacing w:before="80" w:after="80"/>
        <w:ind w:left="720"/>
      </w:pPr>
      <w:r>
        <w:rPr>
          <w:rFonts w:ascii="Georgia" w:cs="Georgia" w:eastAsia="Georgia" w:hAnsi="Georgia"/>
          <w:sz w:val="22"/>
          <w:szCs w:val="22"/>
        </w:rPr>
        <w:t xml:space="preserve">Every CS operation needs six core playbooks. Here they are, with signal triggers, workflow sequences, success metrics, and — critically — how each one updates itself based on outcome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2880"/>
        <w:gridCol w:w="1560"/>
        <w:gridCol w:w="2040"/>
      </w:tblGrid>
      <w:tr>
        <w:tc>
          <w:tcPr>
            <w:tcW w:type="dxa" w:w="1200"/>
            <w:tcBorders>
              <w:top w:val="single" w:color="CCCCCC" w:sz="1"/>
              <w:left w:val="single" w:color="CCCCCC" w:sz="1"/>
              <w:bottom w:val="single" w:color="CCCCCC" w:sz="1"/>
              <w:right w:val="single" w:color="CCCCCC" w:sz="1"/>
            </w:tcBorders>
            <w:shd w:fill="BE185D" w:val="clear"/>
            <w:tcMar>
              <w:top w:type="dxa" w:w="80"/>
              <w:left w:type="dxa" w:w="80"/>
              <w:bottom w:type="dxa" w:w="80"/>
              <w:right w:type="dxa" w:w="80"/>
            </w:tcMar>
          </w:tcPr>
          <w:p>
            <w:r>
              <w:rPr>
                <w:rFonts w:ascii="Arial" w:cs="Arial" w:eastAsia="Arial" w:hAnsi="Arial"/>
                <w:b/>
                <w:bCs/>
                <w:color w:val="FFFFFF"/>
                <w:sz w:val="14"/>
                <w:szCs w:val="14"/>
              </w:rPr>
              <w:t xml:space="preserve">Playbook</w:t>
            </w:r>
          </w:p>
        </w:tc>
        <w:tc>
          <w:tcPr>
            <w:tcW w:type="dxa" w:w="1680"/>
            <w:tcBorders>
              <w:top w:val="single" w:color="CCCCCC" w:sz="1"/>
              <w:left w:val="single" w:color="CCCCCC" w:sz="1"/>
              <w:bottom w:val="single" w:color="CCCCCC" w:sz="1"/>
              <w:right w:val="single" w:color="CCCCCC" w:sz="1"/>
            </w:tcBorders>
            <w:shd w:fill="BE185D" w:val="clear"/>
            <w:tcMar>
              <w:top w:type="dxa" w:w="80"/>
              <w:left w:type="dxa" w:w="80"/>
              <w:bottom w:type="dxa" w:w="80"/>
              <w:right w:type="dxa" w:w="80"/>
            </w:tcMar>
          </w:tcPr>
          <w:p>
            <w:r>
              <w:rPr>
                <w:rFonts w:ascii="Arial" w:cs="Arial" w:eastAsia="Arial" w:hAnsi="Arial"/>
                <w:b/>
                <w:bCs/>
                <w:color w:val="FFFFFF"/>
                <w:sz w:val="14"/>
                <w:szCs w:val="14"/>
              </w:rPr>
              <w:t xml:space="preserve">Signal Trigger</w:t>
            </w:r>
          </w:p>
        </w:tc>
        <w:tc>
          <w:tcPr>
            <w:tcW w:type="dxa" w:w="2880"/>
            <w:tcBorders>
              <w:top w:val="single" w:color="CCCCCC" w:sz="1"/>
              <w:left w:val="single" w:color="CCCCCC" w:sz="1"/>
              <w:bottom w:val="single" w:color="CCCCCC" w:sz="1"/>
              <w:right w:val="single" w:color="CCCCCC" w:sz="1"/>
            </w:tcBorders>
            <w:shd w:fill="BE185D" w:val="clear"/>
            <w:tcMar>
              <w:top w:type="dxa" w:w="80"/>
              <w:left w:type="dxa" w:w="80"/>
              <w:bottom w:type="dxa" w:w="80"/>
              <w:right w:type="dxa" w:w="80"/>
            </w:tcMar>
          </w:tcPr>
          <w:p>
            <w:r>
              <w:rPr>
                <w:rFonts w:ascii="Arial" w:cs="Arial" w:eastAsia="Arial" w:hAnsi="Arial"/>
                <w:b/>
                <w:bCs/>
                <w:color w:val="FFFFFF"/>
                <w:sz w:val="14"/>
                <w:szCs w:val="14"/>
              </w:rPr>
              <w:t xml:space="preserve">Workflow Sequence</w:t>
            </w:r>
          </w:p>
        </w:tc>
        <w:tc>
          <w:tcPr>
            <w:tcW w:type="dxa" w:w="1560"/>
            <w:tcBorders>
              <w:top w:val="single" w:color="CCCCCC" w:sz="1"/>
              <w:left w:val="single" w:color="CCCCCC" w:sz="1"/>
              <w:bottom w:val="single" w:color="CCCCCC" w:sz="1"/>
              <w:right w:val="single" w:color="CCCCCC" w:sz="1"/>
            </w:tcBorders>
            <w:shd w:fill="BE185D" w:val="clear"/>
            <w:tcMar>
              <w:top w:type="dxa" w:w="80"/>
              <w:left w:type="dxa" w:w="80"/>
              <w:bottom w:type="dxa" w:w="80"/>
              <w:right w:type="dxa" w:w="80"/>
            </w:tcMar>
          </w:tcPr>
          <w:p>
            <w:r>
              <w:rPr>
                <w:rFonts w:ascii="Arial" w:cs="Arial" w:eastAsia="Arial" w:hAnsi="Arial"/>
                <w:b/>
                <w:bCs/>
                <w:color w:val="FFFFFF"/>
                <w:sz w:val="14"/>
                <w:szCs w:val="14"/>
              </w:rPr>
              <w:t xml:space="preserve">Success Metric</w:t>
            </w:r>
          </w:p>
        </w:tc>
        <w:tc>
          <w:tcPr>
            <w:tcW w:type="dxa" w:w="2040"/>
            <w:tcBorders>
              <w:top w:val="single" w:color="CCCCCC" w:sz="1"/>
              <w:left w:val="single" w:color="CCCCCC" w:sz="1"/>
              <w:bottom w:val="single" w:color="CCCCCC" w:sz="1"/>
              <w:right w:val="single" w:color="CCCCCC" w:sz="1"/>
            </w:tcBorders>
            <w:shd w:fill="BE185D" w:val="clear"/>
            <w:tcMar>
              <w:top w:type="dxa" w:w="80"/>
              <w:left w:type="dxa" w:w="80"/>
              <w:bottom w:type="dxa" w:w="80"/>
              <w:right w:type="dxa" w:w="80"/>
            </w:tcMar>
          </w:tcPr>
          <w:p>
            <w:r>
              <w:rPr>
                <w:rFonts w:ascii="Arial" w:cs="Arial" w:eastAsia="Arial" w:hAnsi="Arial"/>
                <w:b/>
                <w:bCs/>
                <w:color w:val="FFFFFF"/>
                <w:sz w:val="14"/>
                <w:szCs w:val="14"/>
              </w:rPr>
              <w:t xml:space="preserve">How It Learns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BE185D"/>
                <w:sz w:val="13"/>
                <w:szCs w:val="13"/>
              </w:rPr>
              <w:t xml:space="preserve">Onboarding Waterfall</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Stage milestone missed by more than 2× SLA</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Automated: milestone reminder + help content to customer. CSM: workflow review call triggered. Manager: escalation if still blocked at next stage checkpoint.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Days to next stage completion vs. benchmark</w:t>
            </w:r>
          </w:p>
        </w:tc>
        <w:tc>
          <w:tcPr>
            <w:tcBorders>
              <w:top w:val="single" w:color="CCCCCC" w:sz="1"/>
              <w:left w:val="single" w:color="CCCCCC" w:sz="1"/>
              <w:bottom w:val="single" w:color="CCCCCC" w:sz="1"/>
              <w:right w:val="single" w:color="CCCCCC" w:sz="1"/>
            </w:tcBorders>
            <w:shd w:fill="FDF2F8" w:val="clear"/>
            <w:tcMar>
              <w:top w:type="dxa" w:w="80"/>
              <w:left w:type="dxa" w:w="80"/>
              <w:bottom w:type="dxa" w:w="80"/>
              <w:right w:type="dxa" w:w="80"/>
            </w:tcMar>
          </w:tcPr>
          <w:p>
            <w:r>
              <w:rPr>
                <w:rFonts w:ascii="Arial" w:cs="Arial" w:eastAsia="Arial" w:hAnsi="Arial"/>
                <w:i/>
                <w:iCs/>
                <w:color w:val="BE185D"/>
                <w:sz w:val="12"/>
                <w:szCs w:val="12"/>
              </w:rPr>
              <w:t xml:space="preserve">Playbook updates when new fix reduces time-to-stage by &gt;20% vs. cohort average</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BE185D"/>
                <w:sz w:val="13"/>
                <w:szCs w:val="13"/>
              </w:rPr>
              <w:t xml:space="preserve">Save Play</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Churn Cascade Stage 2 confirmed by Churn Prediction Agent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Stage-specific play: Stage 2 = CSM discovery call. Stage 3 = champion escalation. Stage 4 = executive sponsor engagement. Stage 5 = custom ROI build + exec sponsor.</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Account recovery rate by stage (target: Stage 2 &gt;70%, Stage 3 &gt;50%, Stage 4 &gt;30%)</w:t>
            </w:r>
          </w:p>
        </w:tc>
        <w:tc>
          <w:tcPr>
            <w:tcBorders>
              <w:top w:val="single" w:color="CCCCCC" w:sz="1"/>
              <w:left w:val="single" w:color="CCCCCC" w:sz="1"/>
              <w:bottom w:val="single" w:color="CCCCCC" w:sz="1"/>
              <w:right w:val="single" w:color="CCCCCC" w:sz="1"/>
            </w:tcBorders>
            <w:shd w:fill="FDF2F8" w:val="clear"/>
            <w:tcMar>
              <w:top w:type="dxa" w:w="80"/>
              <w:left w:type="dxa" w:w="80"/>
              <w:bottom w:type="dxa" w:w="80"/>
              <w:right w:type="dxa" w:w="80"/>
            </w:tcMar>
          </w:tcPr>
          <w:p>
            <w:r>
              <w:rPr>
                <w:rFonts w:ascii="Arial" w:cs="Arial" w:eastAsia="Arial" w:hAnsi="Arial"/>
                <w:i/>
                <w:iCs/>
                <w:color w:val="BE185D"/>
                <w:sz w:val="12"/>
                <w:szCs w:val="12"/>
              </w:rPr>
              <w:t xml:space="preserve">Top-performing CSM save tactics automatically surfaced to team when pattern detected</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BE185D"/>
                <w:sz w:val="13"/>
                <w:szCs w:val="13"/>
              </w:rPr>
              <w:t xml:space="preserve">Champion Departure</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Champion Departure Monitor fires 48-Hour Protocol</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Hour 0: CSM alerted. Hour 2: relationship map updated. Hour 24: internal sponsor identified. Hour 48: outreach to new contact initiated. Week 2: executive sponsor engagement if needed.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Multi-thread established within 30 days of departure (measure: 2+ contacts engaged)</w:t>
            </w:r>
          </w:p>
        </w:tc>
        <w:tc>
          <w:tcPr>
            <w:tcBorders>
              <w:top w:val="single" w:color="CCCCCC" w:sz="1"/>
              <w:left w:val="single" w:color="CCCCCC" w:sz="1"/>
              <w:bottom w:val="single" w:color="CCCCCC" w:sz="1"/>
              <w:right w:val="single" w:color="CCCCCC" w:sz="1"/>
            </w:tcBorders>
            <w:shd w:fill="FDF2F8" w:val="clear"/>
            <w:tcMar>
              <w:top w:type="dxa" w:w="80"/>
              <w:left w:type="dxa" w:w="80"/>
              <w:bottom w:type="dxa" w:w="80"/>
              <w:right w:type="dxa" w:w="80"/>
            </w:tcMar>
          </w:tcPr>
          <w:p>
            <w:r>
              <w:rPr>
                <w:rFonts w:ascii="Arial" w:cs="Arial" w:eastAsia="Arial" w:hAnsi="Arial"/>
                <w:i/>
                <w:iCs/>
                <w:color w:val="BE185D"/>
                <w:sz w:val="12"/>
                <w:szCs w:val="12"/>
              </w:rPr>
              <w:t xml:space="preserve">New champion onboarding sequence updated based on successful re-engagement patterns</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BE185D"/>
                <w:sz w:val="13"/>
                <w:szCs w:val="13"/>
              </w:rPr>
              <w:t xml:space="preserve">Expansion Staircase</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CSQL Qualification Agent creates CSQL</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Step-specific actions: Step 1 = value gap identification. Step 2 = expansion use case demo. Step 3 = ROI build for expansion. Step 4 = commercial conversation. Step 5 = contract.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CSQL-to-expansion ARR conversion rate (target: &gt;35%)</w:t>
            </w:r>
          </w:p>
        </w:tc>
        <w:tc>
          <w:tcPr>
            <w:tcBorders>
              <w:top w:val="single" w:color="CCCCCC" w:sz="1"/>
              <w:left w:val="single" w:color="CCCCCC" w:sz="1"/>
              <w:bottom w:val="single" w:color="CCCCCC" w:sz="1"/>
              <w:right w:val="single" w:color="CCCCCC" w:sz="1"/>
            </w:tcBorders>
            <w:shd w:fill="FDF2F8" w:val="clear"/>
            <w:tcMar>
              <w:top w:type="dxa" w:w="80"/>
              <w:left w:type="dxa" w:w="80"/>
              <w:bottom w:type="dxa" w:w="80"/>
              <w:right w:type="dxa" w:w="80"/>
            </w:tcMar>
          </w:tcPr>
          <w:p>
            <w:r>
              <w:rPr>
                <w:rFonts w:ascii="Arial" w:cs="Arial" w:eastAsia="Arial" w:hAnsi="Arial"/>
                <w:i/>
                <w:iCs/>
                <w:color w:val="BE185D"/>
                <w:sz w:val="12"/>
                <w:szCs w:val="12"/>
              </w:rPr>
              <w:t xml:space="preserve">Expansion talk tracks updated quarterly based on highest-converting messaging</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BE185D"/>
                <w:sz w:val="13"/>
                <w:szCs w:val="13"/>
              </w:rPr>
              <w:t xml:space="preserve">Renewal Preparation</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T-90 trigger from Renewal Preparation Agent</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T-90: briefing delivered, VPC scheduled. T-60: VPC executed, expansion asked or tabled. T-45: commercial process initiated. T-30: contract review. T-14: final risk check. T-0: renewal.</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 of renewals with documented VPC at T-60 or earlier (target: &gt;80%)</w:t>
            </w:r>
          </w:p>
        </w:tc>
        <w:tc>
          <w:tcPr>
            <w:tcBorders>
              <w:top w:val="single" w:color="CCCCCC" w:sz="1"/>
              <w:left w:val="single" w:color="CCCCCC" w:sz="1"/>
              <w:bottom w:val="single" w:color="CCCCCC" w:sz="1"/>
              <w:right w:val="single" w:color="CCCCCC" w:sz="1"/>
            </w:tcBorders>
            <w:shd w:fill="FDF2F8" w:val="clear"/>
            <w:tcMar>
              <w:top w:type="dxa" w:w="80"/>
              <w:left w:type="dxa" w:w="80"/>
              <w:bottom w:type="dxa" w:w="80"/>
              <w:right w:type="dxa" w:w="80"/>
            </w:tcMar>
          </w:tcPr>
          <w:p>
            <w:r>
              <w:rPr>
                <w:rFonts w:ascii="Arial" w:cs="Arial" w:eastAsia="Arial" w:hAnsi="Arial"/>
                <w:i/>
                <w:iCs/>
                <w:color w:val="BE185D"/>
                <w:sz w:val="12"/>
                <w:szCs w:val="12"/>
              </w:rPr>
              <w:t xml:space="preserve">Renewal outcomes feed back to health score model — accounts with VPC at T-60 vs. T-30 renewal rate difference logged</w:t>
            </w:r>
          </w:p>
        </w:tc>
      </w:tr>
      <w:tr>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BE185D"/>
                <w:sz w:val="13"/>
                <w:szCs w:val="13"/>
              </w:rPr>
              <w:t xml:space="preserve">Competitive Response</w:t>
            </w:r>
          </w:p>
        </w:tc>
        <w:tc>
          <w:tcPr>
            <w:tcBorders>
              <w:top w:val="single" w:color="CCCCCC" w:sz="1"/>
              <w:left w:val="single" w:color="CCCCCC" w:sz="1"/>
              <w:bottom w:val="single" w:color="CCCCCC" w:sz="1"/>
              <w:right w:val="single" w:color="CCCCCC" w:sz="1"/>
            </w:tcBorders>
            <w:shd w:fill="FFF7ED" w:val="clear"/>
            <w:tcMar>
              <w:top w:type="dxa" w:w="80"/>
              <w:left w:type="dxa" w:w="80"/>
              <w:bottom w:type="dxa" w:w="80"/>
              <w:right w:type="dxa" w:w="80"/>
            </w:tcMar>
          </w:tcPr>
          <w:p>
            <w:r>
              <w:rPr>
                <w:rFonts w:ascii="Arial" w:cs="Arial" w:eastAsia="Arial" w:hAnsi="Arial"/>
                <w:i/>
                <w:iCs/>
                <w:color w:val="D97706"/>
                <w:sz w:val="12"/>
                <w:szCs w:val="12"/>
              </w:rPr>
              <w:t xml:space="preserve">Competitive Signal Agent detects evaluation</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Hour 0: CSM alert with competitive response playbook. Day 2: champion call to understand evaluation stage. Day 7: ROI comparison delivered. Day 14: executive sponsor engaged if needed.</w:t>
            </w:r>
          </w:p>
        </w:tc>
        <w:tc>
          <w:tcPr>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sz w:val="12"/>
                <w:szCs w:val="12"/>
              </w:rPr>
              <w:t xml:space="preserve">Evaluation win rate (target: &gt;60% when intervention at Stage 1 of evaluation)</w:t>
            </w:r>
          </w:p>
        </w:tc>
        <w:tc>
          <w:tcPr>
            <w:tcBorders>
              <w:top w:val="single" w:color="CCCCCC" w:sz="1"/>
              <w:left w:val="single" w:color="CCCCCC" w:sz="1"/>
              <w:bottom w:val="single" w:color="CCCCCC" w:sz="1"/>
              <w:right w:val="single" w:color="CCCCCC" w:sz="1"/>
            </w:tcBorders>
            <w:shd w:fill="FDF2F8" w:val="clear"/>
            <w:tcMar>
              <w:top w:type="dxa" w:w="80"/>
              <w:left w:type="dxa" w:w="80"/>
              <w:bottom w:type="dxa" w:w="80"/>
              <w:right w:type="dxa" w:w="80"/>
            </w:tcMar>
          </w:tcPr>
          <w:p>
            <w:r>
              <w:rPr>
                <w:rFonts w:ascii="Arial" w:cs="Arial" w:eastAsia="Arial" w:hAnsi="Arial"/>
                <w:i/>
                <w:iCs/>
                <w:color w:val="BE185D"/>
                <w:sz w:val="12"/>
                <w:szCs w:val="12"/>
              </w:rPr>
              <w:t xml:space="preserve">Win/loss data from competitive evaluations updates response playbook quarterly</w:t>
            </w:r>
          </w:p>
        </w:tc>
      </w:tr>
    </w:tbl>
    <w:p>
      <w:r>
        <w:t xml:space="preserve"/>
      </w:r>
    </w:p>
    <w:p>
      <w:pPr>
        <w:spacing w:before="80" w:after="80"/>
        <w:ind w:left="720"/>
      </w:pPr>
      <w:r>
        <w:rPr>
          <w:rFonts w:ascii="Georgia" w:cs="Georgia" w:eastAsia="Georgia" w:hAnsi="Georgia"/>
          <w:sz w:val="22"/>
          <w:szCs w:val="22"/>
        </w:rPr>
        <w:t xml:space="preserve">Two things I want to highlight specifically.</w:t>
      </w:r>
    </w:p>
    <w:p>
      <w:pPr>
        <w:spacing w:before="80" w:after="80"/>
        <w:ind w:left="720"/>
      </w:pPr>
      <w:r>
        <w:rPr>
          <w:rFonts w:ascii="Georgia" w:cs="Georgia" w:eastAsia="Georgia" w:hAnsi="Georgia"/>
          <w:sz w:val="22"/>
          <w:szCs w:val="22"/>
        </w:rPr>
        <w:t xml:space="preserve">First: the save play playbook has stage-specific actions. A Stage 2 save play and a Stage 5 save play are not the same conversation. Stage 2 is a discovery call — you're trying to understand the objection before it hardens. Stage 5 is a full executive escalation with a custom ROI build. Using the same playbook at both stages is a significant error, and it's how CSMs under-intervene early and over-invest late. The stage-specific design means the right play fires at the right stage.</w:t>
      </w:r>
    </w:p>
    <w:p>
      <w:pPr>
        <w:spacing w:before="80" w:after="80"/>
        <w:ind w:left="720"/>
      </w:pPr>
      <w:r>
        <w:rPr>
          <w:rFonts w:ascii="Georgia" w:cs="Georgia" w:eastAsia="Georgia" w:hAnsi="Georgia"/>
          <w:sz w:val="22"/>
          <w:szCs w:val="22"/>
        </w:rPr>
        <w:t xml:space="preserve">Second: the renewal preparation playbook has specific time gates — T-90, T-60, T-45, T-30, T-14. These are not calendar suggestions. They are workflow triggers. T-90 fires automatically. The VPC must be executed by T-60 or an escalation fires. The commercial process must be initiated by T-45 or a manager is notified. The system enforces the timeline — it doesn't rely on the CSM tracking 40 renewal dates simultaneously.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6 CORE PLAYBOOKS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Save play: stage-specific actions (Stage 2 ≠ Stage 5). Using same playbook at both stages = under-intervention early, over-investment late.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Renewal playbook: T-90/T-60/T-45 are workflow triggers, not calendar suggestions. System enforces timeline, not CSM tracking.</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BUILDING THE FEEDBACK LOOP</w:t>
      </w:r>
    </w:p>
    <w:p>
      <w:pPr>
        <w:spacing w:before="80" w:after="40"/>
      </w:pPr>
      <w:r>
        <w:rPr>
          <w:rFonts w:ascii="Courier New" w:cs="Courier New" w:eastAsia="Courier New" w:hAnsi="Courier New"/>
          <w:b/>
          <w:bCs/>
          <w:color w:val="F4A000"/>
          <w:sz w:val="20"/>
          <w:szCs w:val="20"/>
        </w:rPr>
        <w:t xml:space="preserve">[6:00–7:45]</w:t>
      </w:r>
    </w:p>
    <w:p>
      <w:r>
        <w:t xml:space="preserve"/>
      </w:r>
    </w:p>
    <w:p>
      <w:pPr>
        <w:spacing w:before="60" w:after="60"/>
        <w:ind w:left="360"/>
      </w:pPr>
      <w:r>
        <w:rPr>
          <w:rFonts w:ascii="Arial" w:cs="Arial" w:eastAsia="Arial" w:hAnsi="Arial"/>
          <w:i/>
          <w:iCs/>
          <w:color w:val="6B46C1"/>
          <w:sz w:val="18"/>
          <w:szCs w:val="18"/>
        </w:rPr>
        <w:t xml:space="preserve">[DIRECTION: This is the implementation section most teams skip. Be specific about what data needs to be captured and how it flows back into the playbook.]</w:t>
      </w:r>
    </w:p>
    <w:p>
      <w:r>
        <w:t xml:space="preserve"/>
      </w:r>
    </w:p>
    <w:p>
      <w:pPr>
        <w:spacing w:before="80" w:after="80"/>
        <w:ind w:left="720"/>
      </w:pPr>
      <w:r>
        <w:rPr>
          <w:rFonts w:ascii="Georgia" w:cs="Georgia" w:eastAsia="Georgia" w:hAnsi="Georgia"/>
          <w:sz w:val="22"/>
          <w:szCs w:val="22"/>
        </w:rPr>
        <w:t xml:space="preserve">Building the outcome feedback loop is the hardest part of a living playbook architecture — not technically, but organizationally. It requires CSMs to log outcomes consistently, which requires the logging to be designed into the workflow, not added as an afterthought.</w:t>
      </w:r>
    </w:p>
    <w:p>
      <w:pPr>
        <w:spacing w:before="80" w:after="80"/>
        <w:ind w:left="720"/>
      </w:pPr>
      <w:r>
        <w:rPr>
          <w:rFonts w:ascii="Georgia" w:cs="Georgia" w:eastAsia="Georgia" w:hAnsi="Georgia"/>
          <w:sz w:val="22"/>
          <w:szCs w:val="22"/>
        </w:rPr>
        <w:t xml:space="preserve">For every playbook that runs, the following should be logged: which play was executed, the outcome — recovered, still at risk, churned — the talk track used, the primary objection raised, the CSM who ran the play, and how long the play took from trigger to resolution. That data structure, logged consistently, is what makes the feedback loop functional.</w:t>
      </w:r>
    </w:p>
    <w:p>
      <w:pPr>
        <w:spacing w:before="80" w:after="80"/>
        <w:ind w:left="720"/>
      </w:pPr>
      <w:r>
        <w:rPr>
          <w:rFonts w:ascii="Georgia" w:cs="Georgia" w:eastAsia="Georgia" w:hAnsi="Georgia"/>
          <w:sz w:val="22"/>
          <w:szCs w:val="22"/>
        </w:rPr>
        <w:t xml:space="preserve">The practical implementation: at the close of every save play or expansion play, the CSM fills a three-question outcome form embedded in the CRM workflow. Outcome, primary objection, what worked. This takes two minutes. Over 50 save plays, the data starts showing patterns. Over 100, you have the foundation for a predictive model that tells the Churn Prediction Agent not just who is at risk, but which play has the highest probability of working for this specific account type.</w:t>
      </w:r>
    </w:p>
    <w:p>
      <w:pPr>
        <w:spacing w:before="80" w:after="80"/>
        <w:ind w:left="720"/>
      </w:pPr>
      <w:r>
        <w:rPr>
          <w:rFonts w:ascii="Georgia" w:cs="Georgia" w:eastAsia="Georgia" w:hAnsi="Georgia"/>
          <w:sz w:val="22"/>
          <w:szCs w:val="22"/>
        </w:rPr>
        <w:t xml:space="preserve">The feedback loop is also how top-performer behavior scales. When one CSM's talk track at Stage 3 produces an 80 percent recovery rate versus the team average of 50 percent, the system identifies the pattern, the content is extracted, and the next version of the Stage 3 talk track incorporates what's working. Without the feedback loop, that CSM's success stays in their head. With it, it propagates to everyone.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FEEDBACK LOOP DATA CAPTURE: outcome · talk track used · primary objection · CSM · time-to-resolution · what worked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Implementation: 3-question outcome form embedded in CRM workflow at play close. 2 minutes. Over 50 plays = patterns. Over 100 = predictive model foundation.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Top-performer propagation: 80% recovery rate on one CSM's talk track → system identifies pattern → next version of playbook incorporates it. Without feedback loop, this never scales.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BUILDING YOUR PLAYBOOK LIBRARY</w:t>
      </w:r>
    </w:p>
    <w:p>
      <w:pPr>
        <w:spacing w:before="80" w:after="40"/>
      </w:pPr>
      <w:r>
        <w:rPr>
          <w:rFonts w:ascii="Courier New" w:cs="Courier New" w:eastAsia="Courier New" w:hAnsi="Courier New"/>
          <w:b/>
          <w:bCs/>
          <w:color w:val="F4A000"/>
          <w:sz w:val="20"/>
          <w:szCs w:val="20"/>
        </w:rPr>
        <w:t xml:space="preserve">[7:45–9:15]</w:t>
      </w:r>
    </w:p>
    <w:p>
      <w:r>
        <w:t xml:space="preserve"/>
      </w:r>
    </w:p>
    <w:p>
      <w:pPr>
        <w:spacing w:before="60" w:after="60"/>
        <w:ind w:left="360"/>
      </w:pPr>
      <w:r>
        <w:rPr>
          <w:rFonts w:ascii="Arial" w:cs="Arial" w:eastAsia="Arial" w:hAnsi="Arial"/>
          <w:i/>
          <w:iCs/>
          <w:color w:val="6B46C1"/>
          <w:sz w:val="18"/>
          <w:szCs w:val="18"/>
        </w:rPr>
        <w:t xml:space="preserve">[DIRECTION: Sequence and scope. The audience should leave knowing exactly which playbook to build first and how to scope the effort.]</w:t>
      </w:r>
    </w:p>
    <w:p>
      <w:r>
        <w:t xml:space="preserve"/>
      </w:r>
    </w:p>
    <w:p>
      <w:pPr>
        <w:spacing w:before="80" w:after="80"/>
        <w:ind w:left="720"/>
      </w:pPr>
      <w:r>
        <w:rPr>
          <w:rFonts w:ascii="Georgia" w:cs="Georgia" w:eastAsia="Georgia" w:hAnsi="Georgia"/>
          <w:sz w:val="22"/>
          <w:szCs w:val="22"/>
        </w:rPr>
        <w:t xml:space="preserve">You don't build all six playbooks simultaneously. Build them in this order, for this reason.</w:t>
      </w:r>
    </w:p>
    <w:p>
      <w:pPr>
        <w:spacing w:before="80" w:after="80"/>
        <w:ind w:left="720"/>
      </w:pPr>
      <w:r>
        <w:rPr>
          <w:rFonts w:ascii="Georgia" w:cs="Georgia" w:eastAsia="Georgia" w:hAnsi="Georgia"/>
          <w:sz w:val="22"/>
          <w:szCs w:val="22"/>
        </w:rPr>
        <w:t xml:space="preserve">Save Play playbook first. It has the highest ROI and the clearest signal trigger. Every CS organization has churn risk right now that a signal-triggered save play would address. Build the Stage 2 and Stage 3 versions first — the stages where intervention is most effective and least expensive. Add Stage 4 and Stage 5 after the early-stage plays are operational.</w:t>
      </w:r>
    </w:p>
    <w:p>
      <w:pPr>
        <w:spacing w:before="80" w:after="80"/>
        <w:ind w:left="720"/>
      </w:pPr>
      <w:r>
        <w:rPr>
          <w:rFonts w:ascii="Georgia" w:cs="Georgia" w:eastAsia="Georgia" w:hAnsi="Georgia"/>
          <w:sz w:val="22"/>
          <w:szCs w:val="22"/>
        </w:rPr>
        <w:t xml:space="preserve">Renewal Preparation playbook second. The renewal is the highest-stakes scheduled event in CS operations. Having a signal-triggered, time-gated renewal playbook prevents the revenue leakage that comes from CSMs managing renewal dates manually across a large portfolio. T-90 trigger, T-60 VPC requirement, T-45 commercial initiation. Build the automation before the next renewal cycle hits.</w:t>
      </w:r>
    </w:p>
    <w:p>
      <w:pPr>
        <w:spacing w:before="80" w:after="80"/>
        <w:ind w:left="720"/>
      </w:pPr>
      <w:r>
        <w:rPr>
          <w:rFonts w:ascii="Georgia" w:cs="Georgia" w:eastAsia="Georgia" w:hAnsi="Georgia"/>
          <w:sz w:val="22"/>
          <w:szCs w:val="22"/>
        </w:rPr>
        <w:t xml:space="preserve">Champion Departure playbook third. This one has the tightest time window — 48 hours. Manual processes cannot reliably execute within that window across a portfolio of 40 or more accounts. The playbook needs to be automated before the next champion departure, not after.</w:t>
      </w:r>
    </w:p>
    <w:p>
      <w:pPr>
        <w:spacing w:before="80" w:after="80"/>
        <w:ind w:left="720"/>
      </w:pPr>
      <w:r>
        <w:rPr>
          <w:rFonts w:ascii="Georgia" w:cs="Georgia" w:eastAsia="Georgia" w:hAnsi="Georgia"/>
          <w:sz w:val="22"/>
          <w:szCs w:val="22"/>
        </w:rPr>
        <w:t xml:space="preserve">Onboarding Waterfall, Expansion Staircase, and Competitive Response in whatever order reflects your current priorities. For most organizations, Expansion Staircase generates the most revenue in the next 90 days. Onboarding fixes the foundation. Competitive Response protects against the most visible immediate threat.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BUILD ORDER: (1) Save Play (highest ROI, clearest trigger) · (2) Renewal Preparation (highest-stakes scheduled event) · (3) Champion Departure (tightest time window, can't do manually)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Then: Expansion Staircase, Onboarding Waterfall, Competitive Response — in order of your current priority.</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[9:15–10:30]</w:t>
      </w:r>
    </w:p>
    <w:p>
      <w:r>
        <w:t xml:space="preserve"/>
      </w:r>
    </w:p>
    <w:p>
      <w:pPr>
        <w:spacing w:before="60" w:after="60"/>
        <w:ind w:left="360"/>
      </w:pPr>
      <w:r>
        <w:rPr>
          <w:rFonts w:ascii="Arial" w:cs="Arial" w:eastAsia="Arial" w:hAnsi="Arial"/>
          <w:i/>
          <w:iCs/>
          <w:color w:val="6B46C1"/>
          <w:sz w:val="18"/>
          <w:szCs w:val="18"/>
        </w:rPr>
        <w:t xml:space="preserve">[DIRECTION: Concrete and specific. The three Monday actions should feel like they build toward having a first living playbook operational within two weeks.]</w:t>
      </w:r>
    </w:p>
    <w:p>
      <w:r>
        <w:t xml:space="preserve"/>
      </w:r>
    </w:p>
    <w:p>
      <w:pPr>
        <w:spacing w:before="80" w:after="80"/>
        <w:ind w:left="720"/>
      </w:pPr>
      <w:r>
        <w:rPr>
          <w:rFonts w:ascii="Georgia" w:cs="Georgia" w:eastAsia="Georgia" w:hAnsi="Georgia"/>
          <w:sz w:val="22"/>
          <w:szCs w:val="22"/>
        </w:rPr>
        <w:t xml:space="preserve">Do this Monday — three actions.</w:t>
      </w:r>
    </w:p>
    <w:p>
      <w:pPr>
        <w:spacing w:before="80" w:after="80"/>
        <w:ind w:left="720"/>
      </w:pPr>
      <w:r>
        <w:rPr>
          <w:rFonts w:ascii="Georgia" w:cs="Georgia" w:eastAsia="Georgia" w:hAnsi="Georgia"/>
          <w:sz w:val="22"/>
          <w:szCs w:val="22"/>
        </w:rPr>
        <w:t xml:space="preserve">One: audit your current playbooks. For each documented CS process you have, answer three questions: does it have a signal trigger (or does a CSM have to decide to run it)? Does it have a defined sequence with specific next steps? Does it have an outcome feedback mechanism? Most teams will find they have documentation that fails all three tests. That documentation is not a playbook. It's a reference guide. Know the difference.</w:t>
      </w:r>
    </w:p>
    <w:p>
      <w:pPr>
        <w:spacing w:before="80" w:after="80"/>
        <w:ind w:left="720"/>
      </w:pPr>
      <w:r>
        <w:rPr>
          <w:rFonts w:ascii="Georgia" w:cs="Georgia" w:eastAsia="Georgia" w:hAnsi="Georgia"/>
          <w:sz w:val="22"/>
          <w:szCs w:val="22"/>
        </w:rPr>
        <w:t xml:space="preserve">Two: design your Stage 2 save play as a living playbook. Write the signal trigger — the exact Churn Prediction Agent output that fires it. Write the sequence — call within 48 hours, talk track, objection categories, follow-up within 7 days. Write the outcome form — three questions the CSM answers at close. That document is the spec for your first living playbook. You can build it in your CRM this week.</w:t>
      </w:r>
    </w:p>
    <w:p>
      <w:pPr>
        <w:spacing w:before="80" w:after="80"/>
        <w:ind w:left="720"/>
      </w:pPr>
      <w:r>
        <w:rPr>
          <w:rFonts w:ascii="Georgia" w:cs="Georgia" w:eastAsia="Georgia" w:hAnsi="Georgia"/>
          <w:sz w:val="22"/>
          <w:szCs w:val="22"/>
        </w:rPr>
        <w:t xml:space="preserve">Three: identify the CSM on your team with the highest save play recovery rate in the last 12 months. Schedule 30 minutes with them. Ask what they do differently at Stage 2 and Stage 3. Their answer is the content upgrade for the playbook you're building. Don't wait for a training session to extract and distribute that knowledge.</w:t>
      </w:r>
    </w:p>
    <w:p>
      <w:pPr>
        <w:spacing w:before="80" w:after="80"/>
        <w:ind w:left="720"/>
      </w:pPr>
      <w:r>
        <w:rPr>
          <w:rFonts w:ascii="Georgia" w:cs="Georgia" w:eastAsia="Georgia" w:hAnsi="Georgia"/>
          <w:sz w:val="22"/>
          <w:szCs w:val="22"/>
        </w:rPr>
        <w:t xml:space="preserve">The CS Operations Playbook is the operational infrastructure that makes every other element of this program scalable. The health score predicts risk. The agents detect signals. The playbooks define what happens next — consistently, at scale, with every CSM executing at the level of your best performer, not your average one.</w:t>
      </w:r>
    </w:p>
    <w:p>
      <w:pPr>
        <w:spacing w:before="80" w:after="80"/>
        <w:ind w:left="720"/>
      </w:pPr>
      <w:r>
        <w:rPr>
          <w:rFonts w:ascii="Georgia" w:cs="Georgia" w:eastAsia="Georgia" w:hAnsi="Georgia"/>
          <w:sz w:val="22"/>
          <w:szCs w:val="22"/>
        </w:rPr>
        <w:t xml:space="preserve">Build the playbooks.</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 (1) Audit current playbooks against 3 criteria: signal trigger, defined sequence, outcome feedback · (2) Design Stage 2 save play as a living playbook with trigger, sequence, outcome form · (3) Interview highest-recovery-rate CSM — their answers are the content upgrade</w:t>
      </w:r>
    </w:p>
    <w:p>
      <w:r>
        <w:t xml:space="preserve"/>
      </w:r>
    </w:p>
    <w:p>
      <w:pPr>
        <w:spacing w:before="60" w:after="60"/>
        <w:ind w:left="360"/>
      </w:pPr>
      <w:r>
        <w:rPr>
          <w:rFonts w:ascii="Arial" w:cs="Arial" w:eastAsia="Arial" w:hAnsi="Arial"/>
          <w:i/>
          <w:iCs/>
          <w:color w:val="6B46C1"/>
          <w:sz w:val="18"/>
          <w:szCs w:val="18"/>
        </w:rPr>
        <w:t xml:space="preserve">[DIRECTION: Strong close. 3-second hold.]</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CS leader opening a dusty Notion playbook doc with outdated process. Then contrast: same situation with automated alert firing and play initiating.</w:t>
      </w:r>
    </w:p>
    <w:p>
      <w:pPr>
        <w:pStyle w:val="ListParagraph"/>
        <w:numPr>
          <w:ilvl w:val="0"/>
          <w:numId w:val="2"/>
        </w:numPr>
        <w:spacing w:before="40" w:after="40"/>
      </w:pPr>
      <w:r>
        <w:rPr>
          <w:rFonts w:ascii="Arial" w:cs="Arial" w:eastAsia="Arial" w:hAnsi="Arial"/>
          <w:sz w:val="18"/>
          <w:szCs w:val="18"/>
        </w:rPr>
        <w:t xml:space="preserve">Segment 2: Three-component architecture diagram building — signal trigger → workflow sequence → feedback loop</w:t>
      </w:r>
    </w:p>
    <w:p>
      <w:pPr>
        <w:pStyle w:val="ListParagraph"/>
        <w:numPr>
          <w:ilvl w:val="0"/>
          <w:numId w:val="2"/>
        </w:numPr>
        <w:spacing w:before="40" w:after="40"/>
      </w:pPr>
      <w:r>
        <w:rPr>
          <w:rFonts w:ascii="Arial" w:cs="Arial" w:eastAsia="Arial" w:hAnsi="Arial"/>
          <w:sz w:val="18"/>
          <w:szCs w:val="18"/>
        </w:rPr>
        <w:t xml:space="preserve">Segment 3: Full 6-playbook table on screen; save play stage-specific actions highlighted; renewal T-gates highlighted</w:t>
      </w:r>
    </w:p>
    <w:p>
      <w:pPr>
        <w:pStyle w:val="ListParagraph"/>
        <w:numPr>
          <w:ilvl w:val="0"/>
          <w:numId w:val="2"/>
        </w:numPr>
        <w:spacing w:before="40" w:after="40"/>
      </w:pPr>
      <w:r>
        <w:rPr>
          <w:rFonts w:ascii="Arial" w:cs="Arial" w:eastAsia="Arial" w:hAnsi="Arial"/>
          <w:sz w:val="18"/>
          <w:szCs w:val="18"/>
        </w:rPr>
        <w:t xml:space="preserve">Segment 4: Outcome form in CRM workflow; pattern detection visualization from 100 logged save plays</w:t>
      </w:r>
    </w:p>
    <w:p>
      <w:pPr>
        <w:pStyle w:val="ListParagraph"/>
        <w:numPr>
          <w:ilvl w:val="0"/>
          <w:numId w:val="2"/>
        </w:numPr>
        <w:spacing w:before="40" w:after="40"/>
      </w:pPr>
      <w:r>
        <w:rPr>
          <w:rFonts w:ascii="Arial" w:cs="Arial" w:eastAsia="Arial" w:hAnsi="Arial"/>
          <w:sz w:val="18"/>
          <w:szCs w:val="18"/>
        </w:rPr>
        <w:t xml:space="preserve">Segment 5: Playbook build priority order animation — Save Play first, building toward full library</w:t>
      </w:r>
    </w:p>
    <w:p>
      <w:pPr>
        <w:pStyle w:val="ListParagraph"/>
        <w:numPr>
          <w:ilvl w:val="0"/>
          <w:numId w:val="2"/>
        </w:numPr>
        <w:spacing w:before="40" w:after="40"/>
      </w:pPr>
      <w:r>
        <w:rPr>
          <w:rFonts w:ascii="Arial" w:cs="Arial" w:eastAsia="Arial" w:hAnsi="Arial"/>
          <w:sz w:val="18"/>
          <w:szCs w:val="18"/>
        </w:rPr>
        <w:t xml:space="preserve">Segment 6: Top-performer CSM talk track being extracted and propagated to team playbook</w:t>
      </w:r>
    </w:p>
    <w:p>
      <w:r>
        <w:t xml:space="preserve"/>
      </w:r>
    </w:p>
    <w:p>
      <w:r>
        <w:rPr>
          <w:rFonts w:ascii="Arial" w:cs="Arial" w:eastAsia="Arial" w:hAnsi="Arial"/>
          <w:b/>
          <w:bCs/>
          <w:sz w:val="18"/>
          <w:szCs w:val="18"/>
        </w:rPr>
        <w:t xml:space="preserve">Accent Color: </w:t>
      </w:r>
      <w:r>
        <w:rPr>
          <w:rFonts w:ascii="Arial" w:cs="Arial" w:eastAsia="Arial" w:hAnsi="Arial"/>
          <w:color w:val="BE185D"/>
          <w:sz w:val="18"/>
          <w:szCs w:val="18"/>
        </w:rPr>
        <w:t xml:space="preserve">Rose #BE185D</w:t>
      </w:r>
    </w:p>
    <w:p>
      <w:r>
        <w:rPr>
          <w:rFonts w:ascii="Arial" w:cs="Arial" w:eastAsia="Arial" w:hAnsi="Arial"/>
          <w:b/>
          <w:bCs/>
          <w:sz w:val="18"/>
          <w:szCs w:val="18"/>
        </w:rPr>
        <w:t xml:space="preserve">Word Count: </w:t>
      </w:r>
      <w:r>
        <w:rPr>
          <w:rFonts w:ascii="Arial" w:cs="Arial" w:eastAsia="Arial" w:hAnsi="Arial"/>
          <w:sz w:val="18"/>
          <w:szCs w:val="18"/>
        </w:rPr>
        <w:t xml:space="preserve">~1,545 words  |  Runtime: 9–11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2026-02-19T21:47:43.167Z</dcterms:created>
  <dcterms:modified xsi:type="dcterms:W3CDTF">2026-02-19T21:47:43.168Z</dcterms:modified>
</cp:coreProperties>
</file>

<file path=docProps/custom.xml><?xml version="1.0" encoding="utf-8"?>
<Properties xmlns="http://schemas.openxmlformats.org/officeDocument/2006/custom-properties" xmlns:vt="http://schemas.openxmlformats.org/officeDocument/2006/docPropsVTypes"/>
</file>