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B45309" w:val="clear"/>
        <w:spacing w:before="0" w:after="80"/>
        <w:jc w:val="center"/>
      </w:pPr>
      <w:r>
        <w:rPr>
          <w:rFonts w:ascii="Arial" w:cs="Arial" w:eastAsia="Arial" w:hAnsi="Arial"/>
          <w:b/>
          <w:bCs/>
          <w:caps/>
          <w:color w:val="FFFFFF"/>
          <w:sz w:val="32"/>
          <w:szCs w:val="32"/>
        </w:rPr>
        <w:t xml:space="preserve">MODULE 9.1 — VIDEO SCRIPT</w:t>
      </w:r>
    </w:p>
    <w:p>
      <w:pPr>
        <w:shd w:fill="0F1F4B" w:val="clear"/>
        <w:spacing w:before="0" w:after="200"/>
        <w:jc w:val="center"/>
      </w:pPr>
      <w:r>
        <w:rPr>
          <w:rFonts w:ascii="Georgia" w:cs="Georgia" w:eastAsia="Georgia" w:hAnsi="Georgia"/>
          <w:b/>
          <w:bCs/>
          <w:color w:val="FFFFFF"/>
          <w:sz w:val="28"/>
          <w:szCs w:val="28"/>
        </w:rPr>
        <w:t xml:space="preserve">CS in 2030 — 6 Predictions Worth Making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9.1 — CS in 2030: 6 Predictions Worth Making</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Phase / Week</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Phase 3 — The Proof · Week 9: The Future</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Presenter</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Shane James — CCO2go.ai</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Target Runtime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9–11 minutes</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Amber #B45309</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Book Ch.14 (pp.123–129) — all 6 falsifiable predictions</w:t>
            </w:r>
          </w:p>
        </w:tc>
      </w:tr>
      <w:tr>
        <w:tc>
          <w:tcPr>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 — February 2026</w:t>
            </w:r>
          </w:p>
        </w:tc>
      </w:tr>
    </w:tbl>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1 — COLD OPEN: FALSIFIABLE BY DESIGN</w:t>
      </w:r>
    </w:p>
    <w:p>
      <w:pPr>
        <w:spacing w:before="80" w:after="40"/>
      </w:pPr>
      <w:r>
        <w:rPr>
          <w:rFonts w:ascii="Courier New" w:cs="Courier New" w:eastAsia="Courier New" w:hAnsi="Courier New"/>
          <w:b/>
          <w:bCs/>
          <w:color w:val="F4A000"/>
          <w:sz w:val="20"/>
          <w:szCs w:val="20"/>
        </w:rPr>
        <w:t xml:space="preserve">[0:00–1:00]</w:t>
      </w:r>
    </w:p>
    <w:p>
      <w:r>
        <w:t xml:space="preserve"/>
      </w:r>
    </w:p>
    <w:p>
      <w:pPr>
        <w:spacing w:before="60" w:after="60"/>
        <w:ind w:left="360"/>
      </w:pPr>
      <w:r>
        <w:rPr>
          <w:rFonts w:ascii="Arial" w:cs="Arial" w:eastAsia="Arial" w:hAnsi="Arial"/>
          <w:i/>
          <w:iCs/>
          <w:color w:val="6B46C1"/>
          <w:sz w:val="18"/>
          <w:szCs w:val="18"/>
        </w:rPr>
        <w:t xml:space="preserve">[DIRECTION: Establish the falsifiable prediction framing before the first prediction lands. This separates these predictions from generic trend talk.]</w:t>
      </w:r>
    </w:p>
    <w:p>
      <w:r>
        <w:t xml:space="preserve"/>
      </w:r>
    </w:p>
    <w:p>
      <w:pPr>
        <w:spacing w:before="80" w:after="80"/>
        <w:ind w:left="720"/>
      </w:pPr>
      <w:r>
        <w:rPr>
          <w:rFonts w:ascii="Georgia" w:cs="Georgia" w:eastAsia="Georgia" w:hAnsi="Georgia"/>
          <w:sz w:val="22"/>
          <w:szCs w:val="22"/>
        </w:rPr>
        <w:t xml:space="preserve">I want to be clear about what this module is and what it isn't.</w:t>
      </w:r>
    </w:p>
    <w:p>
      <w:pPr>
        <w:spacing w:before="80" w:after="80"/>
        <w:ind w:left="720"/>
      </w:pPr>
      <w:r>
        <w:rPr>
          <w:rFonts w:ascii="Georgia" w:cs="Georgia" w:eastAsia="Georgia" w:hAnsi="Georgia"/>
          <w:sz w:val="22"/>
          <w:szCs w:val="22"/>
        </w:rPr>
        <w:t xml:space="preserve">Most industry predictions are structured to be unfalsifiable. 'AI will transform customer success.' 'The role of the CSM will evolve.' 'Data will be increasingly important.' These statements are designed to sound credible while being impossible to prove wrong. They protect the speaker from accountability. They don't help you make decisions.</w:t>
      </w:r>
    </w:p>
    <w:p>
      <w:pPr>
        <w:spacing w:before="80" w:after="80"/>
        <w:ind w:left="720"/>
      </w:pPr>
      <w:r>
        <w:rPr>
          <w:rFonts w:ascii="Georgia" w:cs="Georgia" w:eastAsia="Georgia" w:hAnsi="Georgia"/>
          <w:sz w:val="22"/>
          <w:szCs w:val="22"/>
        </w:rPr>
        <w:t xml:space="preserve">The six predictions in this module are different. Each one has a specific outcome, a specific time horizon, and a specific way to test whether it happened. If I'm wrong, the evidence will be clear. That's not false modesty — it's intellectual honesty about the difference between prediction and opinion.</w:t>
      </w:r>
    </w:p>
    <w:p>
      <w:pPr>
        <w:spacing w:before="80" w:after="80"/>
        <w:ind w:left="720"/>
      </w:pPr>
      <w:r>
        <w:rPr>
          <w:rFonts w:ascii="Georgia" w:cs="Georgia" w:eastAsia="Georgia" w:hAnsi="Georgia"/>
          <w:sz w:val="22"/>
          <w:szCs w:val="22"/>
        </w:rPr>
        <w:t xml:space="preserve">The reason this matters for you: these predictions are not passive observations about what might happen in the industry. They are active arguments about where the leverage points are right now. If these predictions are even directionally correct, the CS leaders who build toward them in the next 18 to 24 months will be significantly better positioned than those who don't.</w:t>
      </w:r>
    </w:p>
    <w:p>
      <w:pPr>
        <w:spacing w:before="80" w:after="80"/>
        <w:ind w:left="720"/>
      </w:pPr>
      <w:r>
        <w:rPr>
          <w:rFonts w:ascii="Georgia" w:cs="Georgia" w:eastAsia="Georgia" w:hAnsi="Georgia"/>
          <w:sz w:val="22"/>
          <w:szCs w:val="22"/>
        </w:rPr>
        <w:t xml:space="preserve">Six predictions. Each falsifiable. Each with an argument and an implication for what you do between now and 2028.</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MODULE 9.1 — CS in 2030: 6 Predictions Worth Making</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Falsifiable predictions: specific outcome, specific time horizon, specific test. Not 'AI will transform CS.' That's not a prediction — it's a hedge.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These are not passive industry observations. They are leverage point arguments. Being directionally correct on any of these changes what to build in the next 18–24 months.</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2 — PREDICTIONS 1 AND 2</w:t>
      </w:r>
    </w:p>
    <w:p>
      <w:pPr>
        <w:spacing w:before="80" w:after="40"/>
      </w:pPr>
      <w:r>
        <w:rPr>
          <w:rFonts w:ascii="Courier New" w:cs="Courier New" w:eastAsia="Courier New" w:hAnsi="Courier New"/>
          <w:b/>
          <w:bCs/>
          <w:color w:val="F4A000"/>
          <w:sz w:val="20"/>
          <w:szCs w:val="20"/>
        </w:rPr>
        <w:t xml:space="preserve">[1:00–3:00]</w:t>
      </w:r>
    </w:p>
    <w:p>
      <w:r>
        <w:t xml:space="preserve"/>
      </w:r>
    </w:p>
    <w:p>
      <w:pPr>
        <w:spacing w:before="60" w:after="60"/>
        <w:ind w:left="360"/>
      </w:pPr>
      <w:r>
        <w:rPr>
          <w:rFonts w:ascii="Arial" w:cs="Arial" w:eastAsia="Arial" w:hAnsi="Arial"/>
          <w:i/>
          <w:iCs/>
          <w:color w:val="6B46C1"/>
          <w:sz w:val="18"/>
          <w:szCs w:val="18"/>
        </w:rPr>
        <w:t xml:space="preserve">[DIRECTION: Walk each prediction as a structured argument. Prediction → by when → the case → what it means now. Don't rush the arguments — each one should feel like a position the audience can take or challenge.]</w:t>
      </w:r>
    </w:p>
    <w:p>
      <w:r>
        <w:t xml:space="preserve"/>
      </w:r>
    </w:p>
    <w:p>
      <w:pPr>
        <w:spacing w:before="80" w:after="80"/>
        <w:ind w:left="720"/>
      </w:pPr>
      <w:r>
        <w:rPr>
          <w:rFonts w:ascii="Georgia" w:cs="Georgia" w:eastAsia="Georgia" w:hAnsi="Georgia"/>
          <w:sz w:val="22"/>
          <w:szCs w:val="22"/>
        </w:rPr>
        <w:t xml:space="preserve">Prediction one: AI-native CS platforms displace today's incumbents within five years. By 2030.</w:t>
      </w:r>
    </w:p>
    <w:p>
      <w:pPr>
        <w:spacing w:before="80" w:after="80"/>
        <w:ind w:left="720"/>
      </w:pPr>
      <w:r>
        <w:rPr>
          <w:rFonts w:ascii="Georgia" w:cs="Georgia" w:eastAsia="Georgia" w:hAnsi="Georgia"/>
          <w:sz w:val="22"/>
          <w:szCs w:val="22"/>
        </w:rPr>
        <w:t xml:space="preserve">The argument: platforms built on AI-native architectures — where agents and automation are the core, not additions — will outperform legacy platforms that bolted AI features onto existing infrastructure. This is not a feature gap. It is an architectural gap that compounds over time. The incumbents built for a world where CSMs log in, check dashboards, and decide what to do. The challengers are building for a world where agents monitor continuously, act autonomously on routine signals, and deliver human CSMs only the situations that require judgment.</w:t>
      </w:r>
    </w:p>
    <w:p>
      <w:pPr>
        <w:spacing w:before="80" w:after="80"/>
        <w:ind w:left="720"/>
      </w:pPr>
      <w:r>
        <w:rPr>
          <w:rFonts w:ascii="Georgia" w:cs="Georgia" w:eastAsia="Georgia" w:hAnsi="Georgia"/>
          <w:sz w:val="22"/>
          <w:szCs w:val="22"/>
        </w:rPr>
        <w:t xml:space="preserve">By 2027 or 2028, the evaluation criteria CS leaders use to select platforms will have shifted from 'does it have these features' to 'is AI core to the architecture or added to it.' That shift separates the platforms that will lead from the ones that will be acquired or repositioned.</w:t>
      </w:r>
    </w:p>
    <w:p>
      <w:pPr>
        <w:spacing w:before="80" w:after="80"/>
        <w:ind w:left="720"/>
      </w:pPr>
      <w:r>
        <w:rPr>
          <w:rFonts w:ascii="Georgia" w:cs="Georgia" w:eastAsia="Georgia" w:hAnsi="Georgia"/>
          <w:sz w:val="22"/>
          <w:szCs w:val="22"/>
        </w:rPr>
        <w:t xml:space="preserve">What it means now: if you're evaluating CS platforms today, the build-vs.-bolt question is the most important one you can ask a vendor. The answer tells you more about that platform's 2028 trajectory than any feature comparison.</w:t>
      </w:r>
    </w:p>
    <w:p>
      <w:r>
        <w:t xml:space="preserve"/>
      </w:r>
    </w:p>
    <w:p>
      <w:pPr>
        <w:spacing w:before="80" w:after="80"/>
        <w:ind w:left="720"/>
      </w:pPr>
      <w:r>
        <w:rPr>
          <w:rFonts w:ascii="Georgia" w:cs="Georgia" w:eastAsia="Georgia" w:hAnsi="Georgia"/>
          <w:sz w:val="22"/>
          <w:szCs w:val="22"/>
        </w:rPr>
        <w:t xml:space="preserve">Prediction two: CRO roles will increasingly come from post-sales and CS backgrounds by 2028.</w:t>
      </w:r>
    </w:p>
    <w:p>
      <w:pPr>
        <w:spacing w:before="80" w:after="80"/>
        <w:ind w:left="720"/>
      </w:pPr>
      <w:r>
        <w:rPr>
          <w:rFonts w:ascii="Georgia" w:cs="Georgia" w:eastAsia="Georgia" w:hAnsi="Georgia"/>
          <w:sz w:val="22"/>
          <w:szCs w:val="22"/>
        </w:rPr>
        <w:t xml:space="preserve">The argument: the CRO role is evolving from a pure new-logo mandate to a full revenue lifecycle responsibility. As NRR becomes the primary revenue metric, the executive who owns NRR needs post-sales expertise, not just pipeline expertise. CS leaders who can speak CFO language — who have built the investment case, demonstrated ROI, connected CS operations to revenue outcomes — are the natural candidates for the expanded CRO role.</w:t>
      </w:r>
    </w:p>
    <w:p>
      <w:pPr>
        <w:spacing w:before="80" w:after="80"/>
        <w:ind w:left="720"/>
      </w:pPr>
      <w:r>
        <w:rPr>
          <w:rFonts w:ascii="Georgia" w:cs="Georgia" w:eastAsia="Georgia" w:hAnsi="Georgia"/>
          <w:sz w:val="22"/>
          <w:szCs w:val="22"/>
        </w:rPr>
        <w:t xml:space="preserve">The preparation for this transition is the Module 7.3 work. CS leaders who build financial fluency and can operate as revenue function leaders will be positioned for this shift. CS leaders who remain operationally excellent but financially opaque will be considered for the CS leadership role, not the CRO role.</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PREDICTION 1: AI-native platforms displace incumbents by 2030. Build vs. bolt is architectural, not feature-level. Compounds over time.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PREDICTION 2: CRO roles from CS backgrounds by 2028. NRR ownership requires post-sales expertise. Module 7.3 financial fluency is the preparation.</w:t>
      </w:r>
    </w:p>
    <w:p>
      <w:r>
        <w:t xml:space="preserve"/>
      </w:r>
    </w:p>
    <w:p>
      <w:pPr>
        <w:pBdr>
          <w:bottom w:val="single" w:color="00A896" w:sz="3" w:space="1"/>
        </w:pBdr>
        <w:spacing w:before="120" w:after="120"/>
      </w:pPr>
      <w:r>
        <w:t xml:space="preserve"/>
      </w:r>
    </w:p>
    <w:p>
      <w:r>
        <w:t xml:space="preserve"/>
      </w:r>
    </w:p>
    <w:p>
      <w:r>
        <w:br w:type="page"/>
      </w:r>
    </w:p>
    <w:p>
      <w:pPr>
        <w:shd w:fill="0F1F4B" w:val="clear"/>
        <w:spacing w:before="280" w:after="120"/>
      </w:pPr>
      <w:r>
        <w:rPr>
          <w:rFonts w:ascii="Arial" w:cs="Arial" w:eastAsia="Arial" w:hAnsi="Arial"/>
          <w:b/>
          <w:bCs/>
          <w:caps/>
          <w:color w:val="FFFFFF"/>
          <w:sz w:val="22"/>
          <w:szCs w:val="22"/>
        </w:rPr>
        <w:t xml:space="preserve">SEGMENT 3 — PREDICTIONS 3 AND 4</w:t>
      </w:r>
    </w:p>
    <w:p>
      <w:pPr>
        <w:spacing w:before="80" w:after="40"/>
      </w:pPr>
      <w:r>
        <w:rPr>
          <w:rFonts w:ascii="Courier New" w:cs="Courier New" w:eastAsia="Courier New" w:hAnsi="Courier New"/>
          <w:b/>
          <w:bCs/>
          <w:color w:val="F4A000"/>
          <w:sz w:val="20"/>
          <w:szCs w:val="20"/>
        </w:rPr>
        <w:t xml:space="preserve">[3:00–5:30]</w:t>
      </w:r>
    </w:p>
    <w:p>
      <w:r>
        <w:t xml:space="preserve"/>
      </w:r>
    </w:p>
    <w:p>
      <w:pPr>
        <w:spacing w:before="60" w:after="60"/>
        <w:ind w:left="360"/>
      </w:pPr>
      <w:r>
        <w:rPr>
          <w:rFonts w:ascii="Arial" w:cs="Arial" w:eastAsia="Arial" w:hAnsi="Arial"/>
          <w:i/>
          <w:iCs/>
          <w:color w:val="6B46C1"/>
          <w:sz w:val="18"/>
          <w:szCs w:val="18"/>
        </w:rPr>
        <w:t xml:space="preserve">[DIRECTION: Predictions 3 and 4 are the highest-stakes predictions for the audience's career positioning. Slow down on the implications sections.]</w:t>
      </w:r>
    </w:p>
    <w:p>
      <w:r>
        <w:t xml:space="preserve"/>
      </w:r>
    </w:p>
    <w:p>
      <w:pPr>
        <w:spacing w:before="80" w:after="80"/>
        <w:ind w:left="720"/>
      </w:pPr>
      <w:r>
        <w:rPr>
          <w:rFonts w:ascii="Georgia" w:cs="Georgia" w:eastAsia="Georgia" w:hAnsi="Georgia"/>
          <w:sz w:val="22"/>
          <w:szCs w:val="22"/>
        </w:rPr>
        <w:t xml:space="preserve">Prediction three: NRR will be the primary metric tied to CEO and CFO compensation by 2029.</w:t>
      </w:r>
    </w:p>
    <w:p>
      <w:pPr>
        <w:spacing w:before="80" w:after="80"/>
        <w:ind w:left="720"/>
      </w:pPr>
      <w:r>
        <w:rPr>
          <w:rFonts w:ascii="Georgia" w:cs="Georgia" w:eastAsia="Georgia" w:hAnsi="Georgia"/>
          <w:sz w:val="22"/>
          <w:szCs w:val="22"/>
        </w:rPr>
        <w:t xml:space="preserve">The argument: as the NRR compounding impact on enterprise value becomes standard board-level literacy — as the table from Module 7.2 becomes a fixture in investor presentations — NRR will join ARR growth as a core executive compensation metric. Not just for CS leadership. For the CEO and CFO who own overall business trajectory. This creates organizational accountability for NRR at the top of the house, not just inside CS.</w:t>
      </w:r>
    </w:p>
    <w:p>
      <w:pPr>
        <w:spacing w:before="80" w:after="80"/>
        <w:ind w:left="720"/>
      </w:pPr>
      <w:r>
        <w:rPr>
          <w:rFonts w:ascii="Georgia" w:cs="Georgia" w:eastAsia="Georgia" w:hAnsi="Georgia"/>
          <w:sz w:val="22"/>
          <w:szCs w:val="22"/>
        </w:rPr>
        <w:t xml:space="preserve">The implication: the boards who will tie CEO compensation to NRR in 2029 are the boards learning to read CS investment cases today. Building board-level NRR literacy — the Module 7.2 work — is not just operational reporting. It is positioning for the accountability structure that will exist in three years.</w:t>
      </w:r>
    </w:p>
    <w:p>
      <w:r>
        <w:t xml:space="preserve"/>
      </w:r>
    </w:p>
    <w:p>
      <w:pPr>
        <w:spacing w:before="80" w:after="80"/>
        <w:ind w:left="720"/>
      </w:pPr>
      <w:r>
        <w:rPr>
          <w:rFonts w:ascii="Georgia" w:cs="Georgia" w:eastAsia="Georgia" w:hAnsi="Georgia"/>
          <w:sz w:val="22"/>
          <w:szCs w:val="22"/>
        </w:rPr>
        <w:t xml:space="preserve">Prediction four: the CSM title will be replaced by Outcome Architect or Customer Growth Engineer at leading companies by 2028.</w:t>
      </w:r>
    </w:p>
    <w:p>
      <w:pPr>
        <w:spacing w:before="80" w:after="80"/>
        <w:ind w:left="720"/>
      </w:pPr>
      <w:r>
        <w:rPr>
          <w:rFonts w:ascii="Georgia" w:cs="Georgia" w:eastAsia="Georgia" w:hAnsi="Georgia"/>
          <w:sz w:val="22"/>
          <w:szCs w:val="22"/>
        </w:rPr>
        <w:t xml:space="preserve">The argument: the title reflects the mandate. Customer Success Manager describes a service orientation — managing success, responding to needs. Outcome Architect describes a value creation orientation — designing and building the outcomes customers hired you to achieve. The title shift is not cosmetic. Leading organizations will redesign roles, compensation structures, and performance measurement around outcome delivery rather than relationship management. The companies that make this transition will attract different talent, measure different outcomes, and build genuinely different competitive advantages.</w:t>
      </w:r>
    </w:p>
    <w:p>
      <w:pPr>
        <w:spacing w:before="80" w:after="80"/>
        <w:ind w:left="720"/>
      </w:pPr>
      <w:r>
        <w:rPr>
          <w:rFonts w:ascii="Georgia" w:cs="Georgia" w:eastAsia="Georgia" w:hAnsi="Georgia"/>
          <w:sz w:val="22"/>
          <w:szCs w:val="22"/>
        </w:rPr>
        <w:t xml:space="preserve">The implication: the Outcome Architect operating model from Module 6.2 is not a future role description. It is the job description being written at leading organizations right now. CS leaders who have built this internally are ahead of the transition, not preparing for it.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PREDICTION 3: NRR tied to CEO/CFO compensation by 2029. The boards learning to read CS investment cases today are the ones making this change.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PREDICTION 4: 'CSM' replaced by 'Outcome Architect' at leading companies by 2028. Title reflects mandate. Service vs. value creation. Module 6.2 is the job description.</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4 — PREDICTIONS 5 AND 6</w:t>
      </w:r>
    </w:p>
    <w:p>
      <w:pPr>
        <w:spacing w:before="80" w:after="40"/>
      </w:pPr>
      <w:r>
        <w:rPr>
          <w:rFonts w:ascii="Courier New" w:cs="Courier New" w:eastAsia="Courier New" w:hAnsi="Courier New"/>
          <w:b/>
          <w:bCs/>
          <w:color w:val="F4A000"/>
          <w:sz w:val="20"/>
          <w:szCs w:val="20"/>
        </w:rPr>
        <w:t xml:space="preserve">[5:30–7:30]</w:t>
      </w:r>
    </w:p>
    <w:p>
      <w:r>
        <w:t xml:space="preserve"/>
      </w:r>
    </w:p>
    <w:p>
      <w:pPr>
        <w:spacing w:before="60" w:after="60"/>
        <w:ind w:left="360"/>
      </w:pPr>
      <w:r>
        <w:rPr>
          <w:rFonts w:ascii="Arial" w:cs="Arial" w:eastAsia="Arial" w:hAnsi="Arial"/>
          <w:i/>
          <w:iCs/>
          <w:color w:val="6B46C1"/>
          <w:sz w:val="18"/>
          <w:szCs w:val="18"/>
        </w:rPr>
        <w:t xml:space="preserve">[DIRECTION: Predictions 5 and 6 are the most structural. Prediction 5 is the Human Premium argument as a prediction. Prediction 6 is the PLG convergence argument. Both have direct implications for what the audience builds today.]</w:t>
      </w:r>
    </w:p>
    <w:p>
      <w:r>
        <w:t xml:space="preserve"/>
      </w:r>
    </w:p>
    <w:p>
      <w:pPr>
        <w:spacing w:before="80" w:after="80"/>
        <w:ind w:left="720"/>
      </w:pPr>
      <w:r>
        <w:rPr>
          <w:rFonts w:ascii="Georgia" w:cs="Georgia" w:eastAsia="Georgia" w:hAnsi="Georgia"/>
          <w:sz w:val="22"/>
          <w:szCs w:val="22"/>
        </w:rPr>
        <w:t xml:space="preserve">Prediction five: agentic AI handles 80 percent of routine customer journey interactions autonomously by 2030.</w:t>
      </w:r>
    </w:p>
    <w:p>
      <w:pPr>
        <w:spacing w:before="80" w:after="80"/>
        <w:ind w:left="720"/>
      </w:pPr>
      <w:r>
        <w:rPr>
          <w:rFonts w:ascii="Georgia" w:cs="Georgia" w:eastAsia="Georgia" w:hAnsi="Georgia"/>
          <w:sz w:val="22"/>
          <w:szCs w:val="22"/>
        </w:rPr>
        <w:t xml:space="preserve">The argument: the agent architecture from Module 8.2 is not the final state — it is the early state. By 2030, the routine interactions that still require human CSM involvement today — onboarding milestone reminders, health score alert response, standard save play initiation, CSQL creation — will be fully autonomous. The human CS role concentrates in the genuinely complex: executive relationships, multi-stakeholder expansion conversations, situations requiring judgment that pattern-matching cannot replicate.</w:t>
      </w:r>
    </w:p>
    <w:p>
      <w:pPr>
        <w:spacing w:before="80" w:after="80"/>
        <w:ind w:left="720"/>
      </w:pPr>
      <w:r>
        <w:rPr>
          <w:rFonts w:ascii="Georgia" w:cs="Georgia" w:eastAsia="Georgia" w:hAnsi="Georgia"/>
          <w:sz w:val="22"/>
          <w:szCs w:val="22"/>
        </w:rPr>
        <w:t xml:space="preserve">This is the Human Premium argument from Module 6.3 rendered as a prediction. The 20 percent of interactions that remain human in 2030 will require more skill, more executive presence, and more financial fluency than today's average CSM role demands. CSMs who develop those capabilities now will have roles that exist and expand in 2030. Those who don't will find 80 percent of their current work has been automated and have no preparation for what remains.</w:t>
      </w:r>
    </w:p>
    <w:p>
      <w:r>
        <w:t xml:space="preserve"/>
      </w:r>
    </w:p>
    <w:p>
      <w:pPr>
        <w:spacing w:before="80" w:after="80"/>
        <w:ind w:left="720"/>
      </w:pPr>
      <w:r>
        <w:rPr>
          <w:rFonts w:ascii="Georgia" w:cs="Georgia" w:eastAsia="Georgia" w:hAnsi="Georgia"/>
          <w:sz w:val="22"/>
          <w:szCs w:val="22"/>
        </w:rPr>
        <w:t xml:space="preserve">Prediction six: the distinction between CS and Product-Led Growth disappears entirely by 2030.</w:t>
      </w:r>
    </w:p>
    <w:p>
      <w:pPr>
        <w:spacing w:before="80" w:after="80"/>
        <w:ind w:left="720"/>
      </w:pPr>
      <w:r>
        <w:rPr>
          <w:rFonts w:ascii="Georgia" w:cs="Georgia" w:eastAsia="Georgia" w:hAnsi="Georgia"/>
          <w:sz w:val="22"/>
          <w:szCs w:val="22"/>
        </w:rPr>
        <w:t xml:space="preserve">The argument: PLG and CS are solving the same problem from different directions. PLG optimizes the product to drive adoption without human intervention. CS builds the human and data infrastructure to ensure customers achieve outcomes and expand. By 2030, the leading companies will have a unified motion: product instrumented to drive the first three stages of the Onboarding Waterfall automatically, agents handling routine monitoring and intervention, and human CS focused on Stage 5 and 6 — business outcome documentation and expansion qualification.</w:t>
      </w:r>
    </w:p>
    <w:p>
      <w:pPr>
        <w:spacing w:before="80" w:after="80"/>
        <w:ind w:left="720"/>
      </w:pPr>
      <w:r>
        <w:rPr>
          <w:rFonts w:ascii="Georgia" w:cs="Georgia" w:eastAsia="Georgia" w:hAnsi="Georgia"/>
          <w:sz w:val="22"/>
          <w:szCs w:val="22"/>
        </w:rPr>
        <w:t xml:space="preserve">The CS leaders building this unified motion now — through the digital-first engagement model, the agent architecture, and the Expansion Staircase — are not building a CS operation. They are building what will be called something else in 2030, because the category will have evolved past the name.</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PREDICTION 5: Agentic AI handles 80% of routine interactions by 2030. Human CS concentrates in the genuinely complex. Human Premium argument as prediction. Build those capabilities now.</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PREDICTION 6: CS and PLG distinction disappears by 2030. Unified motion: product-led early stages, agent-handled monitoring, human CS for outcome documentation and expansion. You're building it now.</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5 — THE CONTRARIAN CASE</w:t>
      </w:r>
    </w:p>
    <w:p>
      <w:pPr>
        <w:spacing w:before="80" w:after="40"/>
      </w:pPr>
      <w:r>
        <w:rPr>
          <w:rFonts w:ascii="Courier New" w:cs="Courier New" w:eastAsia="Courier New" w:hAnsi="Courier New"/>
          <w:b/>
          <w:bCs/>
          <w:color w:val="F4A000"/>
          <w:sz w:val="20"/>
          <w:szCs w:val="20"/>
        </w:rPr>
        <w:t xml:space="preserve">[7:30–9:15]</w:t>
      </w:r>
    </w:p>
    <w:p>
      <w:r>
        <w:t xml:space="preserve"/>
      </w:r>
    </w:p>
    <w:p>
      <w:pPr>
        <w:spacing w:before="60" w:after="60"/>
        <w:ind w:left="360"/>
      </w:pPr>
      <w:r>
        <w:rPr>
          <w:rFonts w:ascii="Arial" w:cs="Arial" w:eastAsia="Arial" w:hAnsi="Arial"/>
          <w:i/>
          <w:iCs/>
          <w:color w:val="6B46C1"/>
          <w:sz w:val="18"/>
          <w:szCs w:val="18"/>
        </w:rPr>
        <w:t xml:space="preserve">[DIRECTION: Intellectual honesty requires engaging the ways these predictions could be wrong. This section strengthens the argument by acknowledging its limits.]</w:t>
      </w:r>
    </w:p>
    <w:p>
      <w:r>
        <w:t xml:space="preserve"/>
      </w:r>
    </w:p>
    <w:p>
      <w:pPr>
        <w:spacing w:before="80" w:after="80"/>
        <w:ind w:left="720"/>
      </w:pPr>
      <w:r>
        <w:rPr>
          <w:rFonts w:ascii="Georgia" w:cs="Georgia" w:eastAsia="Georgia" w:hAnsi="Georgia"/>
          <w:sz w:val="22"/>
          <w:szCs w:val="22"/>
        </w:rPr>
        <w:t xml:space="preserve">Every prediction worth making should be able to name the conditions under which it's wrong. Here are the four strongest arguments against this list.</w:t>
      </w:r>
    </w:p>
    <w:p>
      <w:pPr>
        <w:spacing w:before="80" w:after="80"/>
        <w:ind w:left="720"/>
      </w:pPr>
      <w:r>
        <w:rPr>
          <w:rFonts w:ascii="Georgia" w:cs="Georgia" w:eastAsia="Georgia" w:hAnsi="Georgia"/>
          <w:sz w:val="22"/>
          <w:szCs w:val="22"/>
        </w:rPr>
        <w:t xml:space="preserve">Against Prediction 1 — incumbent resilience: large CS platform incumbents have substantial distribution advantages, enterprise contracts, and the capital to acquire AI-native challengers before they reach scale. The prediction could be wrong if the pace of AI-native architecture advantage is slower than expected, giving incumbents time to rebuild from within or acquire their way to competitiveness.</w:t>
      </w:r>
    </w:p>
    <w:p>
      <w:pPr>
        <w:spacing w:before="80" w:after="80"/>
        <w:ind w:left="720"/>
      </w:pPr>
      <w:r>
        <w:rPr>
          <w:rFonts w:ascii="Georgia" w:cs="Georgia" w:eastAsia="Georgia" w:hAnsi="Georgia"/>
          <w:sz w:val="22"/>
          <w:szCs w:val="22"/>
        </w:rPr>
        <w:t xml:space="preserve">Against Predictions 2 and 3 — organizational inertia: the shift from sales-first CRO mandates to lifecycle CROs requires boards and CEOs to fundamentally reframe revenue leadership. Organizational inertia in executive hiring and compensation structure could delay these transitions significantly past the 2028 and 2029 timelines.</w:t>
      </w:r>
    </w:p>
    <w:p>
      <w:pPr>
        <w:spacing w:before="80" w:after="80"/>
        <w:ind w:left="720"/>
      </w:pPr>
      <w:r>
        <w:rPr>
          <w:rFonts w:ascii="Georgia" w:cs="Georgia" w:eastAsia="Georgia" w:hAnsi="Georgia"/>
          <w:sz w:val="22"/>
          <w:szCs w:val="22"/>
        </w:rPr>
        <w:t xml:space="preserve">Against Prediction 5 — trust and preference ceiling: the prediction assumes customers will accept agentic AI handling 80 percent of routine interactions. If a significant segment of enterprise customers demands human interaction as a condition of renewal — if the Human Premium argument generates pushback rather than acceptance — the autonomous threshold will be lower.</w:t>
      </w:r>
    </w:p>
    <w:p>
      <w:pPr>
        <w:spacing w:before="80" w:after="80"/>
        <w:ind w:left="720"/>
      </w:pPr>
      <w:r>
        <w:rPr>
          <w:rFonts w:ascii="Georgia" w:cs="Georgia" w:eastAsia="Georgia" w:hAnsi="Georgia"/>
          <w:sz w:val="22"/>
          <w:szCs w:val="22"/>
        </w:rPr>
        <w:t xml:space="preserve">Against Prediction 6 — PLG and CS remain separate organizations even as they converge functionally. The organizational politics of merging CS and PLG teams may keep them structurally separate even as their operating models become identical.</w:t>
      </w:r>
    </w:p>
    <w:p>
      <w:pPr>
        <w:spacing w:before="80" w:after="80"/>
        <w:ind w:left="720"/>
      </w:pPr>
      <w:r>
        <w:rPr>
          <w:rFonts w:ascii="Georgia" w:cs="Georgia" w:eastAsia="Georgia" w:hAnsi="Georgia"/>
          <w:sz w:val="22"/>
          <w:szCs w:val="22"/>
        </w:rPr>
        <w:t xml:space="preserve">These are honest limitations. The predictions are directionally confident, not certain. What I'm confident about is this: the CS leaders who build as if these predictions are true will be better positioned in 2030 than those who don't — regardless of whether every one of them is exactly right on timing.</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 CONTRARIAN CASE: (1) Incumbent resilience — distribution + capital to acquire challengers. (2) Organizational inertia on CRO/NRR compensation. (3) Trust ceiling on agentic AI for enterprise customers. (4) PLG/CS remain organizationally separate even if functionally identical.</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Directional confidence, not certainty. Building toward these predictions makes you better positioned in 2030 regardless of exact timing.</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6 — DO THIS MONDAY + CLOSE</w:t>
      </w:r>
    </w:p>
    <w:p>
      <w:pPr>
        <w:spacing w:before="80" w:after="40"/>
      </w:pPr>
      <w:r>
        <w:rPr>
          <w:rFonts w:ascii="Courier New" w:cs="Courier New" w:eastAsia="Courier New" w:hAnsi="Courier New"/>
          <w:b/>
          <w:bCs/>
          <w:color w:val="F4A000"/>
          <w:sz w:val="20"/>
          <w:szCs w:val="20"/>
        </w:rPr>
        <w:t xml:space="preserve">[9:15–10:30]</w:t>
      </w:r>
    </w:p>
    <w:p>
      <w:r>
        <w:t xml:space="preserve"/>
      </w:r>
    </w:p>
    <w:p>
      <w:pPr>
        <w:spacing w:before="60" w:after="60"/>
        <w:ind w:left="360"/>
      </w:pPr>
      <w:r>
        <w:rPr>
          <w:rFonts w:ascii="Arial" w:cs="Arial" w:eastAsia="Arial" w:hAnsi="Arial"/>
          <w:i/>
          <w:iCs/>
          <w:color w:val="6B46C1"/>
          <w:sz w:val="18"/>
          <w:szCs w:val="18"/>
        </w:rPr>
        <w:t xml:space="preserve">[DIRECTION: Close with the positioning argument. This module is about where the industry is going — the Monday actions are about starting to build toward that future today.]</w:t>
      </w:r>
    </w:p>
    <w:p>
      <w:r>
        <w:t xml:space="preserve"/>
      </w:r>
    </w:p>
    <w:p>
      <w:pPr>
        <w:spacing w:before="80" w:after="80"/>
        <w:ind w:left="720"/>
      </w:pPr>
      <w:r>
        <w:rPr>
          <w:rFonts w:ascii="Georgia" w:cs="Georgia" w:eastAsia="Georgia" w:hAnsi="Georgia"/>
          <w:sz w:val="22"/>
          <w:szCs w:val="22"/>
        </w:rPr>
        <w:t xml:space="preserve">Do this Monday — three actions tied to these predictions.</w:t>
      </w:r>
    </w:p>
    <w:p>
      <w:pPr>
        <w:spacing w:before="80" w:after="80"/>
        <w:ind w:left="720"/>
      </w:pPr>
      <w:r>
        <w:rPr>
          <w:rFonts w:ascii="Georgia" w:cs="Georgia" w:eastAsia="Georgia" w:hAnsi="Georgia"/>
          <w:sz w:val="22"/>
          <w:szCs w:val="22"/>
        </w:rPr>
        <w:t xml:space="preserve">One: if you are evaluating CS platforms, add the build-vs.-bolt question to your evaluation criteria. Ask every vendor: where does AI live in your architecture — is it core to how the system works, or is it a feature layer on top of an existing platform? The answer tells you more about their 2028 trajectory than any demo.</w:t>
      </w:r>
    </w:p>
    <w:p>
      <w:pPr>
        <w:spacing w:before="80" w:after="80"/>
        <w:ind w:left="720"/>
      </w:pPr>
      <w:r>
        <w:rPr>
          <w:rFonts w:ascii="Georgia" w:cs="Georgia" w:eastAsia="Georgia" w:hAnsi="Georgia"/>
          <w:sz w:val="22"/>
          <w:szCs w:val="22"/>
        </w:rPr>
        <w:t xml:space="preserve">Two: assess your current role against the Outcome Architect description. Not your title — your actual mandate and activities. How much of your week is service orientation — responding, managing, maintaining? How much is value creation orientation — designing outcomes, building expansion pathways, generating CS-qualified revenue? The ratio tells you where you are on the transition curve.</w:t>
      </w:r>
    </w:p>
    <w:p>
      <w:pPr>
        <w:spacing w:before="80" w:after="80"/>
        <w:ind w:left="720"/>
      </w:pPr>
      <w:r>
        <w:rPr>
          <w:rFonts w:ascii="Georgia" w:cs="Georgia" w:eastAsia="Georgia" w:hAnsi="Georgia"/>
          <w:sz w:val="22"/>
          <w:szCs w:val="22"/>
        </w:rPr>
        <w:t xml:space="preserve">Three: take one prediction from this list and make it personal. Which one, if correct, most significantly changes your career trajectory? Build one action in the next 30 days that moves you toward that future — one financial fluency conversation, one board deck improvement, one agent deployed, one outcome documented.</w:t>
      </w:r>
    </w:p>
    <w:p>
      <w:pPr>
        <w:spacing w:before="80" w:after="80"/>
        <w:ind w:left="720"/>
      </w:pPr>
      <w:r>
        <w:rPr>
          <w:rFonts w:ascii="Georgia" w:cs="Georgia" w:eastAsia="Georgia" w:hAnsi="Georgia"/>
          <w:sz w:val="22"/>
          <w:szCs w:val="22"/>
        </w:rPr>
        <w:t xml:space="preserve">The future of CS belongs to the Outcome Architects. Not because the title will change, though it will. Because the function will be redesigned around what it is actually capable of: driving compounding revenue growth through the most defensible and least expensive mechanism available in SaaS. The work in this program is the preparation for that future.</w:t>
      </w:r>
    </w:p>
    <w:p>
      <w:pPr>
        <w:spacing w:before="80" w:after="80"/>
        <w:ind w:left="720"/>
      </w:pPr>
      <w:r>
        <w:rPr>
          <w:rFonts w:ascii="Georgia" w:cs="Georgia" w:eastAsia="Georgia" w:hAnsi="Georgia"/>
          <w:sz w:val="22"/>
          <w:szCs w:val="22"/>
        </w:rPr>
        <w:t xml:space="preserve">Six predictions. Your move.</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DO THIS MONDAY: (1) Add build-vs.-bolt to platform evaluation criteria · (2) Assess your actual mandate: service orientation vs. value creation ratio · (3) Take one prediction — make it personal, build one 30-day action toward it</w:t>
      </w:r>
    </w:p>
    <w:p>
      <w:r>
        <w:t xml:space="preserve"/>
      </w:r>
    </w:p>
    <w:p>
      <w:pPr>
        <w:spacing w:before="60" w:after="60"/>
        <w:ind w:left="360"/>
      </w:pPr>
      <w:r>
        <w:rPr>
          <w:rFonts w:ascii="Arial" w:cs="Arial" w:eastAsia="Arial" w:hAnsi="Arial"/>
          <w:i/>
          <w:iCs/>
          <w:color w:val="6B46C1"/>
          <w:sz w:val="18"/>
          <w:szCs w:val="18"/>
        </w:rPr>
        <w:t xml:space="preserve">[DIRECTION: Strong close. Confident, forward-looking. 3-second hold.]</w:t>
      </w:r>
    </w:p>
    <w:p>
      <w:r>
        <w:t xml:space="preserve"/>
      </w:r>
    </w:p>
    <w:p>
      <w:pPr>
        <w:pBdr>
          <w:bottom w:val="single" w:color="00A896" w:sz="3" w:space="1"/>
        </w:pBdr>
        <w:spacing w:before="120" w:after="120"/>
      </w:pPr>
      <w:r>
        <w:t xml:space="preserve"/>
      </w:r>
    </w:p>
    <w:p>
      <w:r>
        <w:t xml:space="preserve"/>
      </w:r>
    </w:p>
    <w:p>
      <w:pPr>
        <w:shd w:fill="4A5568" w:val="clear"/>
        <w:spacing w:before="280" w:after="120"/>
      </w:pPr>
      <w:r>
        <w:rPr>
          <w:rFonts w:ascii="Arial" w:cs="Arial" w:eastAsia="Arial" w:hAnsi="Arial"/>
          <w:b/>
          <w:bCs/>
          <w:caps/>
          <w:color w:val="FFFFFF"/>
          <w:sz w:val="22"/>
          <w:szCs w:val="22"/>
        </w:rPr>
        <w:t xml:space="preserve">PRODUCTION NOTES</w:t>
      </w:r>
    </w:p>
    <w:p>
      <w:r>
        <w:t xml:space="preserve"/>
      </w:r>
    </w:p>
    <w:p>
      <w:pPr>
        <w:pStyle w:val="ListParagraph"/>
        <w:numPr>
          <w:ilvl w:val="0"/>
          <w:numId w:val="2"/>
        </w:numPr>
        <w:spacing w:before="40" w:after="40"/>
      </w:pPr>
      <w:r>
        <w:rPr>
          <w:rFonts w:ascii="Arial" w:cs="Arial" w:eastAsia="Arial" w:hAnsi="Arial"/>
          <w:sz w:val="18"/>
          <w:szCs w:val="18"/>
        </w:rPr>
        <w:t xml:space="preserve">Segment 1: Unfalsifiable prediction examples on screen ('AI will transform CS...') vs. falsifiable prediction structure</w:t>
      </w:r>
    </w:p>
    <w:p>
      <w:pPr>
        <w:pStyle w:val="ListParagraph"/>
        <w:numPr>
          <w:ilvl w:val="0"/>
          <w:numId w:val="2"/>
        </w:numPr>
        <w:spacing w:before="40" w:after="40"/>
      </w:pPr>
      <w:r>
        <w:rPr>
          <w:rFonts w:ascii="Arial" w:cs="Arial" w:eastAsia="Arial" w:hAnsi="Arial"/>
          <w:sz w:val="18"/>
          <w:szCs w:val="18"/>
        </w:rPr>
        <w:t xml:space="preserve">Segment 2+3: Each prediction appears on screen as a bold statement first, then argument builds underneath</w:t>
      </w:r>
    </w:p>
    <w:p>
      <w:pPr>
        <w:pStyle w:val="ListParagraph"/>
        <w:numPr>
          <w:ilvl w:val="0"/>
          <w:numId w:val="2"/>
        </w:numPr>
        <w:spacing w:before="40" w:after="40"/>
      </w:pPr>
      <w:r>
        <w:rPr>
          <w:rFonts w:ascii="Arial" w:cs="Arial" w:eastAsia="Arial" w:hAnsi="Arial"/>
          <w:sz w:val="18"/>
          <w:szCs w:val="18"/>
        </w:rPr>
        <w:t xml:space="preserve">Segment 4: Agent automation visualization — 80% automated interactions, 20% human judgment circle</w:t>
      </w:r>
    </w:p>
    <w:p>
      <w:pPr>
        <w:pStyle w:val="ListParagraph"/>
        <w:numPr>
          <w:ilvl w:val="0"/>
          <w:numId w:val="2"/>
        </w:numPr>
        <w:spacing w:before="40" w:after="40"/>
      </w:pPr>
      <w:r>
        <w:rPr>
          <w:rFonts w:ascii="Arial" w:cs="Arial" w:eastAsia="Arial" w:hAnsi="Arial"/>
          <w:sz w:val="18"/>
          <w:szCs w:val="18"/>
        </w:rPr>
        <w:t xml:space="preserve">Segment 5: Contrarian case presented with intellectual honesty — not dismissive, genuinely considered</w:t>
      </w:r>
    </w:p>
    <w:p>
      <w:pPr>
        <w:pStyle w:val="ListParagraph"/>
        <w:numPr>
          <w:ilvl w:val="0"/>
          <w:numId w:val="2"/>
        </w:numPr>
        <w:spacing w:before="40" w:after="40"/>
      </w:pPr>
      <w:r>
        <w:rPr>
          <w:rFonts w:ascii="Arial" w:cs="Arial" w:eastAsia="Arial" w:hAnsi="Arial"/>
          <w:sz w:val="18"/>
          <w:szCs w:val="18"/>
        </w:rPr>
        <w:t xml:space="preserve">Segment 6: Outcome Architect transition curve — service orientation to value creation orientation</w:t>
      </w:r>
    </w:p>
    <w:p>
      <w:r>
        <w:t xml:space="preserve"/>
      </w:r>
    </w:p>
    <w:p>
      <w:r>
        <w:rPr>
          <w:rFonts w:ascii="Arial" w:cs="Arial" w:eastAsia="Arial" w:hAnsi="Arial"/>
          <w:sz w:val="18"/>
          <w:szCs w:val="18"/>
        </w:rPr>
        <w:t xml:space="preserve">Accent Color: Amber #B45309  |  Word Count: ~1,550 words  |  Runtime: 9–11 min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2026-02-20T00:06:53.871Z</dcterms:created>
  <dcterms:modified xsi:type="dcterms:W3CDTF">2026-02-20T00:06:53.872Z</dcterms:modified>
</cp:coreProperties>
</file>

<file path=docProps/custom.xml><?xml version="1.0" encoding="utf-8"?>
<Properties xmlns="http://schemas.openxmlformats.org/officeDocument/2006/custom-properties" xmlns:vt="http://schemas.openxmlformats.org/officeDocument/2006/docPropsVTypes"/>
</file>