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hd w:fill="C2410C" w:val="clear"/><w:spacing w:before="0" w:after="80"/><w:jc w:val="center"/></w:pPr><w:r><w:rPr><w:rFonts w:ascii="Arial" w:cs="Arial" w:eastAsia="Arial" w:hAnsi="Arial"/><w:b/><w:bCs/><w:caps/><w:color w:val="FFFFFF"/><w:sz w:val="32"/><w:szCs w:val="32"/></w:rPr><w:t xml:space="preserve">MODULE 9.2 — VIDEO SCRIPT</w:t></w:r></w:p><w:p><w:pPr><w:shd w:fill="0F1F4B" w:val="clear"/><w:spacing w:before="0" w:after="200"/><w:jc w:val="center"/></w:pPr><w:r><w:rPr><w:rFonts w:ascii="Georgia" w:cs="Georgia" w:eastAsia="Georgia" w:hAnsi="Georgia"/><w:b/><w:bCs/><w:color w:val="FFFFFF"/><w:sz w:val="28"/><w:szCs w:val="28"/></w:rPr><w:t xml:space="preserve">The 90-Day War Plan — Your Roadmap from Here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Module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9.2 — The 90-Day War Plan: Your Roadmap from Here</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Phase / Week</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Phase 3 — The Proof · Week 9: The Future</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Presenter</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Shane James — CCO2go.ai</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Target Runtime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9–11 minutes</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Accent Color</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Orange #C2410C</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Source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Book conclusion (pp.130–135) — 30-day action sequences</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Version</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1.0 — February 2026</w:t></w:r></w:p></w:tc></w:tr></w:tbl><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1 — COLD OPEN: KNOWLEDGE VS. ACTION</w:t></w:r></w:p><w:p><w:pPr><w:spacing w:before="80" w:after="40"/></w:pPr><w:r><w:rPr><w:rFonts w:ascii="Courier New" w:cs="Courier New" w:eastAsia="Courier New" w:hAnsi="Courier New"/><w:b/><w:bCs/><w:color w:val="F4A000"/><w:sz w:val="20"/><w:szCs w:val="20"/></w:rPr><w:t xml:space="preserve">[0:00–1:00]</w:t></w:r></w:p><w:p><w:r><w:t xml:space="preserve"></w:t></w:r></w:p><w:p><w:pPr><w:spacing w:before="60" w:after="60"/><w:ind w:left="360"/></w:pPr><w:r><w:rPr><w:rFonts w:ascii="Arial" w:cs="Arial" w:eastAsia="Arial" w:hAnsi="Arial"/><w:i/><w:iCs/><w:color w:val="6B46C1"/><w:sz w:val="18"/><w:szCs w:val="18"/></w:rPr><w:t xml:space="preserve">[DIRECTION: The gap between knowing and doing is the central tension of this module. Name it directly at the open.]</w:t></w:r></w:p><w:p><w:r><w:t xml:space="preserve"></w:t></w:r></w:p><w:p><w:pPr><w:spacing w:before="80" w:after="80"/><w:ind w:left="720"/></w:pPr><w:r><w:rPr><w:rFonts w:ascii="Georgia" w:cs="Georgia" w:eastAsia="Georgia" w:hAnsi="Georgia"/><w:sz w:val="22"/><w:szCs w:val="22"/></w:rPr><w:t xml:space="preserve">There is a gap that opens in every professional development program. The gap between knowing what to do and doing it.</w:t></w:r></w:p><w:p><w:pPr><w:spacing w:before="80" w:after="80"/><w:ind w:left="720"/></w:pPr><w:r><w:rPr><w:rFonts w:ascii="Georgia" w:cs="Georgia" w:eastAsia="Georgia" w:hAnsi="Georgia"/><w:sz w:val="22"/><w:szCs w:val="22"/></w:rPr><w:t xml:space="preserve">You&apos;ve now completed nine weeks of frameworks, diagnostic tools, deployment sequences, and board-ready metrics. You understand the Churn Cascade. You can build a health score that actually predicts. You know the five questions a CFO will ask and how to answer each one. You know what a living playbook is and how to build one.</w:t></w:r></w:p><w:p><w:pPr><w:spacing w:before="80" w:after="80"/><w:ind w:left="720"/></w:pPr><w:r><w:rPr><w:rFonts w:ascii="Georgia" w:cs="Georgia" w:eastAsia="Georgia" w:hAnsi="Georgia"/><w:sz w:val="22"/><w:szCs w:val="22"/></w:rPr><w:t xml:space="preserve">Knowing these things is not the same as having done them.</w:t></w:r></w:p><w:p><w:pPr><w:spacing w:before="80" w:after="80"/><w:ind w:left="720"/></w:pPr><w:r><w:rPr><w:rFonts w:ascii="Georgia" w:cs="Georgia" w:eastAsia="Georgia" w:hAnsi="Georgia"/><w:sz w:val="22"/><w:szCs w:val="22"/></w:rPr><w:t xml:space="preserve">The 90-Day War Plan in this module is not more content. It is a translation mechanism. It takes everything in this program and converts it into twelve specific actions, across three weeks, with explicit success conditions for each one. The goal is not to complete the program. The goal is to finish Week 9 with something operating that didn&apos;t exist when Week 1 started.</w:t></w:r></w:p><w:p><w:pPr><w:spacing w:before="80" w:after="80"/><w:ind w:left="720"/></w:pPr><w:r><w:rPr><w:rFonts w:ascii="Georgia" w:cs="Georgia" w:eastAsia="Georgia" w:hAnsi="Georgia"/><w:sz w:val="22"/><w:szCs w:val="22"/></w:rPr><w:t xml:space="preserve">Three weeks. Twelve actions. No ambiguity about what &apos;progress&apos; means. Let&apos;s go.</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MODULE 9.2 — The 90-Day War Plan: 3 Weeks, 12 Actions</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Knowing what to do ≠ doing it. This is the translation mechanism. 12 specific actions, explicit success conditions, no ambiguity about what progress means.</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2 — WEEK 1: DIAGNOSE</w:t></w:r></w:p><w:p><w:pPr><w:spacing w:before="80" w:after="40"/></w:pPr><w:r><w:rPr><w:rFonts w:ascii="Courier New" w:cs="Courier New" w:eastAsia="Courier New" w:hAnsi="Courier New"/><w:b/><w:bCs/><w:color w:val="F4A000"/><w:sz w:val="20"/><w:szCs w:val="20"/></w:rPr><w:t xml:space="preserve">[1:00–3:30]</w:t></w:r></w:p><w:p><w:r><w:t xml:space="preserve"></w:t></w:r></w:p><w:p><w:pPr><w:spacing w:before="60" w:after="60"/><w:ind w:left="360"/></w:pPr><w:r><w:rPr><w:rFonts w:ascii="Arial" w:cs="Arial" w:eastAsia="Arial" w:hAnsi="Arial"/><w:i/><w:iCs/><w:color w:val="6B46C1"/><w:sz w:val="18"/><w:szCs w:val="18"/></w:rPr><w:t xml:space="preserve">[DIRECTION: Walk each Week 1 action with the specific success condition. The audience should be able to run these four actions this week.]</w:t></w:r></w:p><w:p><w:r><w:t xml:space="preserve"></w:t></w:r></w:p><w:p><w:pPr><w:spacing w:before="80" w:after="80"/><w:ind w:left="720"/></w:pPr><w:r><w:rPr><w:rFonts w:ascii="Georgia" w:cs="Georgia" w:eastAsia="Georgia" w:hAnsi="Georgia"/><w:sz w:val="22"/><w:szCs w:val="22"/></w:rPr><w:t xml:space="preserve">Week 1 is diagnosis. Four actions. Four specific outputs. If you leave Week 1 without these four outputs, Week 2 is building on a foundation you haven&apos;t validated.</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40"/><w:gridCol w:w="1440"/><w:gridCol w:w="5040"/><w:gridCol w:w="2040"/></w:tblGrid><w:tr><0/></w:tr><w:tr><w:tc><w:tcPr><w:gridSpan w:val="4"/><w:tcBorders><w:top w:val="single" w:color="CCCCCC" w:sz="1"/><w:left w:val="single" w:color="CCCCCC" w:sz="1"/><w:bottom w:val="single" w:color="CCCCCC" w:sz="1"/><w:right w:val="single" w:color="CCCCCC" w:sz="1"/></w:tcBorders><w:shd w:fill="0F1F4B" w:val="clear"/><w:tcMar><w:top w:type="dxa" w:w="60"/><w:left w:type="dxa" w:w="120"/><w:bottom w:type="dxa" w:w="60"/><w:right w:type="dxa" w:w="120"/></w:tcMar></w:tcPr><w:p><w:r><w:rPr><w:rFonts w:ascii="Arial" w:cs="Arial" w:eastAsia="Arial" w:hAnsi="Arial"/><w:b/><w:bCs/><w:caps/><w:color w:val="F97316"/><w:sz w:val="15"/><w:szCs w:val="15"/></w:rPr><w:t xml:space="preserve">WEEK 1 — DIAGNOSE</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W1 · Action 1</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NRR Audit</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What is your current NRR? What was it 4 quarters ago? What is the trend? If you don&apos;t know your NRR to the single decimal point — that is your Day 1 action. Everything else in the program is built on this number.</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NRR calculated, documented, trended. Baseline established.</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W1 · Action 2</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Churn Driver Identification</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Pull your last 10 churned accounts. Interview 3 of them if possible. For the rest, pull every signal you have. Identify the primary churn driver category: product gaps, value not realized, champion departure, financial, competitive. Your save play system is built on this diagnosis.</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Top 2 churn driver categories identified with supporting data.</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W1 · Action 3</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Health Score MVP</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Build the 3-signal minimum viable health score: Usage Depth, Adoption Velocity, Support Health. Equal weights. Top 20 accounts only. Spreadsheet is fine. This is the Phase 1 from Module 7.1.</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Health Score MVP running on top 20 accounts. At least 3 accounts identified as at-risk that CS intuition didn&apos;t flag.</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W1 · Action 4</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Segment the Book</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Classify your accounts into 3 segments minimum: Protect (renewal at risk), Maintain (steady, no immediate risk), Grow (healthy, expansion-ready). This is the foundation for differentiated engagement.</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Every account in portfolio assigned to a segment. Protect list identified.</w:t></w:r></w:p></w:tc></w:tr><w:tr><w:tc><w:tcPr><w:gridSpan w:val="4"/><w:tcBorders><w:top w:val="single" w:color="CCCCCC" w:sz="1"/><w:left w:val="single" w:color="CCCCCC" w:sz="1"/><w:bottom w:val="single" w:color="CCCCCC" w:sz="1"/><w:right w:val="single" w:color="CCCCCC" w:sz="1"/></w:tcBorders><w:shd w:fill="0F1F4B" w:val="clear"/><w:tcMar><w:top w:type="dxa" w:w="60"/><w:left w:type="dxa" w:w="120"/><w:bottom w:type="dxa" w:w="60"/><w:right w:type="dxa" w:w="120"/></w:tcMar></w:tcPr><w:p><w:r><w:rPr><w:rFonts w:ascii="Arial" w:cs="Arial" w:eastAsia="Arial" w:hAnsi="Arial"/><w:b/><w:bCs/><w:caps/><w:color w:val="F97316"/><w:sz w:val="15"/><w:szCs w:val="15"/></w:rPr><w:t xml:space="preserve">WEEK 2 — BUILD</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W2 · Action 1</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Kill One Negative Touchpoint</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Identify the highest-friction touchpoint in your current customer journey. The one customers complain about most, or the one that generates the most support tickets, or the one CSMs dread most. Kill it or fix it this week.</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One negative touchpoint eliminated or redesigned. New version tested on 3 accounts.</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W2 · Action 2</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Run First VPC</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Pick one account from your Grow segment. Run a Value Proof Conversation using the framework from Module 4.3. Document the outcome — whether it generated an expansion signal or not. The first VPC is a rehearsal. It doesn&apos;t need to close. It needs to happen.</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First VPC executed. Outcome documented. Expansion signal identified or ruled out.</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W2 · Action 3</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Define T2FV</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What is your current Time to First Value — the days from contract sign to first measurable customer outcome? If you don&apos;t know this number: that is the action. Calculate it for your last 10 customers.</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T2FV calculated for last 10 customers. Industry benchmark comparison completed.</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W2 · Action 4</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Identify 3 CSQLs</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Using your Grow segment and the CSQL criteria from Module 5.1, identify 3 accounts that qualify for expansion conversations. These don&apos;t need to be perfect. They need to exist.</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3 CSQLs identified and logged. CSQL-to-expansion pipeline has at least 3 accounts.</w:t></w:r></w:p></w:tc></w:tr><w:tr><w:tc><w:tcPr><w:gridSpan w:val="4"/><w:tcBorders><w:top w:val="single" w:color="CCCCCC" w:sz="1"/><w:left w:val="single" w:color="CCCCCC" w:sz="1"/><w:bottom w:val="single" w:color="CCCCCC" w:sz="1"/><w:right w:val="single" w:color="CCCCCC" w:sz="1"/></w:tcBorders><w:shd w:fill="0F1F4B" w:val="clear"/><w:tcMar><w:top w:type="dxa" w:w="60"/><w:left w:type="dxa" w:w="120"/><w:bottom w:type="dxa" w:w="60"/><w:right w:type="dxa" w:w="120"/></w:tcMar></w:tcPr><w:p><w:r><w:rPr><w:rFonts w:ascii="Arial" w:cs="Arial" w:eastAsia="Arial" w:hAnsi="Arial"/><w:b/><w:bCs/><w:caps/><w:color w:val="F97316"/><w:sz w:val="15"/><w:szCs w:val="15"/></w:rPr><w:t xml:space="preserve">WEEK 3 — PROVE</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W3 · Action 1</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Run 5 Expansion Conversations</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Execute expansion conversations on your 3 CSQLs plus 2 additional accounts. Not every conversation generates a close. Every conversation generates data about what works and what doesn&apos;t in your specific customer base.</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5 expansion conversations executed. Win/loss data logged for each.</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W3 · Action 2</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Build the CFO Business Case</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Using the Module 7.3 framework: calculate your cost per retained-and-grown ARR dollar. Calculate the NRR compounding delta. Draft the 5-section investment case one-pager.</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5-section investment case one-pager drafted. Cost per retained ARR dollar calculated.</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W3 · Action 3</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Build the Board-Ready Deck</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Using the Module 7.2 framework: 6 slides, 6 metrics, language translation layer applied. Retire CSAT, NPS, and QBRs completed from the deck.</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Board-ready CS deck drafted. All 4 legacy metrics retired.</w:t></w:r></w:p></w:tc></w:tr><w:tr><w:tc><w:tcPr><w:tcBorders><w:top w:val="single" w:color="CCCCCC" w:sz="1"/><w:left w:val="single" w:color="CCCCCC" w:sz="1"/><w:bottom w:val="single" w:color="CCCCCC" w:sz="1"/><w:right w:val="single" w:color="CCCCCC" w:sz="1"/></w:tcBorders><w:shd w:fill="C2410C" w:val="clear"/><w:tcMar><w:top w:type="dxa" w:w="80"/><w:left w:type="dxa" w:w="80"/><w:bottom w:type="dxa" w:w="80"/><w:right w:type="dxa" w:w="80"/></w:tcMar></w:tcPr><w:p><w:pPr><w:jc w:val="center"/></w:pPr><w:r><w:rPr><w:rFonts w:ascii="Courier New" w:cs="Courier New" w:eastAsia="Courier New" w:hAnsi="Courier New"/><w:b/><w:bCs/><w:color w:val="FFFFFF"/><w:sz w:val="12"/><w:szCs w:val="12"/></w:rPr><w:t xml:space="preserve">W3 · Action 4</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b/><w:bCs/><w:color w:val="C2410C"/><w:sz w:val="13"/><w:szCs w:val="13"/></w:rPr><w:t xml:space="preserve">Make The Ask</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r><w:rPr><w:rFonts w:ascii="Arial" w:cs="Arial" w:eastAsia="Arial" w:hAnsi="Arial"/><w:sz w:val="12"/><w:szCs w:val="12"/></w:rPr><w:t xml:space="preserve">Schedule the meeting. Bring the deck. Bring the one-pager. Make the specific, bounded, timed capital deployment request. Whether it&apos;s funded or not — you will know more about how to make the argument after making it once than from reading about it indefinitely.</w:t></w:r></w:p></w:tc><w:tc><w:tcPr><w:tcBorders><w:top w:val="single" w:color="CCCCCC" w:sz="1"/><w:left w:val="single" w:color="CCCCCC" w:sz="1"/><w:bottom w:val="single" w:color="CCCCCC" w:sz="1"/><w:right w:val="single" w:color="CCCCCC" w:sz="1"/></w:tcBorders><w:shd w:fill="FFF7ED" w:val="clear"/><w:tcMar><w:top w:type="dxa" w:w="80"/><w:left w:type="dxa" w:w="80"/><w:bottom w:type="dxa" w:w="80"/><w:right w:type="dxa" w:w="80"/></w:tcMar></w:tcPr><w:p><w:r><w:rPr><w:rFonts w:ascii="Arial" w:cs="Arial" w:eastAsia="Arial" w:hAnsi="Arial"/><w:i/><w:iCs/><w:color w:val="C2410C"/><w:sz w:val="12"/><w:szCs w:val="12"/></w:rPr><w:t xml:space="preserve">The Ask made. Outcome documented. Next version identified.</w:t></w:r></w:p></w:tc></w:tr></w:tbl><w:p><w:r><w:t xml:space="preserve"></w:t></w:r></w:p><w:p><w:pPr><w:spacing w:before="80" w:after="80"/><w:ind w:left="720"/></w:pPr><w:r><w:rPr><w:rFonts w:ascii="Georgia" w:cs="Georgia" w:eastAsia="Georgia" w:hAnsi="Georgia"/><w:sz w:val="22"/><w:szCs w:val="22"/></w:rPr><w:t xml:space="preserve">Two notes on Week 1.</w:t></w:r></w:p><w:p><w:pPr><w:spacing w:before="80" w:after="80"/><w:ind w:left="720"/></w:pPr><w:r><w:rPr><w:rFonts w:ascii="Georgia" w:cs="Georgia" w:eastAsia="Georgia" w:hAnsi="Georgia"/><w:sz w:val="22"/><w:szCs w:val="22"/></w:rPr><w:t xml:space="preserve">The NRR audit is the first action because it establishes the baseline everything else measures against. I&apos;ve watched CS leaders spend significant time building save play systems and expansion motions without knowing their current NRR. That&apos;s building a revenue engine without knowing what gear you&apos;re in. Know your number.</w:t></w:r></w:p><w:p><w:pPr><w:spacing w:before="80" w:after="80"/><w:ind w:left="720"/></w:pPr><w:r><w:rPr><w:rFonts w:ascii="Georgia" w:cs="Georgia" w:eastAsia="Georgia" w:hAnsi="Georgia"/><w:sz w:val="22"/><w:szCs w:val="22"/></w:rPr><w:t xml:space="preserve">The health score MVP on the top 20 accounts is intentionally scoped small. The temptation is to build it for the whole portfolio immediately. Resist it. Validate it on 20 accounts first. If it doesn&apos;t surface at-risk accounts that your intuition didn&apos;t flag, your signals are wrong. Fix the signals before you scale.</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WEEK 1 — DIAGNOSE: NRR audit · churn driver ID · health score MVP (top 20) · segment the book</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NRR audit first — establishes the baseline everything else measures against. Health Score MVP scoped to top 20 intentionally — validate signals before scaling.</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3 — WEEK 2: BUILD</w:t></w:r></w:p><w:p><w:pPr><w:spacing w:before="80" w:after="40"/></w:pPr><w:r><w:rPr><w:rFonts w:ascii="Courier New" w:cs="Courier New" w:eastAsia="Courier New" w:hAnsi="Courier New"/><w:b/><w:bCs/><w:color w:val="F4A000"/><w:sz w:val="20"/><w:szCs w:val="20"/></w:rPr><w:t xml:space="preserve">[3:30–6:00]</w:t></w:r></w:p><w:p><w:r><w:t xml:space="preserve"></w:t></w:r></w:p><w:p><w:pPr><w:spacing w:before="60" w:after="60"/><w:ind w:left="360"/></w:pPr><w:r><w:rPr><w:rFonts w:ascii="Arial" w:cs="Arial" w:eastAsia="Arial" w:hAnsi="Arial"/><w:i/><w:iCs/><w:color w:val="6B46C1"/><w:sz w:val="18"/><w:szCs w:val="18"/></w:rPr><w:t xml:space="preserve">[DIRECTION: Week 2 is operationally the hardest week — four build actions that require actually running plays, not just designing them.]</w:t></w:r></w:p><w:p><w:r><w:t xml:space="preserve"></w:t></w:r></w:p><w:p><w:pPr><w:spacing w:before="80" w:after="80"/><w:ind w:left="720"/></w:pPr><w:r><w:rPr><w:rFonts w:ascii="Georgia" w:cs="Georgia" w:eastAsia="Georgia" w:hAnsi="Georgia"/><w:sz w:val="22"/><w:szCs w:val="22"/></w:rPr><w:t xml:space="preserve">Week 2 is build. This is the week where the program converts from framework to operation. All four actions require doing, not planning.</w:t></w:r></w:p><w:p><w:pPr><w:spacing w:before="80" w:after="80"/><w:ind w:left="720"/></w:pPr><w:r><w:rPr><w:rFonts w:ascii="Georgia" w:cs="Georgia" w:eastAsia="Georgia" w:hAnsi="Georgia"/><w:sz w:val="22"/><w:szCs w:val="22"/></w:rPr><w:t xml:space="preserve">Kill one negative touchpoint: identify it in Week 1, eliminate or redesign it by end of Week 2. This is not a project — it&apos;s a decision. What is the single highest-friction element in your current customer journey? Make it stop.</w:t></w:r></w:p><w:p><w:pPr><w:spacing w:before="80" w:after="80"/><w:ind w:left="720"/></w:pPr><w:r><w:rPr><w:rFonts w:ascii="Georgia" w:cs="Georgia" w:eastAsia="Georgia" w:hAnsi="Georgia"/><w:sz w:val="22"/><w:szCs w:val="22"/></w:rPr><w:t xml:space="preserve">Run the first VPC: the Value Proof Conversation from Module 4.3. The instruction is specific: pick one account from your Grow segment and run the conversation. Not plan to run it. Not draft the agenda. Run it. The first VPC is a rehearsal, not a closing call. Every moment you spend planning instead of executing pushes the learning further away.</w:t></w:r></w:p><w:p><w:pPr><w:spacing w:before="80" w:after="80"/><w:ind w:left="720"/></w:pPr><w:r><w:rPr><w:rFonts w:ascii="Georgia" w:cs="Georgia" w:eastAsia="Georgia" w:hAnsi="Georgia"/><w:sz w:val="22"/><w:szCs w:val="22"/></w:rPr><w:t xml:space="preserve">Define T2FV: if you don&apos;t know your Time to First Value, calculating it is the action. Pull your last 10 customers. Calculate the days from contract sign to first measurable outcome for each. Compare to the benchmark from Module 8.1. The gap between your current T2FV and benchmark is the ROI of your onboarding improvement work.</w:t></w:r></w:p><w:p><w:pPr><w:spacing w:before="80" w:after="80"/><w:ind w:left="720"/></w:pPr><w:r><w:rPr><w:rFonts w:ascii="Georgia" w:cs="Georgia" w:eastAsia="Georgia" w:hAnsi="Georgia"/><w:sz w:val="22"/><w:szCs w:val="22"/></w:rPr><w:t xml:space="preserve">Identify 3 CSQLs: using the CSQL criteria from Module 5.1, identify 3 accounts in your Grow segment that qualify for expansion conversations. Write them down. Name them in your CRM. These are the first three entrants in your expansion pipeline.</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WEEK 2 — BUILD: kill one negative touchpoint · run first VPC · calculate T2FV · identify 3 CSQLs</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All four actions require doing, not planning. First VPC is a rehearsal — every moment spent planning instead of executing delays the learning.</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4 — WEEK 3: PROVE</w:t></w:r></w:p><w:p><w:pPr><w:spacing w:before="80" w:after="40"/></w:pPr><w:r><w:rPr><w:rFonts w:ascii="Courier New" w:cs="Courier New" w:eastAsia="Courier New" w:hAnsi="Courier New"/><w:b/><w:bCs/><w:color w:val="F4A000"/><w:sz w:val="20"/><w:szCs w:val="20"/></w:rPr><w:t xml:space="preserve">[6:00–8:15]</w:t></w:r></w:p><w:p><w:r><w:t xml:space="preserve"></w:t></w:r></w:p><w:p><w:pPr><w:spacing w:before="60" w:after="60"/><w:ind w:left="360"/></w:pPr><w:r><w:rPr><w:rFonts w:ascii="Arial" w:cs="Arial" w:eastAsia="Arial" w:hAnsi="Arial"/><w:i/><w:iCs/><w:color w:val="6B46C1"/><w:sz w:val="18"/><w:szCs w:val="18"/></w:rPr><w:t xml:space="preserve">[DIRECTION: Week 3 is the most externally visible week — board deck and The Ask require real conversations, not just deliverable creation.]</w:t></w:r></w:p><w:p><w:r><w:t xml:space="preserve"></w:t></w:r></w:p><w:p><w:pPr><w:spacing w:before="80" w:after="80"/><w:ind w:left="720"/></w:pPr><w:r><w:rPr><w:rFonts w:ascii="Georgia" w:cs="Georgia" w:eastAsia="Georgia" w:hAnsi="Georgia"/><w:sz w:val="22"/><w:szCs w:val="22"/></w:rPr><w:t xml:space="preserve">Week 3 is prove. This is where the work in this program becomes visible to the organization above you.</w:t></w:r></w:p><w:p><w:pPr><w:spacing w:before="80" w:after="80"/><w:ind w:left="720"/></w:pPr><w:r><w:rPr><w:rFonts w:ascii="Georgia" w:cs="Georgia" w:eastAsia="Georgia" w:hAnsi="Georgia"/><w:sz w:val="22"/><w:szCs w:val="22"/></w:rPr><w:t xml:space="preserve">Run 5 expansion conversations: take your 3 CSQLs from Week 2 plus 2 additional accounts. Have the expansion conversation on each. Not every conversation generates a close. Every conversation generates data — what objections came up, which talk tracks landed, which didn&apos;t, what the expansion readiness actually looked like versus what the CSQL score predicted. That data is the first iteration of your expansion playbook.</w:t></w:r></w:p><w:p><w:pPr><w:spacing w:before="80" w:after="80"/><w:ind w:left="720"/></w:pPr><w:r><w:rPr><w:rFonts w:ascii="Georgia" w:cs="Georgia" w:eastAsia="Georgia" w:hAnsi="Georgia"/><w:sz w:val="22"/><w:szCs w:val="22"/></w:rPr><w:t xml:space="preserve">Build the CFO business case: calculate your cost per retained-and-grown ARR dollar. Run the NRR compounding calculation on your own ARR base. Draft the 5-section investment case one-pager from Module 7.3. This should take four hours if you have the data, twelve if you need to assemble it. Either timeline is worth it.</w:t></w:r></w:p><w:p><w:pPr><w:spacing w:before="80" w:after="80"/><w:ind w:left="720"/></w:pPr><w:r><w:rPr><w:rFonts w:ascii="Georgia" w:cs="Georgia" w:eastAsia="Georgia" w:hAnsi="Georgia"/><w:sz w:val="22"/><w:szCs w:val="22"/></w:rPr><w:t xml:space="preserve">Build the board-ready deck: 6 slides, 6 metrics, language translation layer applied. Retire CSAT, NPS, QBRs completed, and CSM-to-account ratio from anything in the deck. If you have to present to leadership before the deck is complete — present what you have and note the gaps. The exercise of identifying the gaps is itself valuable.</w:t></w:r></w:p><w:p><w:pPr><w:spacing w:before="80" w:after="80"/><w:ind w:left="720"/></w:pPr><w:r><w:rPr><w:rFonts w:ascii="Georgia" w:cs="Georgia" w:eastAsia="Georgia" w:hAnsi="Georgia"/><w:sz w:val="22"/><w:szCs w:val="22"/></w:rPr><w:t xml:space="preserve">Make The Ask: schedule the meeting. Go in with the deck and the one-pager. Make a specific, bounded, timed capital deployment request. The outcome of the meeting — funded, tabled, or redirected — is less important than making the request. CS leaders who wait until their investment case is perfect before making The Ask wait indefinitely. The case gets better after you&apos;ve made it once and heard the response.</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WEEK 3 — PROVE: 5 expansion conversations · CFO business case · board-ready deck · make The Ask</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Ask: make it before the case is perfect. The case gets better after you&apos;ve made it once and heard the real objections.</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5 — THE 90-DAY COMMITMENT</w:t></w:r></w:p><w:p><w:pPr><w:spacing w:before="80" w:after="40"/></w:pPr><w:r><w:rPr><w:rFonts w:ascii="Courier New" w:cs="Courier New" w:eastAsia="Courier New" w:hAnsi="Courier New"/><w:b/><w:bCs/><w:color w:val="F4A000"/><w:sz w:val="20"/><w:szCs w:val="20"/></w:rPr><w:t xml:space="preserve">[8:15–9:30]</w:t></w:r></w:p><w:p><w:r><w:t xml:space="preserve"></w:t></w:r></w:p><w:p><w:pPr><w:spacing w:before="60" w:after="60"/><w:ind w:left="360"/></w:pPr><w:r><w:rPr><w:rFonts w:ascii="Arial" w:cs="Arial" w:eastAsia="Arial" w:hAnsi="Arial"/><w:i/><w:iCs/><w:color w:val="6B46C1"/><w:sz w:val="18"/><w:szCs w:val="18"/></w:rPr><w:t xml:space="preserve">[DIRECTION: The 90-day commitment is the program&apos;s deliverable — not the three-week sprint. The sprint is the launch. Frame accordingly.]</w:t></w:r></w:p><w:p><w:r><w:t xml:space="preserve"></w:t></w:r></w:p><w:p><w:pPr><w:spacing w:before="80" w:after="80"/><w:ind w:left="720"/></w:pPr><w:r><w:rPr><w:rFonts w:ascii="Georgia" w:cs="Georgia" w:eastAsia="Georgia" w:hAnsi="Georgia"/><w:sz w:val="22"/><w:szCs w:val="22"/></w:rPr><w:t xml:space="preserve">The three-week war plan is not the 90-day commitment. It&apos;s the launch.</w:t></w:r></w:p><w:p><w:pPr><w:spacing w:before="80" w:after="80"/><w:ind w:left="720"/></w:pPr><w:r><w:rPr><w:rFonts w:ascii="Georgia" w:cs="Georgia" w:eastAsia="Georgia" w:hAnsi="Georgia"/><w:sz w:val="22"/><w:szCs w:val="22"/></w:rPr><w:t xml:space="preserve">By the end of Week 3, you should have: an NRR baseline established, a health score MVP validated, a book segmented, a churn driver analysis completed, one negative touchpoint eliminated, one VPC executed, three CSQLs identified, five expansion conversations run, a CFO business case drafted, a board-ready deck built, and The Ask made.</w:t></w:r></w:p><w:p><w:pPr><w:spacing w:before="80" w:after="80"/><w:ind w:left="720"/></w:pPr><w:r><w:rPr><w:rFonts w:ascii="Georgia" w:cs="Georgia" w:eastAsia="Georgia" w:hAnsi="Georgia"/><w:sz w:val="22"/><w:szCs w:val="22"/></w:rPr><w:t xml:space="preserve">That is a diagnostic completed, a save play system initiated, an expansion motion started, and a board-level investment case in progress. In three weeks.</w:t></w:r></w:p><w:p><w:pPr><w:spacing w:before="80" w:after="80"/><w:ind w:left="720"/></w:pPr><w:r><w:rPr><w:rFonts w:ascii="Georgia" w:cs="Georgia" w:eastAsia="Georgia" w:hAnsi="Georgia"/><w:sz w:val="22"/><w:szCs w:val="22"/></w:rPr><w:t xml:space="preserve">The 90-day horizon is where those initiations become operations. By Day 90, the health score should be running on the full portfolio and validated against actual renewal outcomes — Phase 2 from Module 7.1. The save play system should have its first 10 plays logged with outcomes. The expansion pipeline should have CSQL close rate data. The agent architecture should have Month 1 agents deployed and operational.</w:t></w:r></w:p><w:p><w:pPr><w:spacing w:before="80" w:after="80"/><w:ind w:left="720"/></w:pPr><w:r><w:rPr><w:rFonts w:ascii="Georgia" w:cs="Georgia" w:eastAsia="Georgia" w:hAnsi="Georgia"/><w:sz w:val="22"/><w:szCs w:val="22"/></w:rPr><w:t xml:space="preserve">The three-week war plan does not require completing the program. It requires starting it. The difference between a CS leader who has done 12 specific things and one who has processed 12 weeks of frameworks is not knowledge. It is momentum. Momentum is built by action, not by additional information.</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END OF WEEK 3: NRR baseline · health score MVP validated · book segmented · one VPC executed · 3 CSQLs identified · 5 expansion conversations · CFO case drafted · board deck built · The Ask made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Day 90: health score on full portfolio, 10 save plays logged with outcomes, CSQL close rate data, Month 1 agents deployed. The sprint launches the operation.</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6 — CLOSE</w:t></w:r></w:p><w:p><w:pPr><w:spacing w:before="80" w:after="40"/></w:pPr><w:r><w:rPr><w:rFonts w:ascii="Courier New" w:cs="Courier New" w:eastAsia="Courier New" w:hAnsi="Courier New"/><w:b/><w:bCs/><w:color w:val="F4A000"/><w:sz w:val="20"/><w:szCs w:val="20"/></w:rPr><w:t xml:space="preserve">[9:30–10:30]</w:t></w:r></w:p><w:p><w:r><w:t xml:space="preserve"></w:t></w:r></w:p><w:p><w:pPr><w:spacing w:before="60" w:after="60"/><w:ind w:left="360"/></w:pPr><w:r><w:rPr><w:rFonts w:ascii="Arial" w:cs="Arial" w:eastAsia="Arial" w:hAnsi="Arial"/><w:i/><w:iCs/><w:color w:val="6B46C1"/><w:sz w:val="18"/><w:szCs w:val="18"/></w:rPr><w:t xml:space="preserve">[DIRECTION: The close for this module should feel like a coach sending the team onto the field. Direct, energetic, no hedging.]</w:t></w:r></w:p><w:p><w:r><w:t xml:space="preserve"></w:t></w:r></w:p><w:p><w:pPr><w:spacing w:before="80" w:after="80"/><w:ind w:left="720"/></w:pPr><w:r><w:rPr><w:rFonts w:ascii="Georgia" w:cs="Georgia" w:eastAsia="Georgia" w:hAnsi="Georgia"/><w:sz w:val="22"/><w:szCs w:val="22"/></w:rPr><w:t xml:space="preserve">The program is almost complete. One module remains after this one — the Outcome Architect&apos;s Manifesto — and it is the close, not the instruction.</w:t></w:r></w:p><w:p><w:pPr><w:spacing w:before="80" w:after="80"/><w:ind w:left="720"/></w:pPr><w:r><w:rPr><w:rFonts w:ascii="Georgia" w:cs="Georgia" w:eastAsia="Georgia" w:hAnsi="Georgia"/><w:sz w:val="22"/><w:szCs w:val="22"/></w:rPr><w:t xml:space="preserve">What I want you to leave this module with is not a polished plan. It is a started action.</w:t></w:r></w:p><w:p><w:pPr><w:spacing w:before="80" w:after="80"/><w:ind w:left="720"/></w:pPr><w:r><w:rPr><w:rFonts w:ascii="Georgia" w:cs="Georgia" w:eastAsia="Georgia" w:hAnsi="Georgia"/><w:sz w:val="22"/><w:szCs w:val="22"/></w:rPr><w:t xml:space="preserve">The NRR audit: do it today. Not this week. Today. Pull the number. Write it down. It takes 15 minutes if your data is in one place. The 15 minutes you spend doing that is more valuable than any additional framework.</w:t></w:r></w:p><w:p><w:pPr><w:spacing w:before="80" w:after="80"/><w:ind w:left="720"/></w:pPr><w:r><w:rPr><w:rFonts w:ascii="Georgia" w:cs="Georgia" w:eastAsia="Georgia" w:hAnsi="Georgia"/><w:sz w:val="22"/><w:szCs w:val="22"/></w:rPr><w:t xml:space="preserve">Then come back. Three weeks. Twelve actions. The gap between where CS is perceived in your organization and where you want it to be — the gap between cost center and revenue function — does not close through better frameworks. It closes through demonstrated results.</w:t></w:r></w:p><w:p><w:pPr><w:spacing w:before="80" w:after="80"/><w:ind w:left="720"/></w:pPr><w:r><w:rPr><w:rFonts w:ascii="Georgia" w:cs="Georgia" w:eastAsia="Georgia" w:hAnsi="Georgia"/><w:sz w:val="22"/><w:szCs w:val="22"/></w:rPr><w:t xml:space="preserve">You have everything you need. Start.</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DO THIS TODAY: pull your current NRR. Write it down. Everything else follows. 15 minutes. Start.</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gap between cost center and revenue function closes through demonstrated results, not better frameworks. You have what you need.</w:t></w:r></w:p><w:p><w:r><w:t xml:space="preserve"></w:t></w:r></w:p><w:p><w:pPr><w:spacing w:before="60" w:after="60"/><w:ind w:left="360"/></w:pPr><w:r><w:rPr><w:rFonts w:ascii="Arial" w:cs="Arial" w:eastAsia="Arial" w:hAnsi="Arial"/><w:i/><w:iCs/><w:color w:val="6B46C1"/><w:sz w:val="18"/><w:szCs w:val="18"/></w:rPr><w:t xml:space="preserve">[DIRECTION: Direct close. No hedging. 4-second hold.]</w:t></w:r></w:p><w:p><w:r><w:t xml:space="preserve"></w:t></w:r></w:p><w:p><w:pPr><w:pBdr><w:bottom w:val="single" w:color="00A896" w:sz="3" w:space="1"/></w:pBdr><w:spacing w:before="120" w:after="120"/></w:pPr><w:r><w:t xml:space="preserve"></w:t></w:r></w:p><w:p><w:r><w:t xml:space="preserve"></w:t></w:r></w:p><w:p><w:r><w:rPr><w:rFonts w:ascii="Arial" w:cs="Arial" w:eastAsia="Arial" w:hAnsi="Arial"/><w:sz w:val="18"/><w:szCs w:val="18"/></w:rPr><w:t xml:space="preserve">Accent Color: Orange #C2410C  |  Word Count: ~1,560 words  |  Runtime: 9–11 min</w:t></w: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2026-02-20T00:08:50.412Z</dcterms:created>
  <dcterms:modified xsi:type="dcterms:W3CDTF">2026-02-20T00:08:50.412Z</dcterms:modified>
</cp:coreProperties>
</file>

<file path=docProps/custom.xml><?xml version="1.0" encoding="utf-8"?>
<Properties xmlns="http://schemas.openxmlformats.org/officeDocument/2006/custom-properties" xmlns:vt="http://schemas.openxmlformats.org/officeDocument/2006/docPropsVTypes"/>
</file>