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hd w:fill="15803D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9.3 -- TELEPROMPTER -- PROGRAM FINALE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Outcome Architect's Manifesto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THE LIE REVISITED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15803D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OUTCOME ARCHITECT'S MANIFESTO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Return to the program's opening premise. The lie isn't cynical — it's about obligation.]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this program started,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told you your customers are lying to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lie isn't deception.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the gap between what customers report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 they experience.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scores built on what customers tell you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will reflect that gap.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scores built on what customers do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behavioral signals that can't be filtered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through politeness or optimism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will tell you what is actually happening.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what this program has been about.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better tools.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commitment to knowing what is true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about your customers' experience.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Built on evidence.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Tested against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THE 3-PHASE ARCHITECTURE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[1:30]</w:t>
      </w:r>
    </w:p>
    <w:p>
      <w:pPr>
        <w:shd w:fill="15803D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PROGRAM ARCHITECTURE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the three phases as a unified argument. Each phase built what the next required.]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Nine weeks. Three phases.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phase built what the next required.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1: diagnose.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See clearly.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audit. Churn Cascade.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tested against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Uncomfortable accuracy about current state.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2: build.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Construct the operating model.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Save play system. Expansion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Outcome Architect. Digital-first model.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levers you can actually pull.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3: prove.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it visible in the language that funds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Board metrics. CFO investment 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 architecture. Living playbooks.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Diagnose. Build. Prove.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that sequence.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each one depends 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previous one done honestly.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15803D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THE 5 COMMITMENTS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[3:30]</w:t>
      </w:r>
    </w:p>
    <w:p>
      <w:pPr>
        <w:shd w:fill="15803D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OUTCOME ARCHITECT'S MANIFESTO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Read each commitment deliberately. Each should land as a principle worth holding. Longer pauses between commitments.]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Architect's Manifesto.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mission statement.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Operational commitments.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Commitment 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measure what actually predicts,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what's easy to report.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retire vanity metrics the moment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stop predicting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regardless of how long we've tracked them.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Commitment 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intervene at Stage 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Stage 4.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signals were available at Stage 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do not wait for the at-risk conversation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begin at Stage 4.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Commitment 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build expansion from value delivered.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from product features.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before the business outcome is documented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commercial push without earned foundation.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don't do that.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Commitment four: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speak the CFO's language.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CS team's language.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know our cost per retained ARR dollar.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know the NRR compounding delta.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make The Ask with a specific number,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specific return,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specific accountability mechanism.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Commitment five: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build systems that outlast us.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measure of an Outcome Architect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not how much they personally retain and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grow.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how much the system they built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retains and grows after they've moved 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WHAT CHANGES + CCO2GO.AI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[6:00]</w:t>
      </w:r>
    </w:p>
    <w:p>
      <w:pPr>
        <w:shd w:fill="15803D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WHAT CHANGES WHEN THIS WORKS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Ground in specific tangible outcomes. Not inspiration.]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things that change when this works.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Renewal forecast becomes credible.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T-90 prediction, 70% accuracy.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Finance can plan against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CFO stops asking 'how do you know'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you've shown how.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pipeline exists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it didn't before.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CSQL-sourced ARR appears in the growth equation.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improves through expansion,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just churn reduction.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Team operates at the ceiling.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Playbooks propagate top-performer behavior.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Agents eliminate the prep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Capacity reinvested into high-judgment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Budget conversation changes character.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asking for resources.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Offering an investment with documented return.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15803D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CCO2GO.AI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Earned, not promotional. Natural extension of the program's logic.]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 constraints after every program: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 and organizational resistance.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CCO2go.ai exists for both.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Fractional Chief Customer Officer services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Seed through Series C companies.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program you just completed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foundation of what we implement.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need a peer at executive level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build this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the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cco2go.ai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15803D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THE CLOSE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[9:15]</w:t>
      </w:r>
    </w:p>
    <w:p>
      <w:pPr>
        <w:shd w:fill="15803D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THE CLOSE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FINAL CLOSE. Slow. Deliberate. Earned. The most important delivery of all 27 scripts.]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success has spent most of its existence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 defensive posture.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Defending its budget.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Defending its relevance.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arguments that shouldn't need to be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evidence has always been there.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NRR compounding 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CAC comparison.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renewal rate differential.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reason these arguments have to be made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not because the evidence is weak.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because CS has spoken its case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CS language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audiences who decide in revenue language.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gap was never in what CS does.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was in how CS communicates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it does.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gap is closeable.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Architect doesn't ask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be taken seriously.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show up with the NRR compounding table,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save play ROI,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cost per retained ARR dollar,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Ask.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let the numbers make the argument.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done the work to get here.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 go make the argument.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15803D" w:val="clear"/>
        <w:spacing w:before="120" w:after="120"/>
        <w:jc w:val="center"/>
      </w:pPr>
      <w:r>
        <w:rPr>
          <w:rFonts w:ascii="Georgia" w:cs="Georgia" w:eastAsia="Georgia" w:hAnsi="Georgia"/>
          <w:b/>
          <w:bCs/>
          <w:color w:val="FFFFFF"/>
          <w:sz w:val="80"/>
          <w:szCs w:val="80"/>
        </w:rPr>
        <w:t xml:space="preserve">Your customers are no longer lying to you.</w:t>
      </w:r>
    </w:p>
    <w:p>
      <w:pPr>
        <w:shd w:fill="2A2A4A" w:val="clear"/>
        <w:spacing w:before="60" w:after="60"/>
        <w:jc w:val="center"/>
      </w:pPr>
      <w:r>
        <w:rPr>
          <w:rFonts w:ascii="Arial" w:cs="Arial" w:eastAsia="Arial" w:hAnsi="Arial"/>
          <w:b/>
          <w:bCs/>
          <w:color w:val="22C55E"/>
          <w:sz w:val="48"/>
          <w:szCs w:val="48"/>
        </w:rPr>
        <w:t xml:space="preserve">[ HOLD 5 SECONDS — PROGRAM COMPLETE 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2026-02-20T00:12:50.925Z</dcterms:created>
  <dcterms:modified xsi:type="dcterms:W3CDTF">2026-02-20T00:12:50.925Z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