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5803D" w:val="clear"/>
        <w:spacing w:before="0" w:after="80"/>
        <w:jc w:val="center"/>
      </w:pPr>
      <w:r>
        <w:rPr>
          <w:rFonts w:ascii="Arial" w:cs="Arial" w:eastAsia="Arial" w:hAnsi="Arial"/>
          <w:b/>
          <w:bCs/>
          <w:caps/>
          <w:color w:val="FFFFFF"/>
          <w:sz w:val="32"/>
          <w:szCs w:val="32"/>
        </w:rPr>
        <w:t xml:space="preserve">MODULE 9.3 — VIDEO SCRIPT — PROGRAM FINALE</w:t>
      </w:r>
    </w:p>
    <w:p>
      <w:pPr>
        <w:shd w:fill="0F1F4B" w:val="clear"/>
        <w:spacing w:before="0" w:after="200"/>
        <w:jc w:val="center"/>
      </w:pPr>
      <w:r>
        <w:rPr>
          <w:rFonts w:ascii="Georgia" w:cs="Georgia" w:eastAsia="Georgia" w:hAnsi="Georgia"/>
          <w:b/>
          <w:bCs/>
          <w:color w:val="FFFFFF"/>
          <w:sz w:val="36"/>
          <w:szCs w:val="36"/>
        </w:rPr>
        <w:t xml:space="preserve">The Outcome Architect's Manifesto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9.3 — The Outcome Architect's Manifesto (Phase 3 Finale — Full Program Close)</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Phase / Week</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3 — The Proof · Week 9: The Future · PROGRAM COMPLETE</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Shane James — CCO2go.ai</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10–12 minutes</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Green #15803D</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Synthesis of entire program + book close + CCO2go.ai bridge</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1 — COLD OPEN: THE LIE</w:t>
      </w:r>
    </w:p>
    <w:p>
      <w:pPr>
        <w:spacing w:before="80" w:after="40"/>
      </w:pPr>
      <w:r>
        <w:rPr>
          <w:rFonts w:ascii="Courier New" w:cs="Courier New" w:eastAsia="Courier New" w:hAnsi="Courier New"/>
          <w:b/>
          <w:bCs/>
          <w:color w:val="F4A000"/>
          <w:sz w:val="20"/>
          <w:szCs w:val="20"/>
        </w:rPr>
        <w:t xml:space="preserve">[0:00–1:30]</w:t>
      </w:r>
    </w:p>
    <w:p>
      <w:r>
        <w:t xml:space="preserve"/>
      </w:r>
    </w:p>
    <w:p>
      <w:pPr>
        <w:spacing w:before="60" w:after="60"/>
        <w:ind w:left="360"/>
      </w:pPr>
      <w:r>
        <w:rPr>
          <w:rFonts w:ascii="Arial" w:cs="Arial" w:eastAsia="Arial" w:hAnsi="Arial"/>
          <w:i/>
          <w:iCs/>
          <w:color w:val="6B46C1"/>
          <w:sz w:val="18"/>
          <w:szCs w:val="18"/>
        </w:rPr>
        <w:t xml:space="preserve">[DIRECTION: The program title is 'Your Customers Are Lying to You.' This finale should return to that opening premise and reveal what the lie was actually about. It's not cynical — it's about what customers can't tell you directly and what that obligation creates.]</w:t>
      </w:r>
    </w:p>
    <w:p>
      <w:r>
        <w:t xml:space="preserve"/>
      </w:r>
    </w:p>
    <w:p>
      <w:pPr>
        <w:spacing w:before="80" w:after="80"/>
        <w:ind w:left="720"/>
      </w:pPr>
      <w:r>
        <w:rPr>
          <w:rFonts w:ascii="Georgia" w:cs="Georgia" w:eastAsia="Georgia" w:hAnsi="Georgia"/>
          <w:sz w:val="22"/>
          <w:szCs w:val="22"/>
        </w:rPr>
        <w:t xml:space="preserve">When this program started, I told you your customers are lying to you. I want to revisit that claim now that we've spent nine weeks building the infrastructure to do something about it.</w:t>
      </w:r>
    </w:p>
    <w:p>
      <w:pPr>
        <w:spacing w:before="80" w:after="80"/>
        <w:ind w:left="720"/>
      </w:pPr>
      <w:r>
        <w:rPr>
          <w:rFonts w:ascii="Georgia" w:cs="Georgia" w:eastAsia="Georgia" w:hAnsi="Georgia"/>
          <w:sz w:val="22"/>
          <w:szCs w:val="22"/>
        </w:rPr>
        <w:t xml:space="preserve">The lie isn't deception. Customers aren't malicious. When a customer tells you 'everything is fine' three months before churning, they're not lying to protect themselves from you. They're reporting their experience accurately — the experience of someone who hasn't yet felt the specific friction that will drive their renewal decision, or who has felt it and hasn't found the words to name it, or who has named it internally and doesn't believe you can or will address it.</w:t>
      </w:r>
    </w:p>
    <w:p>
      <w:pPr>
        <w:spacing w:before="80" w:after="80"/>
        <w:ind w:left="720"/>
      </w:pPr>
      <w:r>
        <w:rPr>
          <w:rFonts w:ascii="Georgia" w:cs="Georgia" w:eastAsia="Georgia" w:hAnsi="Georgia"/>
          <w:sz w:val="22"/>
          <w:szCs w:val="22"/>
        </w:rPr>
        <w:t xml:space="preserve">The lie is the gap between what customers report and what they experience. Health scores built on what customers tell you will reflect that gap. Health scores built on what customers do — behavioral signals that can't be filtered through politeness or optimism — will tell you what the customer is actually experiencing.</w:t>
      </w:r>
    </w:p>
    <w:p>
      <w:pPr>
        <w:spacing w:before="80" w:after="80"/>
        <w:ind w:left="720"/>
      </w:pPr>
      <w:r>
        <w:rPr>
          <w:rFonts w:ascii="Georgia" w:cs="Georgia" w:eastAsia="Georgia" w:hAnsi="Georgia"/>
          <w:sz w:val="22"/>
          <w:szCs w:val="22"/>
        </w:rPr>
        <w:t xml:space="preserve">That's what this program has been about. Not just better tools. Not just better processes. A fundamentally different epistemological position — a commitment to knowing what is actually happening in your customer base, not what feels good to report, not what CSMs prefer to believe, not what customers say in QBR check-ins where both parties have incentives to be positive.</w:t>
      </w:r>
    </w:p>
    <w:p>
      <w:pPr>
        <w:spacing w:before="80" w:after="80"/>
        <w:ind w:left="720"/>
      </w:pPr>
      <w:r>
        <w:rPr>
          <w:rFonts w:ascii="Georgia" w:cs="Georgia" w:eastAsia="Georgia" w:hAnsi="Georgia"/>
          <w:sz w:val="22"/>
          <w:szCs w:val="22"/>
        </w:rPr>
        <w:t xml:space="preserve">What is actually true about your customers' experience. Built on evidence. Tested against outcomes. Improved by what actually works.</w:t>
      </w:r>
    </w:p>
    <w:p>
      <w:pPr>
        <w:spacing w:before="80" w:after="80"/>
        <w:ind w:left="720"/>
      </w:pPr>
      <w:r>
        <w:rPr>
          <w:rFonts w:ascii="Georgia" w:cs="Georgia" w:eastAsia="Georgia" w:hAnsi="Georgia"/>
          <w:sz w:val="22"/>
          <w:szCs w:val="22"/>
        </w:rPr>
        <w:t xml:space="preserve">That commitment is the Outcome Architect's foundation.</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MODULE 9.3 — The Outcome Architect's Manifesto</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lie: not malicious deception. The gap between what customers report and what they experience. Health scores built on behavior, not self-report.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This program: a commitment to knowing what is actually true about your customers. Built on evidence. Tested against outcomes.</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2 — THE ARCHITECTURE OF THE PROGRAM</w:t>
      </w:r>
    </w:p>
    <w:p>
      <w:pPr>
        <w:spacing w:before="80" w:after="40"/>
      </w:pPr>
      <w:r>
        <w:rPr>
          <w:rFonts w:ascii="Courier New" w:cs="Courier New" w:eastAsia="Courier New" w:hAnsi="Courier New"/>
          <w:b/>
          <w:bCs/>
          <w:color w:val="F4A000"/>
          <w:sz w:val="20"/>
          <w:szCs w:val="20"/>
        </w:rPr>
        <w:t xml:space="preserve">[1:30–3:30]</w:t>
      </w:r>
    </w:p>
    <w:p>
      <w:r>
        <w:t xml:space="preserve"/>
      </w:r>
    </w:p>
    <w:p>
      <w:pPr>
        <w:spacing w:before="60" w:after="60"/>
        <w:ind w:left="360"/>
      </w:pPr>
      <w:r>
        <w:rPr>
          <w:rFonts w:ascii="Arial" w:cs="Arial" w:eastAsia="Arial" w:hAnsi="Arial"/>
          <w:i/>
          <w:iCs/>
          <w:color w:val="6B46C1"/>
          <w:sz w:val="18"/>
          <w:szCs w:val="18"/>
        </w:rPr>
        <w:t xml:space="preserve">[DIRECTION: Walk the three-phase architecture as a unified argument, not a list of modules. Each phase built something specific that the next phase required.]</w:t>
      </w:r>
    </w:p>
    <w:p>
      <w:r>
        <w:t xml:space="preserve"/>
      </w:r>
    </w:p>
    <w:p>
      <w:pPr>
        <w:spacing w:before="80" w:after="80"/>
        <w:ind w:left="720"/>
      </w:pPr>
      <w:r>
        <w:rPr>
          <w:rFonts w:ascii="Georgia" w:cs="Georgia" w:eastAsia="Georgia" w:hAnsi="Georgia"/>
          <w:sz w:val="22"/>
          <w:szCs w:val="22"/>
        </w:rPr>
        <w:t xml:space="preserve">Nine weeks of content. Three phases. Each phase built something the next one required.</w:t>
      </w:r>
    </w:p>
    <w:p>
      <w:pPr>
        <w:spacing w:before="80" w:after="80"/>
        <w:ind w:left="720"/>
      </w:pPr>
      <w:r>
        <w:rPr>
          <w:rFonts w:ascii="Georgia" w:cs="Georgia" w:eastAsia="Georgia" w:hAnsi="Georgia"/>
          <w:sz w:val="22"/>
          <w:szCs w:val="22"/>
        </w:rPr>
        <w:t xml:space="preserve">Phase 1 was diagnosis. The first 30 days were about seeing clearly. Not optimistically — clearly. The NRR audit. The Churn Cascade. The Churn Driver Analysis. The health score you tested against actual outcomes. The Value Perception Gap between what customers think they're getting and what your team thinks they're delivering. Phase 1 gave you accurate data about your current state. That accuracy was uncomfortable for some of what it revealed.</w:t>
      </w:r>
    </w:p>
    <w:p>
      <w:pPr>
        <w:spacing w:before="80" w:after="80"/>
        <w:ind w:left="720"/>
      </w:pPr>
      <w:r>
        <w:rPr>
          <w:rFonts w:ascii="Georgia" w:cs="Georgia" w:eastAsia="Georgia" w:hAnsi="Georgia"/>
          <w:sz w:val="22"/>
          <w:szCs w:val="22"/>
        </w:rPr>
        <w:t xml:space="preserve">Phase 2 was construction. The next 30 days were about building the operating model that changes what the data shows. The save play system. The Value Proof Conversation. The Expansion Staircase. The Outcome Architect role design. The digital-first engagement model that scales human expertise without exhausting human capacity. Phase 2 gave you the mechanisms. The levers you can actually pull.</w:t>
      </w:r>
    </w:p>
    <w:p>
      <w:pPr>
        <w:spacing w:before="80" w:after="80"/>
        <w:ind w:left="720"/>
      </w:pPr>
      <w:r>
        <w:rPr>
          <w:rFonts w:ascii="Georgia" w:cs="Georgia" w:eastAsia="Georgia" w:hAnsi="Georgia"/>
          <w:sz w:val="22"/>
          <w:szCs w:val="22"/>
        </w:rPr>
        <w:t xml:space="preserve">Phase 3 was proof. The final 30 days were about making the work visible in the language that funds it. Health scores that predict, not decorate. Board-ready CS metrics that speak CFO language. The CFO investment case with a specific ROI calculation. The agent architecture that scales the operating model. The playbooks that turn best-performer behavior into team-wide practice. Phase 3 gave you the evidence and the language to make the case.</w:t>
      </w:r>
    </w:p>
    <w:p>
      <w:pPr>
        <w:spacing w:before="80" w:after="80"/>
        <w:ind w:left="720"/>
      </w:pPr>
      <w:r>
        <w:rPr>
          <w:rFonts w:ascii="Georgia" w:cs="Georgia" w:eastAsia="Georgia" w:hAnsi="Georgia"/>
          <w:sz w:val="22"/>
          <w:szCs w:val="22"/>
        </w:rPr>
        <w:t xml:space="preserve">Diagnosis. Construction. Proof. In that sequence, because each one depends on the previous one being done honestly.</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PHASE 1 — DIAGNOSE: See clearly. NRR audit, Churn Cascade, health score validation. Uncomfortable accuracy about current state.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PHASE 2 — BUILD: Construct the operating model. Save play system, Expansion Staircase, Outcome Architect, digital-first model. The levers.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PHASE 3 — PROVE: Make it visible in the language that funds it. Board metrics, CFO investment case, agent architecture, living playbooks.</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3 — THE OUTCOME ARCHITECT'S COMMITMENTS</w:t>
      </w:r>
    </w:p>
    <w:p>
      <w:pPr>
        <w:spacing w:before="80" w:after="40"/>
      </w:pPr>
      <w:r>
        <w:rPr>
          <w:rFonts w:ascii="Courier New" w:cs="Courier New" w:eastAsia="Courier New" w:hAnsi="Courier New"/>
          <w:b/>
          <w:bCs/>
          <w:color w:val="F4A000"/>
          <w:sz w:val="20"/>
          <w:szCs w:val="20"/>
        </w:rPr>
        <w:t xml:space="preserve">[3:30–6:00]</w:t>
      </w:r>
    </w:p>
    <w:p>
      <w:r>
        <w:t xml:space="preserve"/>
      </w:r>
    </w:p>
    <w:p>
      <w:pPr>
        <w:spacing w:before="60" w:after="60"/>
        <w:ind w:left="360"/>
      </w:pPr>
      <w:r>
        <w:rPr>
          <w:rFonts w:ascii="Arial" w:cs="Arial" w:eastAsia="Arial" w:hAnsi="Arial"/>
          <w:i/>
          <w:iCs/>
          <w:color w:val="6B46C1"/>
          <w:sz w:val="18"/>
          <w:szCs w:val="18"/>
        </w:rPr>
        <w:t xml:space="preserve">[DIRECTION: These are the manifesto commitments. Read them deliberately. Each one should land as a principle worth holding.]</w:t>
      </w:r>
    </w:p>
    <w:p>
      <w:r>
        <w:t xml:space="preserve"/>
      </w:r>
    </w:p>
    <w:p>
      <w:pPr>
        <w:spacing w:before="80" w:after="80"/>
        <w:ind w:left="720"/>
      </w:pPr>
      <w:r>
        <w:rPr>
          <w:rFonts w:ascii="Georgia" w:cs="Georgia" w:eastAsia="Georgia" w:hAnsi="Georgia"/>
          <w:sz w:val="22"/>
          <w:szCs w:val="22"/>
        </w:rPr>
        <w:t xml:space="preserve">The Outcome Architect's Manifesto is not a mission statement. It's a set of operational commitments — the specific ways an Outcome Architect thinks and acts differently from a Customer Success Manager operating in the traditional model.</w:t>
      </w:r>
    </w:p>
    <w:p>
      <w:r>
        <w:t xml:space="preserve"/>
      </w:r>
    </w:p>
    <w:p>
      <w:pPr>
        <w:spacing w:before="80" w:after="80"/>
        <w:ind w:left="720"/>
      </w:pPr>
      <w:r>
        <w:rPr>
          <w:rFonts w:ascii="Georgia" w:cs="Georgia" w:eastAsia="Georgia" w:hAnsi="Georgia"/>
          <w:sz w:val="22"/>
          <w:szCs w:val="22"/>
        </w:rPr>
        <w:t xml:space="preserve">Commitment one: We measure what actually predicts, not what's easy to report. Health scores built on behavioral signals that correlate with renewal outcomes. Metrics that speak the language of capital allocation, not customer satisfaction. We retire vanity metrics the moment they stop predicting — regardless of how long we've been tracking them.</w:t>
      </w:r>
    </w:p>
    <w:p>
      <w:r>
        <w:t xml:space="preserve"/>
      </w:r>
    </w:p>
    <w:p>
      <w:pPr>
        <w:spacing w:before="80" w:after="80"/>
        <w:ind w:left="720"/>
      </w:pPr>
      <w:r>
        <w:rPr>
          <w:rFonts w:ascii="Georgia" w:cs="Georgia" w:eastAsia="Georgia" w:hAnsi="Georgia"/>
          <w:sz w:val="22"/>
          <w:szCs w:val="22"/>
        </w:rPr>
        <w:t xml:space="preserve">Commitment two: We intervene before the Cascade, not after it. The purpose of the health score, the agents, and the playbooks is to generate action at Stage 2 — when intervention is most effective and least expensive. We do not wait for the at-risk conversation to begin at Stage 4 because the signals were available at Stage 2 and we didn't act on them.</w:t>
      </w:r>
    </w:p>
    <w:p>
      <w:r>
        <w:t xml:space="preserve"/>
      </w:r>
    </w:p>
    <w:p>
      <w:pPr>
        <w:spacing w:before="80" w:after="80"/>
        <w:ind w:left="720"/>
      </w:pPr>
      <w:r>
        <w:rPr>
          <w:rFonts w:ascii="Georgia" w:cs="Georgia" w:eastAsia="Georgia" w:hAnsi="Georgia"/>
          <w:sz w:val="22"/>
          <w:szCs w:val="22"/>
        </w:rPr>
        <w:t xml:space="preserve">Commitment three: We build expansion from value delivered, not from product features. The Expansion Staircase begins at Stage 5 of the Onboarding Waterfall — after the business outcome is documented. Expansion conversations that happen before the customer has documented a business outcome are commercial pushes without earned foundation. We don't do that.</w:t>
      </w:r>
    </w:p>
    <w:p>
      <w:r>
        <w:t xml:space="preserve"/>
      </w:r>
    </w:p>
    <w:p>
      <w:pPr>
        <w:spacing w:before="80" w:after="80"/>
        <w:ind w:left="720"/>
      </w:pPr>
      <w:r>
        <w:rPr>
          <w:rFonts w:ascii="Georgia" w:cs="Georgia" w:eastAsia="Georgia" w:hAnsi="Georgia"/>
          <w:sz w:val="22"/>
          <w:szCs w:val="22"/>
        </w:rPr>
        <w:t xml:space="preserve">Commitment four: We speak the CFO's language, not the CS team's language. Every metric we bring to leadership has been translated through the revenue lens. We know our cost per retained-and-grown ARR dollar. We know the NRR compounding delta at Year 3. We make The Ask with a specific number, a specific return, and a specific accountability mechanism. We don't wait to be asked what value CS delivers — we tell them before they can wonder.</w:t>
      </w:r>
    </w:p>
    <w:p>
      <w:r>
        <w:t xml:space="preserve"/>
      </w:r>
    </w:p>
    <w:p>
      <w:pPr>
        <w:spacing w:before="80" w:after="80"/>
        <w:ind w:left="720"/>
      </w:pPr>
      <w:r>
        <w:rPr>
          <w:rFonts w:ascii="Georgia" w:cs="Georgia" w:eastAsia="Georgia" w:hAnsi="Georgia"/>
          <w:sz w:val="22"/>
          <w:szCs w:val="22"/>
        </w:rPr>
        <w:t xml:space="preserve">Commitment five: We build systems that outlast us. The playbooks, the health score model, the agent architecture, the onboarding waterfall — these are institutional infrastructure, not individual CSM practice. The measure of an Outcome Architect is not how much they personally retain and grow. It's how much the system they built retains and grows after they've moved to the next challenge.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5 COMMITMENTS: (1) Measure what predicts, not what's easy · (2) Intervene at Stage 2, not Stage 4 · (3) Expand from value delivered, not product features · (4) Speak CFO language, not CS language · (5) Build systems that outlast you</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4 — WHAT CHANGES WHEN THIS WORKS</w:t>
      </w:r>
    </w:p>
    <w:p>
      <w:pPr>
        <w:spacing w:before="80" w:after="40"/>
      </w:pPr>
      <w:r>
        <w:rPr>
          <w:rFonts w:ascii="Courier New" w:cs="Courier New" w:eastAsia="Courier New" w:hAnsi="Courier New"/>
          <w:b/>
          <w:bCs/>
          <w:color w:val="F4A000"/>
          <w:sz w:val="20"/>
          <w:szCs w:val="20"/>
        </w:rPr>
        <w:t xml:space="preserve">[6:00–7:45]</w:t>
      </w:r>
    </w:p>
    <w:p>
      <w:r>
        <w:t xml:space="preserve"/>
      </w:r>
    </w:p>
    <w:p>
      <w:pPr>
        <w:spacing w:before="60" w:after="60"/>
        <w:ind w:left="360"/>
      </w:pPr>
      <w:r>
        <w:rPr>
          <w:rFonts w:ascii="Arial" w:cs="Arial" w:eastAsia="Arial" w:hAnsi="Arial"/>
          <w:i/>
          <w:iCs/>
          <w:color w:val="6B46C1"/>
          <w:sz w:val="18"/>
          <w:szCs w:val="18"/>
        </w:rPr>
        <w:t xml:space="preserve">[DIRECTION: This section is about the tangible organizational changes that happen when the program is implemented. Ground it in specific outcomes, not inspiration.]</w:t>
      </w:r>
    </w:p>
    <w:p>
      <w:r>
        <w:t xml:space="preserve"/>
      </w:r>
    </w:p>
    <w:p>
      <w:pPr>
        <w:spacing w:before="80" w:after="80"/>
        <w:ind w:left="720"/>
      </w:pPr>
      <w:r>
        <w:rPr>
          <w:rFonts w:ascii="Georgia" w:cs="Georgia" w:eastAsia="Georgia" w:hAnsi="Georgia"/>
          <w:sz w:val="22"/>
          <w:szCs w:val="22"/>
        </w:rPr>
        <w:t xml:space="preserve">I want to be concrete about what changes when this works — because 'transform your CS organization' is the kind of statement that sounds like marketing until you name the specific things that are different.</w:t>
      </w:r>
    </w:p>
    <w:p>
      <w:pPr>
        <w:spacing w:before="80" w:after="80"/>
        <w:ind w:left="720"/>
      </w:pPr>
      <w:r>
        <w:rPr>
          <w:rFonts w:ascii="Georgia" w:cs="Georgia" w:eastAsia="Georgia" w:hAnsi="Georgia"/>
          <w:sz w:val="22"/>
          <w:szCs w:val="22"/>
        </w:rPr>
        <w:t xml:space="preserve">Your renewal forecast becomes credible. When health scores predict at T-90 with better than 70 percent accuracy, when the Churn Prediction Agent fires at Stage 2, when the save play system has a documented recovery rate — your renewal forecast is no longer optimistic self-reporting. It is a data-based prediction that finance and leadership can plan against. The CFO stops asking 'how do you know' because you've shown how you know.</w:t>
      </w:r>
    </w:p>
    <w:p>
      <w:pPr>
        <w:spacing w:before="80" w:after="80"/>
        <w:ind w:left="720"/>
      </w:pPr>
      <w:r>
        <w:rPr>
          <w:rFonts w:ascii="Georgia" w:cs="Georgia" w:eastAsia="Georgia" w:hAnsi="Georgia"/>
          <w:sz w:val="22"/>
          <w:szCs w:val="22"/>
        </w:rPr>
        <w:t xml:space="preserve">Your expansion pipeline exists where it didn't before. The CSQL pipeline generated by the Qualification Agent and the Expansion Staircase creates an expansion revenue stream that was previously invisible in your reporting. NRR improves not just because churn decreases, but because expansion ARR from existing accounts — at 3 to 5 times lower cost than new logo ARR — starts appearing in the growth equation.</w:t>
      </w:r>
    </w:p>
    <w:p>
      <w:pPr>
        <w:spacing w:before="80" w:after="80"/>
        <w:ind w:left="720"/>
      </w:pPr>
      <w:r>
        <w:rPr>
          <w:rFonts w:ascii="Georgia" w:cs="Georgia" w:eastAsia="Georgia" w:hAnsi="Georgia"/>
          <w:sz w:val="22"/>
          <w:szCs w:val="22"/>
        </w:rPr>
        <w:t xml:space="preserve">Your team operates at the ceiling, not the average. When the living playbooks capture top-performer behavior and propagate it across the team, when the agents eliminate the 3 to 5 hours of weekly meeting prep, when the digital-first model provides consistent touchpoints that don't require CSM manual execution — the capacity that gets freed is reinvested into the high-judgment work that only humans can do. The ceiling of what your team is capable of rises because the floor of what everyone is doing has risen.</w:t>
      </w:r>
    </w:p>
    <w:p>
      <w:pPr>
        <w:spacing w:before="80" w:after="80"/>
        <w:ind w:left="720"/>
      </w:pPr>
      <w:r>
        <w:rPr>
          <w:rFonts w:ascii="Georgia" w:cs="Georgia" w:eastAsia="Georgia" w:hAnsi="Georgia"/>
          <w:sz w:val="22"/>
          <w:szCs w:val="22"/>
        </w:rPr>
        <w:t xml:space="preserve">The budget conversation changes character. When you walk into the CFO meeting with a specific cost per retained-and-grown ARR dollar, a save play ROI calculation, and a specific capital deployment request with a projected 3x return in Year 1 — you are not asking for resources. You are offering an investment with a documented return. That is a different conversation with a different outcome.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WHAT CHANGES: (1) Renewal forecast becomes credible — data-based, T-90 accuracy, finance can plan against it · (2) Expansion pipeline exists — NRR improves through CSQL-sourced expansion, not just churn reduction · (3) Team operates at the ceiling — playbooks propagate top performance, agents free capacity · (4) Budget conversation changes character — investment with documented return, not resource request</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5 — THE CCO2GO.AI BRIDGE</w:t>
      </w:r>
    </w:p>
    <w:p>
      <w:pPr>
        <w:spacing w:before="80" w:after="40"/>
      </w:pPr>
      <w:r>
        <w:rPr>
          <w:rFonts w:ascii="Courier New" w:cs="Courier New" w:eastAsia="Courier New" w:hAnsi="Courier New"/>
          <w:b/>
          <w:bCs/>
          <w:color w:val="F4A000"/>
          <w:sz w:val="20"/>
          <w:szCs w:val="20"/>
        </w:rPr>
        <w:t xml:space="preserve">[7:45–9:15]</w:t>
      </w:r>
    </w:p>
    <w:p>
      <w:r>
        <w:t xml:space="preserve"/>
      </w:r>
    </w:p>
    <w:p>
      <w:pPr>
        <w:spacing w:before="60" w:after="60"/>
        <w:ind w:left="360"/>
      </w:pPr>
      <w:r>
        <w:rPr>
          <w:rFonts w:ascii="Arial" w:cs="Arial" w:eastAsia="Arial" w:hAnsi="Arial"/>
          <w:i/>
          <w:iCs/>
          <w:color w:val="6B46C1"/>
          <w:sz w:val="18"/>
          <w:szCs w:val="18"/>
        </w:rPr>
        <w:t xml:space="preserve">[DIRECTION: This is the CCO2go.ai positioning segment — where Shane bridges from the program content to the services that help CS leaders implement. Keep it earned, not promotional. It should feel like a natural extension of the program's logic, not a pitch.]</w:t>
      </w:r>
    </w:p>
    <w:p>
      <w:r>
        <w:t xml:space="preserve"/>
      </w:r>
    </w:p>
    <w:p>
      <w:pPr>
        <w:spacing w:before="80" w:after="80"/>
        <w:ind w:left="720"/>
      </w:pPr>
      <w:r>
        <w:rPr>
          <w:rFonts w:ascii="Georgia" w:cs="Georgia" w:eastAsia="Georgia" w:hAnsi="Georgia"/>
          <w:sz w:val="22"/>
          <w:szCs w:val="22"/>
        </w:rPr>
        <w:t xml:space="preserve">I want to say something about what happens after this module ends — and about the gap that most CS leaders will face between finishing this program and having everything in it fully operational.</w:t>
      </w:r>
    </w:p>
    <w:p>
      <w:pPr>
        <w:spacing w:before="80" w:after="80"/>
        <w:ind w:left="720"/>
      </w:pPr>
      <w:r>
        <w:rPr>
          <w:rFonts w:ascii="Georgia" w:cs="Georgia" w:eastAsia="Georgia" w:hAnsi="Georgia"/>
          <w:sz w:val="22"/>
          <w:szCs w:val="22"/>
        </w:rPr>
        <w:t xml:space="preserve">The 90-Day War Plan from Module 9.2 gives you the sprint structure. But most CS leaders who go through a program like this face two specific constraints when they try to implement it: time and organizational resistance.</w:t>
      </w:r>
    </w:p>
    <w:p>
      <w:pPr>
        <w:spacing w:before="80" w:after="80"/>
        <w:ind w:left="720"/>
      </w:pPr>
      <w:r>
        <w:rPr>
          <w:rFonts w:ascii="Georgia" w:cs="Georgia" w:eastAsia="Georgia" w:hAnsi="Georgia"/>
          <w:sz w:val="22"/>
          <w:szCs w:val="22"/>
        </w:rPr>
        <w:t xml:space="preserve">Time: a CS leader running a portfolio of accounts, managing a team, and handling the operational demands of the role has approximately zero spare hours per week to also build the CFO investment case, validate the health score model, design the agent trigger conditions, and write the Stage 2 save play playbook. The program knowledge exists. The implementation capacity doesn't.</w:t>
      </w:r>
    </w:p>
    <w:p>
      <w:pPr>
        <w:spacing w:before="80" w:after="80"/>
        <w:ind w:left="720"/>
      </w:pPr>
      <w:r>
        <w:rPr>
          <w:rFonts w:ascii="Georgia" w:cs="Georgia" w:eastAsia="Georgia" w:hAnsi="Georgia"/>
          <w:sz w:val="22"/>
          <w:szCs w:val="22"/>
        </w:rPr>
        <w:t xml:space="preserve">Organizational resistance: the transition from CS-as-cost-center to CS-as-revenue-function requires changing how leadership above CS thinks about the function. That change doesn't happen through a single board deck presentation. It happens through sustained, consistent revenue language — over months, in multiple conversations, with increasing proof points. Most CS leaders don't have a peer in the organization who has made this transition and can accelerate the learning.</w:t>
      </w:r>
    </w:p>
    <w:p>
      <w:pPr>
        <w:spacing w:before="80" w:after="80"/>
        <w:ind w:left="720"/>
      </w:pPr>
      <w:r>
        <w:rPr>
          <w:rFonts w:ascii="Georgia" w:cs="Georgia" w:eastAsia="Georgia" w:hAnsi="Georgia"/>
          <w:sz w:val="22"/>
          <w:szCs w:val="22"/>
        </w:rPr>
        <w:t xml:space="preserve">CCO2go.ai exists for both of those constraints. Fractional Chief Customer Officer services — executive-level CS leadership on a part-time basis for companies in the Seed through Series C stage who need the CS infrastructure built but can't yet justify a full-time CCO hire. The work in this program is the foundation of what CCO2go.ai implements with clients.</w:t>
      </w:r>
    </w:p>
    <w:p>
      <w:pPr>
        <w:spacing w:before="80" w:after="80"/>
        <w:ind w:left="720"/>
      </w:pPr>
      <w:r>
        <w:rPr>
          <w:rFonts w:ascii="Georgia" w:cs="Georgia" w:eastAsia="Georgia" w:hAnsi="Georgia"/>
          <w:sz w:val="22"/>
          <w:szCs w:val="22"/>
        </w:rPr>
        <w:t xml:space="preserve">If you're building this in a company that doesn't yet have a CS function at executive level — if you're the most senior CS voice in the room and you need a peer at that level to think through the build — that's the conversation CCO2go.ai exists to have.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CCO2go.ai: Fractional Chief Customer Officer services for Seed–Series C companies. The program you just completed is the foundation of what we implement.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Two constraints after any program: time and organizational resistance. CCO2go.ai addresses both. The conversation starts at cco2go.ai.</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6 — THE CLOSE</w:t>
      </w:r>
    </w:p>
    <w:p>
      <w:pPr>
        <w:spacing w:before="80" w:after="40"/>
      </w:pPr>
      <w:r>
        <w:rPr>
          <w:rFonts w:ascii="Courier New" w:cs="Courier New" w:eastAsia="Courier New" w:hAnsi="Courier New"/>
          <w:b/>
          <w:bCs/>
          <w:color w:val="F4A000"/>
          <w:sz w:val="20"/>
          <w:szCs w:val="20"/>
        </w:rPr>
        <w:t xml:space="preserve">[9:15–11:00]</w:t>
      </w:r>
    </w:p>
    <w:p>
      <w:r>
        <w:t xml:space="preserve"/>
      </w:r>
    </w:p>
    <w:p>
      <w:pPr>
        <w:spacing w:before="60" w:after="60"/>
        <w:ind w:left="360"/>
      </w:pPr>
      <w:r>
        <w:rPr>
          <w:rFonts w:ascii="Arial" w:cs="Arial" w:eastAsia="Arial" w:hAnsi="Arial"/>
          <w:i/>
          <w:iCs/>
          <w:color w:val="6B46C1"/>
          <w:sz w:val="18"/>
          <w:szCs w:val="18"/>
        </w:rPr>
        <w:t xml:space="preserve">[DIRECTION: The final close for the entire program. This should be the most carefully delivered segment of all 27 scripts. Slow. Deliberate. Earned. Not inspiring — true.]</w:t>
      </w:r>
    </w:p>
    <w:p>
      <w:r>
        <w:t xml:space="preserve"/>
      </w:r>
    </w:p>
    <w:p>
      <w:pPr>
        <w:spacing w:before="80" w:after="80"/>
        <w:ind w:left="720"/>
      </w:pPr>
      <w:r>
        <w:rPr>
          <w:rFonts w:ascii="Georgia" w:cs="Georgia" w:eastAsia="Georgia" w:hAnsi="Georgia"/>
          <w:sz w:val="22"/>
          <w:szCs w:val="22"/>
        </w:rPr>
        <w:t xml:space="preserve">This is the final segment of the final module of a nine-week program. I want to close with something that isn't a framework or an action item.</w:t>
      </w:r>
    </w:p>
    <w:p>
      <w:pPr>
        <w:spacing w:before="80" w:after="80"/>
        <w:ind w:left="720"/>
      </w:pPr>
      <w:r>
        <w:rPr>
          <w:rFonts w:ascii="Georgia" w:cs="Georgia" w:eastAsia="Georgia" w:hAnsi="Georgia"/>
          <w:sz w:val="22"/>
          <w:szCs w:val="22"/>
        </w:rPr>
        <w:t xml:space="preserve">Customer success has spent most of its existence in a defensive posture. Defending its budget. Defending its relevance. Defending the assertion that the post-sale experience of customers matters to the health of the business. These are arguments that shouldn't need to be made. The evidence has always been there — in the NRR compounding table, in the CAC-to-expansion cost comparison, in the renewal rate differential between customers who achieved outcomes and customers who didn't.</w:t>
      </w:r>
    </w:p>
    <w:p>
      <w:pPr>
        <w:spacing w:before="80" w:after="80"/>
        <w:ind w:left="720"/>
      </w:pPr>
      <w:r>
        <w:rPr>
          <w:rFonts w:ascii="Georgia" w:cs="Georgia" w:eastAsia="Georgia" w:hAnsi="Georgia"/>
          <w:sz w:val="22"/>
          <w:szCs w:val="22"/>
        </w:rPr>
        <w:t xml:space="preserve">The reason these arguments have to be made is not because the evidence is weak. It's because CS has historically spoken its case in CS language to audiences who make decisions in revenue language. The gap was never in what CS does. It was in how CS communicates what it does.</w:t>
      </w:r>
    </w:p>
    <w:p>
      <w:pPr>
        <w:spacing w:before="80" w:after="80"/>
        <w:ind w:left="720"/>
      </w:pPr>
      <w:r>
        <w:rPr>
          <w:rFonts w:ascii="Georgia" w:cs="Georgia" w:eastAsia="Georgia" w:hAnsi="Georgia"/>
          <w:sz w:val="22"/>
          <w:szCs w:val="22"/>
        </w:rPr>
        <w:t xml:space="preserve">That gap is closeable. The tools in this program are the tools that close it. Not by making CS seem more important than it is — by making visible what CS actually generates, in terms that the people who fund it can immediately understand.</w:t>
      </w:r>
    </w:p>
    <w:p>
      <w:pPr>
        <w:spacing w:before="80" w:after="80"/>
        <w:ind w:left="720"/>
      </w:pPr>
      <w:r>
        <w:rPr>
          <w:rFonts w:ascii="Georgia" w:cs="Georgia" w:eastAsia="Georgia" w:hAnsi="Georgia"/>
          <w:sz w:val="22"/>
          <w:szCs w:val="22"/>
        </w:rPr>
        <w:t xml:space="preserve">The Outcome Architect doesn't ask to be taken seriously. The Outcome Architect shows up with the NRR compounding table, the save play ROI, the cost per retained ARR dollar, and The Ask — and lets the numbers make the argument.</w:t>
      </w:r>
    </w:p>
    <w:p>
      <w:pPr>
        <w:spacing w:before="80" w:after="80"/>
        <w:ind w:left="720"/>
      </w:pPr>
      <w:r>
        <w:rPr>
          <w:rFonts w:ascii="Georgia" w:cs="Georgia" w:eastAsia="Georgia" w:hAnsi="Georgia"/>
          <w:sz w:val="22"/>
          <w:szCs w:val="22"/>
        </w:rPr>
        <w:t xml:space="preserve">You've done the work to get here. Now go make the argument.</w:t>
      </w:r>
    </w:p>
    <w:p>
      <w:pPr>
        <w:spacing w:before="80" w:after="80"/>
        <w:ind w:left="720"/>
      </w:pPr>
      <w:r>
        <w:rPr>
          <w:rFonts w:ascii="Georgia" w:cs="Georgia" w:eastAsia="Georgia" w:hAnsi="Georgia"/>
          <w:sz w:val="22"/>
          <w:szCs w:val="22"/>
        </w:rPr>
        <w:t xml:space="preserve">Your customers are no longer lying to you.</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CS has always had the evidence. It hasn't always spoken in the language that funds it. The gap was never in what CS does — it was in how CS communicates what it does.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Outcome Architect doesn't ask to be taken seriously. They show up with the numbers and let them make the argument.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Your customers are no longer lying to you.</w:t>
      </w:r>
    </w:p>
    <w:p>
      <w:r>
        <w:t xml:space="preserve"/>
      </w:r>
    </w:p>
    <w:p>
      <w:pPr>
        <w:spacing w:before="60" w:after="60"/>
        <w:ind w:left="360"/>
      </w:pPr>
      <w:r>
        <w:rPr>
          <w:rFonts w:ascii="Arial" w:cs="Arial" w:eastAsia="Arial" w:hAnsi="Arial"/>
          <w:i/>
          <w:iCs/>
          <w:color w:val="6B46C1"/>
          <w:sz w:val="18"/>
          <w:szCs w:val="18"/>
        </w:rPr>
        <w:t xml:space="preserve">[DIRECTION: FINAL CLOSE. Full stop after 'Your customers are no longer lying to you.' 5-second hold. This is the program close.]</w:t>
      </w:r>
    </w:p>
    <w:p>
      <w:r>
        <w:t xml:space="preserve"/>
      </w:r>
    </w:p>
    <w:p>
      <w:pPr>
        <w:pBdr>
          <w:bottom w:val="single" w:color="00A896" w:sz="3" w:space="1"/>
        </w:pBdr>
        <w:spacing w:before="120" w:after="120"/>
      </w:pPr>
      <w:r>
        <w:t xml:space="preserve"/>
      </w:r>
    </w:p>
    <w:p>
      <w:r>
        <w:t xml:space="preserve"/>
      </w:r>
    </w:p>
    <w:p>
      <w:r>
        <w:rPr>
          <w:rFonts w:ascii="Arial" w:cs="Arial" w:eastAsia="Arial" w:hAnsi="Arial"/>
          <w:b/>
          <w:bCs/>
          <w:color w:val="15803D"/>
          <w:sz w:val="18"/>
          <w:szCs w:val="18"/>
        </w:rPr>
        <w:t xml:space="preserve">Accent Color: Green #15803D  |  Word Count: ~1,620 words  |  Runtime: 10–12 min  |  PROGRAM FINALE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2026-02-20T00:10:37.151Z</dcterms:created>
  <dcterms:modified xsi:type="dcterms:W3CDTF">2026-02-20T00:10:37.152Z</dcterms:modified>
</cp:coreProperties>
</file>

<file path=docProps/custom.xml><?xml version="1.0" encoding="utf-8"?>
<Properties xmlns="http://schemas.openxmlformats.org/officeDocument/2006/custom-properties" xmlns:vt="http://schemas.openxmlformats.org/officeDocument/2006/docPropsVTypes"/>
</file>