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0A896"/>
          <w:sz w:val="20"/>
          <w:szCs w:val="20"/>
        </w:rPr>
        <w:t xml:space="preserve">CSM TRAINING PROGRAM  |  FACILITATOR GUIDE</w:t>
      </w:r>
    </w:p>
    <w:p>
      <w:pPr>
        <w:pBdr>
          <w:bottom w:val="single" w:color="00A896" w:sz="12"/>
        </w:pBdr>
        <w:spacing w:before="0" w:after="60"/>
      </w:pPr>
      <w:r>
        <w:rPr>
          <w:rFonts w:ascii="Arial" w:cs="Arial" w:eastAsia="Arial" w:hAnsi="Arial"/>
          <w:b/>
          <w:bCs/>
          <w:color w:val="0F1F4B"/>
          <w:sz w:val="52"/>
          <w:szCs w:val="52"/>
        </w:rPr>
        <w:t xml:space="preserve">Phase 1: Foundation &amp; Discovery</w:t>
      </w:r>
    </w:p>
    <w:p>
      <w:pPr>
        <w:spacing w:before="60" w:after="240"/>
      </w:pPr>
      <w:r>
        <w:rPr>
          <w:rFonts w:ascii="Arial" w:cs="Arial" w:eastAsia="Arial" w:hAnsi="Arial"/>
          <w:b/>
          <w:bCs/>
          <w:color w:val="D9534F"/>
          <w:sz w:val="26"/>
          <w:szCs w:val="26"/>
        </w:rPr>
        <w:t xml:space="preserve">Days 1–30  |  Blended Delivery  |  INTERNAL USE ONLY</w:t>
      </w:r>
    </w:p>
    <w:p>
      <w:pPr>
        <w:spacing w:before="60" w:after="80"/>
      </w:pPr>
      <w:r>
        <w:rPr>
          <w:rFonts w:ascii="Arial" w:cs="Arial" w:eastAsia="Arial" w:hAnsi="Arial"/>
          <w:b w:val="false"/>
          <w:bCs w:val="false"/>
          <w:color w:val="4A5568"/>
          <w:sz w:val="22"/>
          <w:szCs w:val="22"/>
        </w:rPr>
        <w:t xml:space="preserve">This guide is for facilitators, managers, and coaches running the Phase 1 program. It contains session plans, speaker notes, coaching guidance, and assessment criteria for all 9 modules across 4 weeks.</w:t>
      </w:r>
    </w:p>
    <w:p>
      <w:pPr>
        <w:spacing w:before="60" w:after="80"/>
      </w:pPr>
      <w:r>
        <w:rPr>
          <w:rFonts w:ascii="Arial" w:cs="Arial" w:eastAsia="Arial" w:hAnsi="Arial"/>
          <w:b w:val="false"/>
          <w:bCs w:val="false"/>
          <w:color w:val="4A5568"/>
          <w:sz w:val="22"/>
          <w:szCs w:val="22"/>
        </w:rPr>
        <w:t xml:space="preserve">Participant materials (workbook) are separate. This document should not be shared with learners.</w:t>
      </w:r>
    </w:p>
    <w:p>
      <w:pPr>
        <w:spacing w:before="80" w:after="60"/>
      </w:pPr>
    </w:p>
    <w:p>
      <w:pPr>
        <w:spacing w:before="80" w:after="60"/>
      </w:pPr>
      <w:r>
        <w:rPr>
          <w:rFonts w:ascii="Arial" w:cs="Arial" w:eastAsia="Arial" w:hAnsi="Arial"/>
          <w:b/>
          <w:bCs/>
          <w:color w:val="00A896"/>
          <w:sz w:val="22"/>
          <w:szCs w:val="22"/>
        </w:rPr>
        <w:t xml:space="preserve">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none" w:color="FFFFFF" w:sz="0"/>
              <w:left w:val="none" w:color="FFFFFF" w:sz="0"/>
              <w:bottom w:val="none" w:color="FFFFFF" w:sz="0"/>
              <w:right w:val="none" w:color="FFFFFF" w:sz="0"/>
            </w:tcBorders>
            <w:shd w:fill="0F1F4B" w:val="clear"/>
            <w:tcMar>
              <w:top w:type="dxa" w:w="60"/>
              <w:left w:type="dxa" w:w="120"/>
              <w:bottom w:type="dxa" w:w="60"/>
              <w:right w:type="dxa" w:w="120"/>
            </w:tcMar>
          </w:tcPr>
          <w:p>
            <w:r>
              <w:rPr>
                <w:rFonts w:ascii="Arial" w:cs="Arial" w:eastAsia="Arial" w:hAnsi="Arial"/>
                <w:b/>
                <w:bCs/>
                <w:color w:val="FFFFFF"/>
                <w:sz w:val="20"/>
                <w:szCs w:val="20"/>
              </w:rPr>
              <w:t xml:space="preserve">Week</w:t>
            </w:r>
          </w:p>
        </w:tc>
        <w:tc>
          <w:tcPr>
            <w:tcW w:type="dxa" w:w="2880"/>
            <w:tcBorders>
              <w:top w:val="none" w:color="FFFFFF" w:sz="0"/>
              <w:left w:val="none" w:color="FFFFFF" w:sz="0"/>
              <w:bottom w:val="none" w:color="FFFFFF" w:sz="0"/>
              <w:right w:val="none" w:color="FFFFFF" w:sz="0"/>
            </w:tcBorders>
            <w:shd w:fill="0F1F4B" w:val="clear"/>
            <w:tcMar>
              <w:top w:type="dxa" w:w="60"/>
              <w:left w:type="dxa" w:w="120"/>
              <w:bottom w:type="dxa" w:w="60"/>
              <w:right w:type="dxa" w:w="120"/>
            </w:tcMar>
          </w:tcPr>
          <w:p>
            <w:r>
              <w:rPr>
                <w:rFonts w:ascii="Arial" w:cs="Arial" w:eastAsia="Arial" w:hAnsi="Arial"/>
                <w:b/>
                <w:bCs/>
                <w:color w:val="FFFFFF"/>
                <w:sz w:val="20"/>
                <w:szCs w:val="20"/>
              </w:rPr>
              <w:t xml:space="preserve">Theme</w:t>
            </w:r>
          </w:p>
        </w:tc>
        <w:tc>
          <w:tcPr>
            <w:tcW w:type="dxa" w:w="3600"/>
            <w:tcBorders>
              <w:top w:val="none" w:color="FFFFFF" w:sz="0"/>
              <w:left w:val="none" w:color="FFFFFF" w:sz="0"/>
              <w:bottom w:val="none" w:color="FFFFFF" w:sz="0"/>
              <w:right w:val="none" w:color="FFFFFF" w:sz="0"/>
            </w:tcBorders>
            <w:shd w:fill="0F1F4B" w:val="clear"/>
            <w:tcMar>
              <w:top w:type="dxa" w:w="60"/>
              <w:left w:type="dxa" w:w="120"/>
              <w:bottom w:type="dxa" w:w="60"/>
              <w:right w:type="dxa" w:w="120"/>
            </w:tcMar>
          </w:tcPr>
          <w:p>
            <w:r>
              <w:rPr>
                <w:rFonts w:ascii="Arial" w:cs="Arial" w:eastAsia="Arial" w:hAnsi="Arial"/>
                <w:b/>
                <w:bCs/>
                <w:color w:val="FFFFFF"/>
                <w:sz w:val="20"/>
                <w:szCs w:val="20"/>
              </w:rPr>
              <w:t xml:space="preserve">Facilitator Focus</w:t>
            </w:r>
          </w:p>
        </w:tc>
      </w:tr>
      <w:tr>
        <w:tc>
          <w:tcPr>
            <w:tcW w:type="dxa" w:w="2880"/>
            <w:tcBorders>
              <w:top w:val="single" w:color="DDDDDD" w:sz="4"/>
              <w:left w:val="single" w:color="DDDDDD" w:sz="4"/>
              <w:bottom w:val="single" w:color="DDDDDD" w:sz="4"/>
              <w:right w:val="single" w:color="DDDDDD" w:sz="4"/>
            </w:tcBorders>
            <w:shd w:fill="EEF2FA" w:val="clear"/>
            <w:tcMar>
              <w:top w:type="dxa" w:w="60"/>
              <w:left w:type="dxa" w:w="120"/>
              <w:bottom w:type="dxa" w:w="60"/>
              <w:right w:type="dxa" w:w="120"/>
            </w:tcMar>
          </w:tcPr>
          <w:p>
            <w:r>
              <w:rPr>
                <w:rFonts w:ascii="Arial" w:cs="Arial" w:eastAsia="Arial" w:hAnsi="Arial"/>
                <w:color w:val="4A5568"/>
                <w:sz w:val="20"/>
                <w:szCs w:val="20"/>
              </w:rPr>
              <w:t xml:space="preserve">Week 1</w:t>
            </w:r>
          </w:p>
        </w:tc>
        <w:tc>
          <w:tcPr>
            <w:tcW w:type="dxa" w:w="2880"/>
            <w:tcBorders>
              <w:top w:val="single" w:color="DDDDDD" w:sz="4"/>
              <w:left w:val="single" w:color="DDDDDD" w:sz="4"/>
              <w:bottom w:val="single" w:color="DDDDDD" w:sz="4"/>
              <w:right w:val="single" w:color="DDDDDD" w:sz="4"/>
            </w:tcBorders>
            <w:shd w:fill="EEF2FA" w:val="clear"/>
            <w:tcMar>
              <w:top w:type="dxa" w:w="60"/>
              <w:left w:type="dxa" w:w="120"/>
              <w:bottom w:type="dxa" w:w="60"/>
              <w:right w:type="dxa" w:w="120"/>
            </w:tcMar>
          </w:tcPr>
          <w:p>
            <w:r>
              <w:rPr>
                <w:rFonts w:ascii="Arial" w:cs="Arial" w:eastAsia="Arial" w:hAnsi="Arial"/>
                <w:color w:val="4A5568"/>
                <w:sz w:val="20"/>
                <w:szCs w:val="20"/>
              </w:rPr>
              <w:t xml:space="preserve">The Truth About Your Accounts</w:t>
            </w:r>
          </w:p>
        </w:tc>
        <w:tc>
          <w:tcPr>
            <w:tcW w:type="dxa" w:w="3600"/>
            <w:tcBorders>
              <w:top w:val="single" w:color="DDDDDD" w:sz="4"/>
              <w:left w:val="single" w:color="DDDDDD" w:sz="4"/>
              <w:bottom w:val="single" w:color="DDDDDD" w:sz="4"/>
              <w:right w:val="single" w:color="DDDDDD" w:sz="4"/>
            </w:tcBorders>
            <w:shd w:fill="EEF2FA" w:val="clear"/>
            <w:tcMar>
              <w:top w:type="dxa" w:w="60"/>
              <w:left w:type="dxa" w:w="120"/>
              <w:bottom w:type="dxa" w:w="60"/>
              <w:right w:type="dxa" w:w="120"/>
            </w:tcMar>
          </w:tcPr>
          <w:p>
            <w:r>
              <w:rPr>
                <w:rFonts w:ascii="Arial" w:cs="Arial" w:eastAsia="Arial" w:hAnsi="Arial"/>
                <w:color w:val="4A5568"/>
                <w:sz w:val="20"/>
                <w:szCs w:val="20"/>
              </w:rPr>
              <w:t xml:space="preserve">Challenge assumptions. Force data-first thinking. Expose the NPS myth directly.</w:t>
            </w:r>
          </w:p>
        </w:tc>
      </w:tr>
      <w:tr>
        <w:tc>
          <w:tcPr>
            <w:tcW w:type="dxa" w:w="28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A5568"/>
                <w:sz w:val="20"/>
                <w:szCs w:val="20"/>
              </w:rPr>
              <w:t xml:space="preserve">Week 2</w:t>
            </w:r>
          </w:p>
        </w:tc>
        <w:tc>
          <w:tcPr>
            <w:tcW w:type="dxa" w:w="28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A5568"/>
                <w:sz w:val="20"/>
                <w:szCs w:val="20"/>
              </w:rPr>
              <w:t xml:space="preserve">Knowing Your Customers' Real Situation</w:t>
            </w:r>
          </w:p>
        </w:tc>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A5568"/>
                <w:sz w:val="20"/>
                <w:szCs w:val="20"/>
              </w:rPr>
              <w:t xml:space="preserve">Ensure discovery is happening in accounts, not just in exercises. Coach on stakeholder mapping.</w:t>
            </w:r>
          </w:p>
        </w:tc>
      </w:tr>
      <w:tr>
        <w:tc>
          <w:tcPr>
            <w:tcW w:type="dxa" w:w="2880"/>
            <w:tcBorders>
              <w:top w:val="single" w:color="DDDDDD" w:sz="4"/>
              <w:left w:val="single" w:color="DDDDDD" w:sz="4"/>
              <w:bottom w:val="single" w:color="DDDDDD" w:sz="4"/>
              <w:right w:val="single" w:color="DDDDDD" w:sz="4"/>
            </w:tcBorders>
            <w:shd w:fill="EEF2FA" w:val="clear"/>
            <w:tcMar>
              <w:top w:type="dxa" w:w="60"/>
              <w:left w:type="dxa" w:w="120"/>
              <w:bottom w:type="dxa" w:w="60"/>
              <w:right w:type="dxa" w:w="120"/>
            </w:tcMar>
          </w:tcPr>
          <w:p>
            <w:r>
              <w:rPr>
                <w:rFonts w:ascii="Arial" w:cs="Arial" w:eastAsia="Arial" w:hAnsi="Arial"/>
                <w:color w:val="4A5568"/>
                <w:sz w:val="20"/>
                <w:szCs w:val="20"/>
              </w:rPr>
              <w:t xml:space="preserve">Week 3</w:t>
            </w:r>
          </w:p>
        </w:tc>
        <w:tc>
          <w:tcPr>
            <w:tcW w:type="dxa" w:w="2880"/>
            <w:tcBorders>
              <w:top w:val="single" w:color="DDDDDD" w:sz="4"/>
              <w:left w:val="single" w:color="DDDDDD" w:sz="4"/>
              <w:bottom w:val="single" w:color="DDDDDD" w:sz="4"/>
              <w:right w:val="single" w:color="DDDDDD" w:sz="4"/>
            </w:tcBorders>
            <w:shd w:fill="EEF2FA" w:val="clear"/>
            <w:tcMar>
              <w:top w:type="dxa" w:w="60"/>
              <w:left w:type="dxa" w:w="120"/>
              <w:bottom w:type="dxa" w:w="60"/>
              <w:right w:type="dxa" w:w="120"/>
            </w:tcMar>
          </w:tcPr>
          <w:p>
            <w:r>
              <w:rPr>
                <w:rFonts w:ascii="Arial" w:cs="Arial" w:eastAsia="Arial" w:hAnsi="Arial"/>
                <w:color w:val="4A5568"/>
                <w:sz w:val="20"/>
                <w:szCs w:val="20"/>
              </w:rPr>
              <w:t xml:space="preserve">Signals &amp; Moments</w:t>
            </w:r>
          </w:p>
        </w:tc>
        <w:tc>
          <w:tcPr>
            <w:tcW w:type="dxa" w:w="3600"/>
            <w:tcBorders>
              <w:top w:val="single" w:color="DDDDDD" w:sz="4"/>
              <w:left w:val="single" w:color="DDDDDD" w:sz="4"/>
              <w:bottom w:val="single" w:color="DDDDDD" w:sz="4"/>
              <w:right w:val="single" w:color="DDDDDD" w:sz="4"/>
            </w:tcBorders>
            <w:shd w:fill="EEF2FA" w:val="clear"/>
            <w:tcMar>
              <w:top w:type="dxa" w:w="60"/>
              <w:left w:type="dxa" w:w="120"/>
              <w:bottom w:type="dxa" w:w="60"/>
              <w:right w:type="dxa" w:w="120"/>
            </w:tcMar>
          </w:tcPr>
          <w:p>
            <w:r>
              <w:rPr>
                <w:rFonts w:ascii="Arial" w:cs="Arial" w:eastAsia="Arial" w:hAnsi="Arial"/>
                <w:color w:val="4A5568"/>
                <w:sz w:val="20"/>
                <w:szCs w:val="20"/>
              </w:rPr>
              <w:t xml:space="preserve">Verify Moments are being detected in real accounts. Audit touchpoint behavior.</w:t>
            </w:r>
          </w:p>
        </w:tc>
      </w:tr>
      <w:tr>
        <w:tc>
          <w:tcPr>
            <w:tcW w:type="dxa" w:w="28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A5568"/>
                <w:sz w:val="20"/>
                <w:szCs w:val="20"/>
              </w:rPr>
              <w:t xml:space="preserve">Week 4</w:t>
            </w:r>
          </w:p>
        </w:tc>
        <w:tc>
          <w:tcPr>
            <w:tcW w:type="dxa" w:w="28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A5568"/>
                <w:sz w:val="20"/>
                <w:szCs w:val="20"/>
              </w:rPr>
              <w:t xml:space="preserve">Assessment</w:t>
            </w:r>
          </w:p>
        </w:tc>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A5568"/>
                <w:sz w:val="20"/>
                <w:szCs w:val="20"/>
              </w:rPr>
              <w:t xml:space="preserve">Evaluate with data rigor. Pass/fail based on evidence, not confidence.</w:t>
            </w:r>
          </w:p>
        </w:tc>
      </w:tr>
    </w:tbl>
    <w:p>
      <w:pPr>
        <w:spacing w:before="0" w:after="0"/>
      </w:pPr>
      <w:r>
        <w:br w:type="page"/>
      </w:r>
    </w:p>
    <w:p>
      <w:pPr>
        <w:pBdr>
          <w:bottom w:val="single" w:color="00A896" w:sz="12"/>
        </w:pBdr>
        <w:spacing w:before="360" w:after="120"/>
      </w:pPr>
      <w:r>
        <w:rPr>
          <w:rFonts w:ascii="Arial" w:cs="Arial" w:eastAsia="Arial" w:hAnsi="Arial"/>
          <w:b/>
          <w:bCs/>
          <w:color w:val="0F1F4B"/>
          <w:sz w:val="36"/>
          <w:szCs w:val="36"/>
        </w:rPr>
        <w:t xml:space="preserve">Facilitator Principles</w:t>
      </w:r>
    </w:p>
    <w:p>
      <w:pPr>
        <w:spacing w:before="60" w:after="80"/>
      </w:pPr>
      <w:r>
        <w:rPr>
          <w:rFonts w:ascii="Arial" w:cs="Arial" w:eastAsia="Arial" w:hAnsi="Arial"/>
          <w:b w:val="false"/>
          <w:bCs w:val="false"/>
          <w:color w:val="4A5568"/>
          <w:sz w:val="22"/>
          <w:szCs w:val="22"/>
        </w:rPr>
        <w:t xml:space="preserve">This program is built around one operating principle: claims without data are not accepted. The facilitator's primary job is to enforce this standard consistently, from Day 1 through the Week 4 assessment.</w:t>
      </w:r>
    </w:p>
    <w:p>
      <w:pPr>
        <w:spacing w:before="240" w:after="80"/>
      </w:pPr>
      <w:r>
        <w:rPr>
          <w:rFonts w:ascii="Arial" w:cs="Arial" w:eastAsia="Arial" w:hAnsi="Arial"/>
          <w:b/>
          <w:bCs/>
          <w:color w:val="00A896"/>
          <w:sz w:val="26"/>
          <w:szCs w:val="26"/>
        </w:rPr>
        <w:t xml:space="preserve">The 4 Non-Negotiables</w:t>
      </w:r>
    </w:p>
    <w:p>
      <w:pPr>
        <w:pStyle w:val="ListParagraph"/>
        <w:numPr>
          <w:ilvl w:val="0"/>
          <w:numId w:val="2"/>
        </w:numPr>
        <w:spacing w:before="40" w:after="40"/>
      </w:pPr>
      <w:r>
        <w:rPr>
          <w:rFonts w:ascii="Arial" w:cs="Arial" w:eastAsia="Arial" w:hAnsi="Arial"/>
          <w:color w:val="4A5568"/>
          <w:sz w:val="22"/>
          <w:szCs w:val="22"/>
        </w:rPr>
        <w:t xml:space="preserve">Every learning claim must be backed by a signal. If a learner says 'I think Account X is healthy,' ask: what data supports that? If they can't answer, the work isn't done.</w:t>
      </w:r>
    </w:p>
    <w:p>
      <w:pPr>
        <w:pStyle w:val="ListParagraph"/>
        <w:numPr>
          <w:ilvl w:val="0"/>
          <w:numId w:val="2"/>
        </w:numPr>
        <w:spacing w:before="40" w:after="40"/>
      </w:pPr>
      <w:r>
        <w:rPr>
          <w:rFonts w:ascii="Arial" w:cs="Arial" w:eastAsia="Arial" w:hAnsi="Arial"/>
          <w:color w:val="4A5568"/>
          <w:sz w:val="22"/>
          <w:szCs w:val="22"/>
        </w:rPr>
        <w:t xml:space="preserve">Field exercises are not optional. They are the program. Slide decks and reading are inputs. The exercises are the output. A learner who skips exercises cannot pass Week 4.</w:t>
      </w:r>
    </w:p>
    <w:p>
      <w:pPr>
        <w:pStyle w:val="ListParagraph"/>
        <w:numPr>
          <w:ilvl w:val="0"/>
          <w:numId w:val="2"/>
        </w:numPr>
        <w:spacing w:before="40" w:after="40"/>
      </w:pPr>
      <w:r>
        <w:rPr>
          <w:rFonts w:ascii="Arial" w:cs="Arial" w:eastAsia="Arial" w:hAnsi="Arial"/>
          <w:color w:val="4A5568"/>
          <w:sz w:val="22"/>
          <w:szCs w:val="22"/>
        </w:rPr>
        <w:t xml:space="preserve">The Week 4 pass criteria is binary. Either every claim in the presentation is verifiable against actual data, or it isn't. Don't pass presentations that rely on narrative over evidence.</w:t>
      </w:r>
    </w:p>
    <w:p>
      <w:pPr>
        <w:pStyle w:val="ListParagraph"/>
        <w:numPr>
          <w:ilvl w:val="0"/>
          <w:numId w:val="2"/>
        </w:numPr>
        <w:spacing w:before="40" w:after="40"/>
      </w:pPr>
      <w:r>
        <w:rPr>
          <w:rFonts w:ascii="Arial" w:cs="Arial" w:eastAsia="Arial" w:hAnsi="Arial"/>
          <w:color w:val="4A5568"/>
          <w:sz w:val="22"/>
          <w:szCs w:val="22"/>
        </w:rPr>
        <w:t xml:space="preserve">The role of the facilitator is coach, not teacher. You are not here to transmit information. You are here to challenge thinking, push for specificity, and model what 'data-first' looks like.</w:t>
      </w:r>
    </w:p>
    <w:p>
      <w:pPr>
        <w:spacing w:before="120" w:after="60"/>
      </w:pPr>
    </w:p>
    <w:p>
      <w:pPr>
        <w:pBdr>
          <w:left w:val="single" w:color="0F1F4B" w:sz="20"/>
        </w:pBdr>
        <w:shd w:fill="0F1F4B" w:val="clear"/>
        <w:spacing w:before="120" w:after="120"/>
        <w:ind w:left="200"/>
      </w:pPr>
      <w:r>
        <w:rPr>
          <w:rFonts w:ascii="Arial" w:cs="Arial" w:eastAsia="Arial" w:hAnsi="Arial"/>
          <w:b w:val="false"/>
          <w:bCs w:val="false"/>
          <w:color w:val="FFFFFF"/>
          <w:sz w:val="22"/>
          <w:szCs w:val="22"/>
        </w:rPr>
        <w:t xml:space="preserve">Facilitator Mindset: 'I think they're happy' is never an acceptable answer in this program. Your job is to make that phrase uncomfortable for learners until they stop saying it.</w:t>
      </w:r>
    </w:p>
    <w:p>
      <w:pPr>
        <w:spacing w:before="120" w:after="60"/>
      </w:pPr>
    </w:p>
    <w:p>
      <w:pPr>
        <w:spacing w:before="240" w:after="80"/>
      </w:pPr>
      <w:r>
        <w:rPr>
          <w:rFonts w:ascii="Arial" w:cs="Arial" w:eastAsia="Arial" w:hAnsi="Arial"/>
          <w:b/>
          <w:bCs/>
          <w:color w:val="00A896"/>
          <w:sz w:val="26"/>
          <w:szCs w:val="26"/>
        </w:rPr>
        <w:t xml:space="preserve">Delivery Modes (Blended)</w:t>
      </w:r>
    </w:p>
    <w:p>
      <w:pPr>
        <w:pStyle w:val="ListParagraph"/>
        <w:numPr>
          <w:ilvl w:val="0"/>
          <w:numId w:val="2"/>
        </w:numPr>
        <w:spacing w:before="40" w:after="40"/>
      </w:pPr>
      <w:r>
        <w:rPr>
          <w:rFonts w:ascii="Arial" w:cs="Arial" w:eastAsia="Arial" w:hAnsi="Arial"/>
          <w:color w:val="4A5568"/>
          <w:sz w:val="22"/>
          <w:szCs w:val="22"/>
        </w:rPr>
        <w:t xml:space="preserve">Self-paced modules: Learners complete reading and exercises independently. Facilitator reviews completed workbook before live sessions.</w:t>
      </w:r>
    </w:p>
    <w:p>
      <w:pPr>
        <w:pStyle w:val="ListParagraph"/>
        <w:numPr>
          <w:ilvl w:val="0"/>
          <w:numId w:val="2"/>
        </w:numPr>
        <w:spacing w:before="40" w:after="40"/>
      </w:pPr>
      <w:r>
        <w:rPr>
          <w:rFonts w:ascii="Arial" w:cs="Arial" w:eastAsia="Arial" w:hAnsi="Arial"/>
          <w:color w:val="4A5568"/>
          <w:sz w:val="22"/>
          <w:szCs w:val="22"/>
        </w:rPr>
        <w:t xml:space="preserve">Live sessions: Facilitator-led discussion, role play, exercise debrief. Focus on what surprised the learner, not on recapping the content.</w:t>
      </w:r>
    </w:p>
    <w:p>
      <w:pPr>
        <w:pStyle w:val="ListParagraph"/>
        <w:numPr>
          <w:ilvl w:val="0"/>
          <w:numId w:val="2"/>
        </w:numPr>
        <w:spacing w:before="40" w:after="40"/>
      </w:pPr>
      <w:r>
        <w:rPr>
          <w:rFonts w:ascii="Arial" w:cs="Arial" w:eastAsia="Arial" w:hAnsi="Arial"/>
          <w:color w:val="4A5568"/>
          <w:sz w:val="22"/>
          <w:szCs w:val="22"/>
        </w:rPr>
        <w:t xml:space="preserve">Field work: Real customer interactions using learned frameworks. Facilitator reviews and debriefs within 24 hours where possible.</w:t>
      </w:r>
    </w:p>
    <w:p>
      <w:pPr>
        <w:pStyle w:val="ListParagraph"/>
        <w:numPr>
          <w:ilvl w:val="0"/>
          <w:numId w:val="2"/>
        </w:numPr>
        <w:spacing w:before="40" w:after="40"/>
      </w:pPr>
      <w:r>
        <w:rPr>
          <w:rFonts w:ascii="Arial" w:cs="Arial" w:eastAsia="Arial" w:hAnsi="Arial"/>
          <w:color w:val="4A5568"/>
          <w:sz w:val="22"/>
          <w:szCs w:val="22"/>
        </w:rPr>
        <w:t xml:space="preserve">Assessment: Week 4 presentation. Facilitated by manager + optional executive presence for stretch goal.</w:t>
      </w:r>
    </w:p>
    <w:p>
      <w:pPr>
        <w:spacing w:before="0" w:after="0"/>
      </w:pPr>
      <w:r>
        <w:br w:type="page"/>
      </w:r>
    </w:p>
    <w:p>
      <w:pPr>
        <w:pBdr>
          <w:bottom w:val="single" w:color="00A896" w:sz="12"/>
        </w:pBdr>
        <w:spacing w:before="360" w:after="120"/>
      </w:pPr>
      <w:r>
        <w:rPr>
          <w:rFonts w:ascii="Arial" w:cs="Arial" w:eastAsia="Arial" w:hAnsi="Arial"/>
          <w:b/>
          <w:bCs/>
          <w:color w:val="0F1F4B"/>
          <w:sz w:val="36"/>
          <w:szCs w:val="36"/>
        </w:rPr>
        <w:t xml:space="preserve">Week 1 Facilitator Guide: The Truth About Your Accounts</w:t>
      </w:r>
    </w:p>
    <w:p>
      <w:pPr>
        <w:spacing w:before="60" w:after="80"/>
      </w:pPr>
      <w:r>
        <w:rPr>
          <w:rFonts w:ascii="Arial" w:cs="Arial" w:eastAsia="Arial" w:hAnsi="Arial"/>
          <w:b w:val="false"/>
          <w:bCs w:val="false"/>
          <w:color w:val="4A5568"/>
          <w:sz w:val="22"/>
          <w:szCs w:val="22"/>
        </w:rPr>
        <w:t xml:space="preserve">Week 1 is about productive discomfort. The learner's existing beliefs about NPS, QBRs, and 'checking in' need to be challenged before the replacement frameworks can land. Don't rush past the confrontation.</w:t>
      </w:r>
    </w:p>
    <w:p>
      <w:pPr>
        <w:pBdr>
          <w:left w:val="single" w:color="00A896" w:sz="20"/>
        </w:pBdr>
        <w:shd w:fill="00A896" w:val="clear"/>
        <w:spacing w:before="120" w:after="120"/>
        <w:ind w:left="200"/>
      </w:pPr>
      <w:r>
        <w:rPr>
          <w:rFonts w:ascii="Arial" w:cs="Arial" w:eastAsia="Arial" w:hAnsi="Arial"/>
          <w:b w:val="false"/>
          <w:bCs w:val="false"/>
          <w:color w:val="FFFFFF"/>
          <w:sz w:val="22"/>
          <w:szCs w:val="22"/>
        </w:rPr>
        <w:t xml:space="preserve">Week 1 Goal: By end of Week 1, the learner should be uncomfortable with how they've been measuring customer health. That discomfort is the foundation.</w:t>
      </w:r>
    </w:p>
    <w:p>
      <w:pPr>
        <w:spacing w:before="80" w:after="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1.1  </w:t>
      </w:r>
      <w:r>
        <w:rPr>
          <w:rFonts w:ascii="Arial" w:cs="Arial" w:eastAsia="Arial" w:hAnsi="Arial"/>
          <w:b/>
          <w:bCs/>
          <w:color w:val="0F1F4B"/>
          <w:sz w:val="24"/>
          <w:szCs w:val="24"/>
        </w:rPr>
        <w:t xml:space="preserve">— Why Everything You Think You Know Is Wrong</w:t>
      </w:r>
    </w:p>
    <w:p>
      <w:pPr>
        <w:spacing w:before="40" w:after="120"/>
      </w:pPr>
      <w:r>
        <w:rPr>
          <w:rFonts w:ascii="Arial" w:cs="Arial" w:eastAsia="Arial" w:hAnsi="Arial"/>
          <w:color w:val="4A5568"/>
          <w:sz w:val="20"/>
          <w:szCs w:val="20"/>
        </w:rPr>
        <w:t xml:space="preserve">⏱ 90 min (30 min self-paced + 60 min live debrief)  </w:t>
      </w:r>
      <w:r>
        <w:rPr>
          <w:rFonts w:ascii="Arial" w:cs="Arial" w:eastAsia="Arial" w:hAnsi="Arial"/>
          <w:color w:val="4A5568"/>
          <w:sz w:val="20"/>
          <w:szCs w:val="20"/>
        </w:rPr>
        <w:t xml:space="preserve">  📋 Self-paced reading + live facilitated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can articulate why NPS response rates (3–9%) make it statistically unreliable</w:t>
            </w:r>
          </w:p>
          <w:p>
            <w:pPr>
              <w:pStyle w:val="ListParagraph"/>
              <w:numPr>
                <w:ilvl w:val="0"/>
                <w:numId w:val="2"/>
              </w:numPr>
              <w:spacing w:before="30" w:after="30"/>
            </w:pPr>
            <w:r>
              <w:rPr>
                <w:rFonts w:ascii="Arial" w:cs="Arial" w:eastAsia="Arial" w:hAnsi="Arial"/>
                <w:color w:val="4A5568"/>
                <w:sz w:val="21"/>
                <w:szCs w:val="21"/>
              </w:rPr>
              <w:t xml:space="preserve">Learner can name all 4 structural failures of NPS in practice</w:t>
            </w:r>
          </w:p>
          <w:p>
            <w:pPr>
              <w:pStyle w:val="ListParagraph"/>
              <w:numPr>
                <w:ilvl w:val="0"/>
                <w:numId w:val="2"/>
              </w:numPr>
              <w:spacing w:before="30" w:after="30"/>
            </w:pPr>
            <w:r>
              <w:rPr>
                <w:rFonts w:ascii="Arial" w:cs="Arial" w:eastAsia="Arial" w:hAnsi="Arial"/>
                <w:color w:val="4A5568"/>
                <w:sz w:val="21"/>
                <w:szCs w:val="21"/>
              </w:rPr>
              <w:t xml:space="preserve">Learner has completed Exercise 1.1 (Account Audit) with genuine data</w:t>
            </w:r>
          </w:p>
          <w:p>
            <w:pPr>
              <w:pStyle w:val="ListParagraph"/>
              <w:numPr>
                <w:ilvl w:val="0"/>
                <w:numId w:val="2"/>
              </w:numPr>
              <w:spacing w:before="30" w:after="30"/>
            </w:pPr>
            <w:r>
              <w:rPr>
                <w:rFonts w:ascii="Arial" w:cs="Arial" w:eastAsia="Arial" w:hAnsi="Arial"/>
                <w:color w:val="4A5568"/>
                <w:sz w:val="21"/>
                <w:szCs w:val="21"/>
              </w:rPr>
              <w:t xml:space="preserve">Learner can explain why 'checking in' is a negative touchpoint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reading + Exercise 1.1 independently</w:t>
            </w:r>
          </w:p>
          <w:p>
            <w:pPr>
              <w:spacing w:before="30" w:after="30"/>
            </w:pPr>
            <w:r>
              <w:rPr>
                <w:rFonts w:ascii="Arial" w:cs="Arial" w:eastAsia="Arial" w:hAnsi="Arial"/>
                <w:color w:val="4A5568"/>
                <w:sz w:val="21"/>
                <w:szCs w:val="21"/>
              </w:rPr>
              <w:t xml:space="preserve">• Open with: 'What did the account audit show you that surprised you?' (do not let them skip to 'everything looked fine')</w:t>
            </w:r>
          </w:p>
          <w:p>
            <w:pPr>
              <w:spacing w:before="30" w:after="30"/>
            </w:pPr>
            <w:r>
              <w:rPr>
                <w:rFonts w:ascii="Arial" w:cs="Arial" w:eastAsia="Arial" w:hAnsi="Arial"/>
                <w:color w:val="4A5568"/>
                <w:sz w:val="21"/>
                <w:szCs w:val="21"/>
              </w:rPr>
              <w:t xml:space="preserve">• Challenge: For every account where CRM matched reality, ask why. For every gap, explore what the data was saying that the CRM narrative was hiding.</w:t>
            </w:r>
          </w:p>
          <w:p>
            <w:pPr>
              <w:spacing w:before="30" w:after="30"/>
            </w:pPr>
            <w:r>
              <w:rPr>
                <w:rFonts w:ascii="Arial" w:cs="Arial" w:eastAsia="Arial" w:hAnsi="Arial"/>
                <w:color w:val="4A5568"/>
                <w:sz w:val="21"/>
                <w:szCs w:val="21"/>
              </w:rPr>
              <w:t xml:space="preserve">• Close: 'Now that you can see the gap — what would you do differently starting Monday?'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NPS: 'Response rates of 3–9% mean you are making strategic decisions about 100% of your accounts based on what 5% say. The 95% who didn't respond are not randomly distributed — they skew toward disengaged and frustrated.'</w:t>
            </w:r>
          </w:p>
          <w:p>
            <w:pPr>
              <w:spacing w:before="30" w:after="30"/>
            </w:pPr>
            <w:r>
              <w:rPr>
                <w:rFonts w:ascii="Arial" w:cs="Arial" w:eastAsia="Arial" w:hAnsi="Arial"/>
                <w:color w:val="4A5568"/>
                <w:sz w:val="21"/>
                <w:szCs w:val="21"/>
              </w:rPr>
              <w:t xml:space="preserve">On QBRs: '72% of customers find no value. That number means the majority of your customers are sitting in a meeting they consider a waste of their time — and being polite about it. Their politeness is not engagement.'</w:t>
            </w:r>
          </w:p>
          <w:p>
            <w:pPr>
              <w:spacing w:before="30" w:after="30"/>
            </w:pPr>
            <w:r>
              <w:rPr>
                <w:rFonts w:ascii="Arial" w:cs="Arial" w:eastAsia="Arial" w:hAnsi="Arial"/>
                <w:color w:val="4A5568"/>
                <w:sz w:val="21"/>
                <w:szCs w:val="21"/>
              </w:rPr>
              <w:t xml:space="preserve">On checking in: 'Every touchpoint is a transaction. When you say "just checking in," you are asking for the customer's time in exchange for nothing. They notice. They remember. They start filtering your communications.'</w:t>
            </w:r>
          </w:p>
          <w:p>
            <w:pPr>
              <w:spacing w:before="30" w:after="30"/>
            </w:pPr>
            <w:r>
              <w:rPr>
                <w:rFonts w:ascii="Arial" w:cs="Arial" w:eastAsia="Arial" w:hAnsi="Arial"/>
                <w:color w:val="4A5568"/>
                <w:sz w:val="21"/>
                <w:szCs w:val="21"/>
              </w:rPr>
              <w:t xml:space="preserve">Key story from the book: The company with 22% churn had CSMs. They had Gainsight. They had check-in cadences. And 22% of customers left every year because the activities were performative, not substantive.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dismisses NPS issues because 'our response rate is higher than average.' Push: is 12% materially better than 5%? What are the 88% telling you?</w:t>
            </w:r>
          </w:p>
          <w:p>
            <w:pPr>
              <w:spacing w:before="30" w:after="30"/>
            </w:pPr>
            <w:r>
              <w:rPr>
                <w:rFonts w:ascii="Arial" w:cs="Arial" w:eastAsia="Arial" w:hAnsi="Arial"/>
                <w:color w:val="4A5568"/>
                <w:sz w:val="21"/>
                <w:szCs w:val="21"/>
              </w:rPr>
              <w:t xml:space="preserve">⚠ Learner defends QBRs because 'our customers attend.' Push: are they engaged, or are they politely showing up? Pull the phone-checking data.</w:t>
            </w:r>
          </w:p>
          <w:p>
            <w:pPr>
              <w:spacing w:before="30" w:after="30"/>
            </w:pPr>
            <w:r>
              <w:rPr>
                <w:rFonts w:ascii="Arial" w:cs="Arial" w:eastAsia="Arial" w:hAnsi="Arial"/>
                <w:color w:val="4A5568"/>
                <w:sz w:val="21"/>
                <w:szCs w:val="21"/>
              </w:rPr>
              <w:t xml:space="preserve">⚠ Learner treats Exercise 1.1 as complete without genuine gaps. If CRM and data 'match' on all 5 accounts, the learner hasn't looked deeply enough. Push harder.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Lead with the uncomfortable stat before you offer the solution. Let the discomfort sit for a moment before moving to 'what to do instead.'</w:t>
            </w:r>
          </w:p>
          <w:p>
            <w:pPr>
              <w:spacing w:before="30" w:after="30"/>
            </w:pPr>
            <w:r>
              <w:rPr>
                <w:rFonts w:ascii="Arial" w:cs="Arial" w:eastAsia="Arial" w:hAnsi="Arial"/>
                <w:color w:val="4A5568"/>
                <w:sz w:val="21"/>
                <w:szCs w:val="21"/>
              </w:rPr>
              <w:t xml:space="preserve">★ For Exercise 1.1 debrief: have the learner show you the data, not just describe it. Ask to see the actual usage numbers.</w:t>
            </w:r>
          </w:p>
          <w:p>
            <w:pPr>
              <w:spacing w:before="30" w:after="30"/>
            </w:pPr>
            <w:r>
              <w:rPr>
                <w:rFonts w:ascii="Arial" w:cs="Arial" w:eastAsia="Arial" w:hAnsi="Arial"/>
                <w:color w:val="4A5568"/>
                <w:sz w:val="21"/>
                <w:szCs w:val="21"/>
              </w:rPr>
              <w:t xml:space="preserve">★ If a learner struggles to find gaps in their accounts, assign additional accounts. The gaps are there — they just haven't looked in the right places yet.</w:t>
            </w:r>
          </w:p>
        </w:tc>
      </w:tr>
    </w:tbl>
    <w:p>
      <w:pPr>
        <w:spacing w:before="100" w:after="0"/>
      </w:pPr>
    </w:p>
    <w:p>
      <w:pPr>
        <w:pBdr>
          <w:bottom w:val="single" w:color="DDDDDD" w:sz="8"/>
        </w:pBdr>
        <w:spacing w:before="80" w:after="8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1.2  </w:t>
      </w:r>
      <w:r>
        <w:rPr>
          <w:rFonts w:ascii="Arial" w:cs="Arial" w:eastAsia="Arial" w:hAnsi="Arial"/>
          <w:b/>
          <w:bCs/>
          <w:color w:val="0F1F4B"/>
          <w:sz w:val="24"/>
          <w:szCs w:val="24"/>
        </w:rPr>
        <w:t xml:space="preserve">— The NRR Truth Test</w:t>
      </w:r>
    </w:p>
    <w:p>
      <w:pPr>
        <w:spacing w:before="40" w:after="120"/>
      </w:pPr>
      <w:r>
        <w:rPr>
          <w:rFonts w:ascii="Arial" w:cs="Arial" w:eastAsia="Arial" w:hAnsi="Arial"/>
          <w:color w:val="4A5568"/>
          <w:sz w:val="20"/>
          <w:szCs w:val="20"/>
        </w:rPr>
        <w:t xml:space="preserve">⏱ 90 min (45 min self-paced + 45 min coaching session)  </w:t>
      </w:r>
      <w:r>
        <w:rPr>
          <w:rFonts w:ascii="Arial" w:cs="Arial" w:eastAsia="Arial" w:hAnsi="Arial"/>
          <w:color w:val="4A5568"/>
          <w:sz w:val="20"/>
          <w:szCs w:val="20"/>
        </w:rPr>
        <w:t xml:space="preserve">  📋 Self-paced exercise + 1:1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has completed all 5 steps of the NRR Truth Test on their actual portfolio</w:t>
            </w:r>
          </w:p>
          <w:p>
            <w:pPr>
              <w:pStyle w:val="ListParagraph"/>
              <w:numPr>
                <w:ilvl w:val="0"/>
                <w:numId w:val="2"/>
              </w:numPr>
              <w:spacing w:before="30" w:after="30"/>
            </w:pPr>
            <w:r>
              <w:rPr>
                <w:rFonts w:ascii="Arial" w:cs="Arial" w:eastAsia="Arial" w:hAnsi="Arial"/>
                <w:color w:val="4A5568"/>
                <w:sz w:val="21"/>
                <w:szCs w:val="21"/>
              </w:rPr>
              <w:t xml:space="preserve">Learner can articulate the difference between True NRR and reported NRR</w:t>
            </w:r>
          </w:p>
          <w:p>
            <w:pPr>
              <w:pStyle w:val="ListParagraph"/>
              <w:numPr>
                <w:ilvl w:val="0"/>
                <w:numId w:val="2"/>
              </w:numPr>
              <w:spacing w:before="30" w:after="30"/>
            </w:pPr>
            <w:r>
              <w:rPr>
                <w:rFonts w:ascii="Arial" w:cs="Arial" w:eastAsia="Arial" w:hAnsi="Arial"/>
                <w:color w:val="4A5568"/>
                <w:sz w:val="21"/>
                <w:szCs w:val="21"/>
              </w:rPr>
              <w:t xml:space="preserve">Learner can identify which of the 3 NRR gaming mechanisms applies to their company</w:t>
            </w:r>
          </w:p>
          <w:p>
            <w:pPr>
              <w:pStyle w:val="ListParagraph"/>
              <w:numPr>
                <w:ilvl w:val="0"/>
                <w:numId w:val="2"/>
              </w:numPr>
              <w:spacing w:before="30" w:after="30"/>
            </w:pPr>
            <w:r>
              <w:rPr>
                <w:rFonts w:ascii="Arial" w:cs="Arial" w:eastAsia="Arial" w:hAnsi="Arial"/>
                <w:color w:val="4A5568"/>
                <w:sz w:val="21"/>
                <w:szCs w:val="21"/>
              </w:rPr>
              <w:t xml:space="preserve">Learner understands the compounding math (85% vs 115% over 5 years)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Exercise 1.2 independently with real finance data</w:t>
            </w:r>
          </w:p>
          <w:p>
            <w:pPr>
              <w:spacing w:before="30" w:after="30"/>
            </w:pPr>
            <w:r>
              <w:rPr>
                <w:rFonts w:ascii="Arial" w:cs="Arial" w:eastAsia="Arial" w:hAnsi="Arial"/>
                <w:color w:val="4A5568"/>
                <w:sz w:val="21"/>
                <w:szCs w:val="21"/>
              </w:rPr>
              <w:t xml:space="preserve">• Review their True NRR calculation step by step — not the answer, the methodology</w:t>
            </w:r>
          </w:p>
          <w:p>
            <w:pPr>
              <w:spacing w:before="30" w:after="30"/>
            </w:pPr>
            <w:r>
              <w:rPr>
                <w:rFonts w:ascii="Arial" w:cs="Arial" w:eastAsia="Arial" w:hAnsi="Arial"/>
                <w:color w:val="4A5568"/>
                <w:sz w:val="21"/>
                <w:szCs w:val="21"/>
              </w:rPr>
              <w:t xml:space="preserve">• Key coaching question: 'What does the gap between your True NRR and reported NRR tell you about where CS needs to focus?'</w:t>
            </w:r>
          </w:p>
          <w:p>
            <w:pPr>
              <w:spacing w:before="30" w:after="30"/>
            </w:pPr>
            <w:r>
              <w:rPr>
                <w:rFonts w:ascii="Arial" w:cs="Arial" w:eastAsia="Arial" w:hAnsi="Arial"/>
                <w:color w:val="4A5568"/>
                <w:sz w:val="21"/>
                <w:szCs w:val="21"/>
              </w:rPr>
              <w:t xml:space="preserve">• Close: Assign the learner to pull one specific account showing 'expansion' and verify whether it was passive or active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The compounding math: 'A dollar retained is worth five to seven times more than a dollar acquired. At 115% NRR, a $1M cohort becomes $2M in 5 years. At 85%, it becomes $444K. That gap — on the same starting cohort — is the entire case for CS as a growth function.'</w:t>
            </w:r>
          </w:p>
          <w:p>
            <w:pPr>
              <w:spacing w:before="30" w:after="30"/>
            </w:pPr>
            <w:r>
              <w:rPr>
                <w:rFonts w:ascii="Arial" w:cs="Arial" w:eastAsia="Arial" w:hAnsi="Arial"/>
                <w:color w:val="4A5568"/>
                <w:sz w:val="21"/>
                <w:szCs w:val="21"/>
              </w:rPr>
              <w:t xml:space="preserve">On gaming: 'I'm not saying your company is gaming NRR intentionally. Most of these mechanisms aren't malicious. They're accounting conventions that got adopted because they made the number look better. Your job as a CSM is to know the difference.'</w:t>
            </w:r>
          </w:p>
          <w:p>
            <w:pPr>
              <w:spacing w:before="30" w:after="30"/>
            </w:pPr>
            <w:r>
              <w:rPr>
                <w:rFonts w:ascii="Arial" w:cs="Arial" w:eastAsia="Arial" w:hAnsi="Arial"/>
                <w:color w:val="4A5568"/>
                <w:sz w:val="21"/>
                <w:szCs w:val="21"/>
              </w:rPr>
              <w:t xml:space="preserve">Acquirer framing: 'This is the number that gets scrutinized in a data room. Sophisticated acquirers strip out price increases and forced bundles. They calculate True NRR before they decide what a company is worth. If you know your True NRR before they do, you are prepared. If you don't, you get surprised.'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cannot access finance data. Work with what they have — even estimated True NRR is more useful than reported NRR. Note the data access gap for escalation.</w:t>
            </w:r>
          </w:p>
          <w:p>
            <w:pPr>
              <w:spacing w:before="30" w:after="30"/>
            </w:pPr>
            <w:r>
              <w:rPr>
                <w:rFonts w:ascii="Arial" w:cs="Arial" w:eastAsia="Arial" w:hAnsi="Arial"/>
                <w:color w:val="4A5568"/>
                <w:sz w:val="21"/>
                <w:szCs w:val="21"/>
              </w:rPr>
              <w:t xml:space="preserve">⚠ Learner doesn't see the significance of the gap. Use the compounding chart: $444K vs $2.01M from the same starting cohort over 5 years. Make it concrete.</w:t>
            </w:r>
          </w:p>
          <w:p>
            <w:pPr>
              <w:spacing w:before="30" w:after="30"/>
            </w:pPr>
            <w:r>
              <w:rPr>
                <w:rFonts w:ascii="Arial" w:cs="Arial" w:eastAsia="Arial" w:hAnsi="Arial"/>
                <w:color w:val="4A5568"/>
                <w:sz w:val="21"/>
                <w:szCs w:val="21"/>
              </w:rPr>
              <w:t xml:space="preserve">⚠ Learner confuses True NRR calculation with predicting renewals. Separate the two: Truth Test is diagnostic, not predictive.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Have the learner walk you through their calculation step by step. Don't let them hand you a number without showing their work.</w:t>
            </w:r>
          </w:p>
          <w:p>
            <w:pPr>
              <w:spacing w:before="30" w:after="30"/>
            </w:pPr>
            <w:r>
              <w:rPr>
                <w:rFonts w:ascii="Arial" w:cs="Arial" w:eastAsia="Arial" w:hAnsi="Arial"/>
                <w:color w:val="4A5568"/>
                <w:sz w:val="21"/>
                <w:szCs w:val="21"/>
              </w:rPr>
              <w:t xml:space="preserve">★ If you don't have access to the real numbers, this becomes a modeling exercise. Estimate with the data you have.</w:t>
            </w:r>
          </w:p>
          <w:p>
            <w:pPr>
              <w:spacing w:before="30" w:after="30"/>
            </w:pPr>
            <w:r>
              <w:rPr>
                <w:rFonts w:ascii="Arial" w:cs="Arial" w:eastAsia="Arial" w:hAnsi="Arial"/>
                <w:color w:val="4A5568"/>
                <w:sz w:val="21"/>
                <w:szCs w:val="21"/>
              </w:rPr>
              <w:t xml:space="preserve">★ Connect True NRR to the Week 4 presentation explicitly: 'This is one of the four things you need to nail in 4 weeks.'</w:t>
            </w:r>
          </w:p>
        </w:tc>
      </w:tr>
    </w:tbl>
    <w:p>
      <w:pPr>
        <w:spacing w:before="100" w:after="0"/>
      </w:pPr>
    </w:p>
    <w:p>
      <w:pPr>
        <w:pBdr>
          <w:bottom w:val="single" w:color="DDDDDD" w:sz="8"/>
        </w:pBdr>
        <w:spacing w:before="80" w:after="8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1.3  </w:t>
      </w:r>
      <w:r>
        <w:rPr>
          <w:rFonts w:ascii="Arial" w:cs="Arial" w:eastAsia="Arial" w:hAnsi="Arial"/>
          <w:b/>
          <w:bCs/>
          <w:color w:val="0F1F4B"/>
          <w:sz w:val="24"/>
          <w:szCs w:val="24"/>
        </w:rPr>
        <w:t xml:space="preserve">— Reading Health Scores: What They Mean and Don't</w:t>
      </w:r>
    </w:p>
    <w:p>
      <w:pPr>
        <w:spacing w:before="40" w:after="120"/>
      </w:pPr>
      <w:r>
        <w:rPr>
          <w:rFonts w:ascii="Arial" w:cs="Arial" w:eastAsia="Arial" w:hAnsi="Arial"/>
          <w:color w:val="4A5568"/>
          <w:sz w:val="20"/>
          <w:szCs w:val="20"/>
        </w:rPr>
        <w:t xml:space="preserve">⏱ 2 hours (60 min self-paced + 60 min live review)  </w:t>
      </w:r>
      <w:r>
        <w:rPr>
          <w:rFonts w:ascii="Arial" w:cs="Arial" w:eastAsia="Arial" w:hAnsi="Arial"/>
          <w:color w:val="4A5568"/>
          <w:sz w:val="20"/>
          <w:szCs w:val="20"/>
        </w:rPr>
        <w:t xml:space="preserve">  📋 Self-paced reading + collaborative account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can explain why login frequency ≠ adoption</w:t>
            </w:r>
          </w:p>
          <w:p>
            <w:pPr>
              <w:pStyle w:val="ListParagraph"/>
              <w:numPr>
                <w:ilvl w:val="0"/>
                <w:numId w:val="2"/>
              </w:numPr>
              <w:spacing w:before="30" w:after="30"/>
            </w:pPr>
            <w:r>
              <w:rPr>
                <w:rFonts w:ascii="Arial" w:cs="Arial" w:eastAsia="Arial" w:hAnsi="Arial"/>
                <w:color w:val="4A5568"/>
                <w:sz w:val="21"/>
                <w:szCs w:val="21"/>
              </w:rPr>
              <w:t xml:space="preserve">Learner has manually scored 5 accounts across all 7 components</w:t>
            </w:r>
          </w:p>
          <w:p>
            <w:pPr>
              <w:pStyle w:val="ListParagraph"/>
              <w:numPr>
                <w:ilvl w:val="0"/>
                <w:numId w:val="2"/>
              </w:numPr>
              <w:spacing w:before="30" w:after="30"/>
            </w:pPr>
            <w:r>
              <w:rPr>
                <w:rFonts w:ascii="Arial" w:cs="Arial" w:eastAsia="Arial" w:hAnsi="Arial"/>
                <w:color w:val="4A5568"/>
                <w:sz w:val="21"/>
                <w:szCs w:val="21"/>
              </w:rPr>
              <w:t xml:space="preserve">Learner can identify where their manual scores diverged from platform data and why</w:t>
            </w:r>
          </w:p>
          <w:p>
            <w:pPr>
              <w:pStyle w:val="ListParagraph"/>
              <w:numPr>
                <w:ilvl w:val="0"/>
                <w:numId w:val="2"/>
              </w:numPr>
              <w:spacing w:before="30" w:after="30"/>
            </w:pPr>
            <w:r>
              <w:rPr>
                <w:rFonts w:ascii="Arial" w:cs="Arial" w:eastAsia="Arial" w:hAnsi="Arial"/>
                <w:color w:val="4A5568"/>
                <w:sz w:val="21"/>
                <w:szCs w:val="21"/>
              </w:rPr>
              <w:t xml:space="preserve">Learner understands engagement velocity as a derivative (rate of change)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manual scoring in Exercise 1.3 BEFORE looking at platform</w:t>
            </w:r>
          </w:p>
          <w:p>
            <w:pPr>
              <w:spacing w:before="30" w:after="30"/>
            </w:pPr>
            <w:r>
              <w:rPr>
                <w:rFonts w:ascii="Arial" w:cs="Arial" w:eastAsia="Arial" w:hAnsi="Arial"/>
                <w:color w:val="4A5568"/>
                <w:sz w:val="21"/>
                <w:szCs w:val="21"/>
              </w:rPr>
              <w:t xml:space="preserve">• Compare manual scores to platform data side by side — find the gaps</w:t>
            </w:r>
          </w:p>
          <w:p>
            <w:pPr>
              <w:spacing w:before="30" w:after="30"/>
            </w:pPr>
            <w:r>
              <w:rPr>
                <w:rFonts w:ascii="Arial" w:cs="Arial" w:eastAsia="Arial" w:hAnsi="Arial"/>
                <w:color w:val="4A5568"/>
                <w:sz w:val="21"/>
                <w:szCs w:val="21"/>
              </w:rPr>
              <w:t xml:space="preserve">• Discuss: Which signals was the learner underweighting? Which was the platform underweighting?</w:t>
            </w:r>
          </w:p>
          <w:p>
            <w:pPr>
              <w:spacing w:before="30" w:after="30"/>
            </w:pPr>
            <w:r>
              <w:rPr>
                <w:rFonts w:ascii="Arial" w:cs="Arial" w:eastAsia="Arial" w:hAnsi="Arial"/>
                <w:color w:val="4A5568"/>
                <w:sz w:val="21"/>
                <w:szCs w:val="21"/>
              </w:rPr>
              <w:t xml:space="preserve">• Deep dive: Pick one account where scores diverged significantly and trace why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the 7 components: 'The goal of a health score is prediction, not description. We are not trying to describe how healthy an account is today. We are trying to predict whether they will renew and expand 6–12 months from now. Those are different problems.'</w:t>
            </w:r>
          </w:p>
          <w:p>
            <w:pPr>
              <w:spacing w:before="30" w:after="30"/>
            </w:pPr>
            <w:r>
              <w:rPr>
                <w:rFonts w:ascii="Arial" w:cs="Arial" w:eastAsia="Arial" w:hAnsi="Arial"/>
                <w:color w:val="4A5568"/>
                <w:sz w:val="21"/>
                <w:szCs w:val="21"/>
              </w:rPr>
              <w:t xml:space="preserve">On velocity: 'The derivative matters more than the level. A customer at 70% health and declining is a higher risk than a customer at 50% health and improving. One is heading toward a cliff. The other is heading toward safety. NPS cannot capture this. Usage snapshots cannot capture this. Velocity can.'</w:t>
            </w:r>
          </w:p>
          <w:p>
            <w:pPr>
              <w:spacing w:before="30" w:after="30"/>
            </w:pPr>
            <w:r>
              <w:rPr>
                <w:rFonts w:ascii="Arial" w:cs="Arial" w:eastAsia="Arial" w:hAnsi="Arial"/>
                <w:color w:val="4A5568"/>
                <w:sz w:val="21"/>
                <w:szCs w:val="21"/>
              </w:rPr>
              <w:t xml:space="preserve">On NPS weight: 'NPS is 5% of the health score. Not zero — it has some information value. But it is not the story. It is one sentence in a paragraph. Treat it that way.'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Learner's manual scores match platform data perfectly. This is suspicious — either the learner has truly internalized the right signals, or they looked at the platform first. Ask how they approached the exercise.</w:t>
            </w:r>
          </w:p>
          <w:p>
            <w:pPr>
              <w:spacing w:before="30" w:after="30"/>
            </w:pPr>
            <w:r>
              <w:rPr>
                <w:rFonts w:ascii="Arial" w:cs="Arial" w:eastAsia="Arial" w:hAnsi="Arial"/>
                <w:color w:val="4A5568"/>
                <w:sz w:val="21"/>
                <w:szCs w:val="21"/>
              </w:rPr>
              <w:t xml:space="preserve">⚠ Learner dismisses components they can't access data for. Teach them to estimate when direct data isn't available: support trajectory can be inferred from CS notes.</w:t>
            </w:r>
          </w:p>
          <w:p>
            <w:pPr>
              <w:spacing w:before="30" w:after="30"/>
            </w:pPr>
            <w:r>
              <w:rPr>
                <w:rFonts w:ascii="Arial" w:cs="Arial" w:eastAsia="Arial" w:hAnsi="Arial"/>
                <w:color w:val="4A5568"/>
                <w:sz w:val="21"/>
                <w:szCs w:val="21"/>
              </w:rPr>
              <w:t xml:space="preserve">⚠ Learner focuses too heavily on NPS in their manual scoring. Reweight in real time.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Do the manual scoring exercise yourself before the session so you have context for comparison.</w:t>
            </w:r>
          </w:p>
          <w:p>
            <w:pPr>
              <w:spacing w:before="30" w:after="30"/>
            </w:pPr>
            <w:r>
              <w:rPr>
                <w:rFonts w:ascii="Arial" w:cs="Arial" w:eastAsia="Arial" w:hAnsi="Arial"/>
                <w:color w:val="4A5568"/>
                <w:sz w:val="21"/>
                <w:szCs w:val="21"/>
              </w:rPr>
              <w:t xml:space="preserve">★ The goal is not to reach the 'right' health score — it's to understand what each component tells you. Focus discussion on the information value, not the number.</w:t>
            </w:r>
          </w:p>
          <w:p>
            <w:pPr>
              <w:spacing w:before="30" w:after="30"/>
            </w:pPr>
            <w:r>
              <w:rPr>
                <w:rFonts w:ascii="Arial" w:cs="Arial" w:eastAsia="Arial" w:hAnsi="Arial"/>
                <w:color w:val="4A5568"/>
                <w:sz w:val="21"/>
                <w:szCs w:val="21"/>
              </w:rPr>
              <w:t xml:space="preserve">★ Pick the most interesting divergence between manual and platform scores for deep discussion.</w:t>
            </w:r>
          </w:p>
        </w:tc>
      </w:tr>
    </w:tbl>
    <w:p>
      <w:pPr>
        <w:spacing w:before="100" w:after="0"/>
      </w:pPr>
    </w:p>
    <w:p>
      <w:pPr>
        <w:pBdr>
          <w:bottom w:val="single" w:color="DDDDDD" w:sz="8"/>
        </w:pBdr>
        <w:spacing w:before="80" w:after="80"/>
      </w:pPr>
    </w:p>
    <w:p>
      <w:pPr>
        <w:spacing w:before="0" w:after="0"/>
      </w:pPr>
      <w:r>
        <w:br w:type="page"/>
      </w:r>
    </w:p>
    <w:p>
      <w:pPr>
        <w:pBdr>
          <w:bottom w:val="single" w:color="00A896" w:sz="12"/>
        </w:pBdr>
        <w:spacing w:before="360" w:after="120"/>
      </w:pPr>
      <w:r>
        <w:rPr>
          <w:rFonts w:ascii="Arial" w:cs="Arial" w:eastAsia="Arial" w:hAnsi="Arial"/>
          <w:b/>
          <w:bCs/>
          <w:color w:val="0F1F4B"/>
          <w:sz w:val="36"/>
          <w:szCs w:val="36"/>
        </w:rPr>
        <w:t xml:space="preserve">Week 2 Facilitator Guide: Knowing Your Customers' Real Situation</w:t>
      </w:r>
    </w:p>
    <w:p>
      <w:pPr>
        <w:spacing w:before="60" w:after="80"/>
      </w:pPr>
      <w:r>
        <w:rPr>
          <w:rFonts w:ascii="Arial" w:cs="Arial" w:eastAsia="Arial" w:hAnsi="Arial"/>
          <w:b w:val="false"/>
          <w:bCs w:val="false"/>
          <w:color w:val="4A5568"/>
          <w:sz w:val="22"/>
          <w:szCs w:val="22"/>
        </w:rPr>
        <w:t xml:space="preserve">Week 2 moves from theory to fieldwork. The learner should be having real discovery calls with real customers this week. The facilitator's job shifts from classroom coach to field coach.</w:t>
      </w:r>
    </w:p>
    <w:p>
      <w:pPr>
        <w:pBdr>
          <w:left w:val="single" w:color="00A896" w:sz="20"/>
        </w:pBdr>
        <w:shd w:fill="00A896" w:val="clear"/>
        <w:spacing w:before="120" w:after="120"/>
        <w:ind w:left="200"/>
      </w:pPr>
      <w:r>
        <w:rPr>
          <w:rFonts w:ascii="Arial" w:cs="Arial" w:eastAsia="Arial" w:hAnsi="Arial"/>
          <w:b w:val="false"/>
          <w:bCs w:val="false"/>
          <w:color w:val="FFFFFF"/>
          <w:sz w:val="22"/>
          <w:szCs w:val="22"/>
        </w:rPr>
        <w:t xml:space="preserve">Week 2 Goal: By end of Week 2, the learner has firsthand intelligence on their top accounts that isn't in any CRM. That intelligence is the foundation of everything that follows.</w:t>
      </w:r>
    </w:p>
    <w:p>
      <w:pPr>
        <w:spacing w:before="80" w:after="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2.1  </w:t>
      </w:r>
      <w:r>
        <w:rPr>
          <w:rFonts w:ascii="Arial" w:cs="Arial" w:eastAsia="Arial" w:hAnsi="Arial"/>
          <w:b/>
          <w:bCs/>
          <w:color w:val="0F1F4B"/>
          <w:sz w:val="24"/>
          <w:szCs w:val="24"/>
        </w:rPr>
        <w:t xml:space="preserve">— The Discovery Framework</w:t>
      </w:r>
    </w:p>
    <w:p>
      <w:pPr>
        <w:spacing w:before="40" w:after="120"/>
      </w:pPr>
      <w:r>
        <w:rPr>
          <w:rFonts w:ascii="Arial" w:cs="Arial" w:eastAsia="Arial" w:hAnsi="Arial"/>
          <w:color w:val="4A5568"/>
          <w:sz w:val="20"/>
          <w:szCs w:val="20"/>
        </w:rPr>
        <w:t xml:space="preserve">⏱ 2 hours (30 min prep + 3 customer calls + 30 min debrief)  </w:t>
      </w:r>
      <w:r>
        <w:rPr>
          <w:rFonts w:ascii="Arial" w:cs="Arial" w:eastAsia="Arial" w:hAnsi="Arial"/>
          <w:color w:val="4A5568"/>
          <w:sz w:val="20"/>
          <w:szCs w:val="20"/>
        </w:rPr>
        <w:t xml:space="preserve">  📋 Field exercise with facilitator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can articulate the 5 sales handoff questions and why each matters</w:t>
            </w:r>
          </w:p>
          <w:p>
            <w:pPr>
              <w:pStyle w:val="ListParagraph"/>
              <w:numPr>
                <w:ilvl w:val="0"/>
                <w:numId w:val="2"/>
              </w:numPr>
              <w:spacing w:before="30" w:after="30"/>
            </w:pPr>
            <w:r>
              <w:rPr>
                <w:rFonts w:ascii="Arial" w:cs="Arial" w:eastAsia="Arial" w:hAnsi="Arial"/>
                <w:color w:val="4A5568"/>
                <w:sz w:val="21"/>
                <w:szCs w:val="21"/>
              </w:rPr>
              <w:t xml:space="preserve">Learner has completed 3 customer discovery calls using the framework</w:t>
            </w:r>
          </w:p>
          <w:p>
            <w:pPr>
              <w:pStyle w:val="ListParagraph"/>
              <w:numPr>
                <w:ilvl w:val="0"/>
                <w:numId w:val="2"/>
              </w:numPr>
              <w:spacing w:before="30" w:after="30"/>
            </w:pPr>
            <w:r>
              <w:rPr>
                <w:rFonts w:ascii="Arial" w:cs="Arial" w:eastAsia="Arial" w:hAnsi="Arial"/>
                <w:color w:val="4A5568"/>
                <w:sz w:val="21"/>
                <w:szCs w:val="21"/>
              </w:rPr>
              <w:t xml:space="preserve">Learner has documented what they learned that wasn't in the CRM</w:t>
            </w:r>
          </w:p>
          <w:p>
            <w:pPr>
              <w:pStyle w:val="ListParagraph"/>
              <w:numPr>
                <w:ilvl w:val="0"/>
                <w:numId w:val="2"/>
              </w:numPr>
              <w:spacing w:before="30" w:after="30"/>
            </w:pPr>
            <w:r>
              <w:rPr>
                <w:rFonts w:ascii="Arial" w:cs="Arial" w:eastAsia="Arial" w:hAnsi="Arial"/>
                <w:color w:val="4A5568"/>
                <w:sz w:val="21"/>
                <w:szCs w:val="21"/>
              </w:rPr>
              <w:t xml:space="preserve">Learner can identify the difference between a good account brief and a CRM dump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Review the 5 handoff questions. Do a 15-min role play: facilitator plays Sales, learner asks the questions.</w:t>
            </w:r>
          </w:p>
          <w:p>
            <w:pPr>
              <w:spacing w:before="30" w:after="30"/>
            </w:pPr>
            <w:r>
              <w:rPr>
                <w:rFonts w:ascii="Arial" w:cs="Arial" w:eastAsia="Arial" w:hAnsi="Arial"/>
                <w:color w:val="4A5568"/>
                <w:sz w:val="21"/>
                <w:szCs w:val="21"/>
              </w:rPr>
              <w:t xml:space="preserve">• Learner conducts 3 discovery calls (scheduled independently, facilitator available for debrief)</w:t>
            </w:r>
          </w:p>
          <w:p>
            <w:pPr>
              <w:spacing w:before="30" w:after="30"/>
            </w:pPr>
            <w:r>
              <w:rPr>
                <w:rFonts w:ascii="Arial" w:cs="Arial" w:eastAsia="Arial" w:hAnsi="Arial"/>
                <w:color w:val="4A5568"/>
                <w:sz w:val="21"/>
                <w:szCs w:val="21"/>
              </w:rPr>
              <w:t xml:space="preserve">• Post-call debrief: 'What did you learn that wasn't in the CRM? What surprised you? What are you changing about your approach to this account?'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the handoff gap: 'The most dangerous moment in any customer relationship is the handoff from Sales to CS. Sales knows things about this account that are never in the CRM — objections they raised, promises made, stakeholders who almost killed the deal. You need that intelligence before your first customer call.'</w:t>
            </w:r>
          </w:p>
          <w:p>
            <w:pPr>
              <w:spacing w:before="30" w:after="30"/>
            </w:pPr>
            <w:r>
              <w:rPr>
                <w:rFonts w:ascii="Arial" w:cs="Arial" w:eastAsia="Arial" w:hAnsi="Arial"/>
                <w:color w:val="4A5568"/>
                <w:sz w:val="21"/>
                <w:szCs w:val="21"/>
              </w:rPr>
              <w:t xml:space="preserve">On discovery vs. checking in: 'A discovery call has a specific goal: understand what the customer is trying to achieve, who else is involved, and where the gaps are between what they were promised and what they'll receive. This is not a check-in. It is intelligence gathering.'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conducts discovery calls that turn into product support calls. Coach them to redirect: 'I want to make sure we address your support question — and I'd also like to carve out 10 minutes to understand your broader goals this quarter. Can we do both?'</w:t>
            </w:r>
          </w:p>
          <w:p>
            <w:pPr>
              <w:spacing w:before="30" w:after="30"/>
            </w:pPr>
            <w:r>
              <w:rPr>
                <w:rFonts w:ascii="Arial" w:cs="Arial" w:eastAsia="Arial" w:hAnsi="Arial"/>
                <w:color w:val="4A5568"/>
                <w:sz w:val="21"/>
                <w:szCs w:val="21"/>
              </w:rPr>
              <w:t xml:space="preserve">⚠ Learner finds it difficult to schedule calls. Have a list of suggested accounts that are likely to accept a 'getting to know you' call from a new CSM.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Do the 5 handoff question role play in person if possible — it's more uncomfortable and more realistic.</w:t>
            </w:r>
          </w:p>
          <w:p>
            <w:pPr>
              <w:spacing w:before="30" w:after="30"/>
            </w:pPr>
            <w:r>
              <w:rPr>
                <w:rFonts w:ascii="Arial" w:cs="Arial" w:eastAsia="Arial" w:hAnsi="Arial"/>
                <w:color w:val="4A5568"/>
                <w:sz w:val="21"/>
                <w:szCs w:val="21"/>
              </w:rPr>
              <w:t xml:space="preserve">★ Review the documented call summaries before the debrief. You can only coach on specifics.</w:t>
            </w:r>
          </w:p>
          <w:p>
            <w:pPr>
              <w:spacing w:before="30" w:after="30"/>
            </w:pPr>
            <w:r>
              <w:rPr>
                <w:rFonts w:ascii="Arial" w:cs="Arial" w:eastAsia="Arial" w:hAnsi="Arial"/>
                <w:color w:val="4A5568"/>
                <w:sz w:val="21"/>
                <w:szCs w:val="21"/>
              </w:rPr>
              <w:t xml:space="preserve">★ Probe for what wasn't in the CRM, not what was.</w:t>
            </w:r>
          </w:p>
        </w:tc>
      </w:tr>
    </w:tbl>
    <w:p>
      <w:pPr>
        <w:spacing w:before="100" w:after="0"/>
      </w:pPr>
    </w:p>
    <w:p>
      <w:pPr>
        <w:pBdr>
          <w:bottom w:val="single" w:color="DDDDDD" w:sz="8"/>
        </w:pBdr>
        <w:spacing w:before="80" w:after="8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2.2  </w:t>
      </w:r>
      <w:r>
        <w:rPr>
          <w:rFonts w:ascii="Arial" w:cs="Arial" w:eastAsia="Arial" w:hAnsi="Arial"/>
          <w:b/>
          <w:bCs/>
          <w:color w:val="0F1F4B"/>
          <w:sz w:val="24"/>
          <w:szCs w:val="24"/>
        </w:rPr>
        <w:t xml:space="preserve">— Champion Mapping &amp; Stakeholder Intelligence</w:t>
      </w:r>
    </w:p>
    <w:p>
      <w:pPr>
        <w:spacing w:before="40" w:after="120"/>
      </w:pPr>
      <w:r>
        <w:rPr>
          <w:rFonts w:ascii="Arial" w:cs="Arial" w:eastAsia="Arial" w:hAnsi="Arial"/>
          <w:color w:val="4A5568"/>
          <w:sz w:val="20"/>
          <w:szCs w:val="20"/>
        </w:rPr>
        <w:t xml:space="preserve">⏱ 90 min (45 min fieldwork + 45 min facilitated review)  </w:t>
      </w:r>
      <w:r>
        <w:rPr>
          <w:rFonts w:ascii="Arial" w:cs="Arial" w:eastAsia="Arial" w:hAnsi="Arial"/>
          <w:color w:val="4A5568"/>
          <w:sz w:val="20"/>
          <w:szCs w:val="20"/>
        </w:rPr>
        <w:t xml:space="preserve">  📋 Field exercise + collaborative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has built stakeholder maps for 3 top accounts</w:t>
            </w:r>
          </w:p>
          <w:p>
            <w:pPr>
              <w:pStyle w:val="ListParagraph"/>
              <w:numPr>
                <w:ilvl w:val="0"/>
                <w:numId w:val="2"/>
              </w:numPr>
              <w:spacing w:before="30" w:after="30"/>
            </w:pPr>
            <w:r>
              <w:rPr>
                <w:rFonts w:ascii="Arial" w:cs="Arial" w:eastAsia="Arial" w:hAnsi="Arial"/>
                <w:color w:val="4A5568"/>
                <w:sz w:val="21"/>
                <w:szCs w:val="21"/>
              </w:rPr>
              <w:t xml:space="preserve">Learner can identify coverage gaps (stakeholders they don't have a relationship with)</w:t>
            </w:r>
          </w:p>
          <w:p>
            <w:pPr>
              <w:pStyle w:val="ListParagraph"/>
              <w:numPr>
                <w:ilvl w:val="0"/>
                <w:numId w:val="2"/>
              </w:numPr>
              <w:spacing w:before="30" w:after="30"/>
            </w:pPr>
            <w:r>
              <w:rPr>
                <w:rFonts w:ascii="Arial" w:cs="Arial" w:eastAsia="Arial" w:hAnsi="Arial"/>
                <w:color w:val="4A5568"/>
                <w:sz w:val="21"/>
                <w:szCs w:val="21"/>
              </w:rPr>
              <w:t xml:space="preserve">Learner understands the 48-hour champion departure protocol</w:t>
            </w:r>
          </w:p>
          <w:p>
            <w:pPr>
              <w:pStyle w:val="ListParagraph"/>
              <w:numPr>
                <w:ilvl w:val="0"/>
                <w:numId w:val="2"/>
              </w:numPr>
              <w:spacing w:before="30" w:after="30"/>
            </w:pPr>
            <w:r>
              <w:rPr>
                <w:rFonts w:ascii="Arial" w:cs="Arial" w:eastAsia="Arial" w:hAnsi="Arial"/>
                <w:color w:val="4A5568"/>
                <w:sz w:val="21"/>
                <w:szCs w:val="21"/>
              </w:rPr>
              <w:t xml:space="preserve">Learner can distinguish champion from sponsor from user in their accounts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stakeholder maps independently</w:t>
            </w:r>
          </w:p>
          <w:p>
            <w:pPr>
              <w:spacing w:before="30" w:after="30"/>
            </w:pPr>
            <w:r>
              <w:rPr>
                <w:rFonts w:ascii="Arial" w:cs="Arial" w:eastAsia="Arial" w:hAnsi="Arial"/>
                <w:color w:val="4A5568"/>
                <w:sz w:val="21"/>
                <w:szCs w:val="21"/>
              </w:rPr>
              <w:t xml:space="preserve">• Live review: Walk through each stakeholder map. For every stakeholder listed, ask: 'When did you last speak to this person? What was the topic? What did you learn?'</w:t>
            </w:r>
          </w:p>
          <w:p>
            <w:pPr>
              <w:spacing w:before="30" w:after="30"/>
            </w:pPr>
            <w:r>
              <w:rPr>
                <w:rFonts w:ascii="Arial" w:cs="Arial" w:eastAsia="Arial" w:hAnsi="Arial"/>
                <w:color w:val="4A5568"/>
                <w:sz w:val="21"/>
                <w:szCs w:val="21"/>
              </w:rPr>
              <w:t xml:space="preserve">• Identify coverage gaps: 'Who is missing from this map that could either accelerate or kill this relationship?'</w:t>
            </w:r>
          </w:p>
          <w:p>
            <w:pPr>
              <w:spacing w:before="30" w:after="30"/>
            </w:pPr>
            <w:r>
              <w:rPr>
                <w:rFonts w:ascii="Arial" w:cs="Arial" w:eastAsia="Arial" w:hAnsi="Arial"/>
                <w:color w:val="4A5568"/>
                <w:sz w:val="21"/>
                <w:szCs w:val="21"/>
              </w:rPr>
              <w:t xml:space="preserve">• Close: 'What would you do differently in the next 30 days based on what you've mapped?'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champion departure: 'When a champion leaves, the clock starts. Your competitor's CSM is going to call the moment they see the LinkedIn update. If you're not faster — and more prepared — you will lose accounts you should have kept.'</w:t>
            </w:r>
          </w:p>
          <w:p>
            <w:pPr>
              <w:spacing w:before="30" w:after="30"/>
            </w:pPr>
            <w:r>
              <w:rPr>
                <w:rFonts w:ascii="Arial" w:cs="Arial" w:eastAsia="Arial" w:hAnsi="Arial"/>
                <w:color w:val="4A5568"/>
                <w:sz w:val="21"/>
                <w:szCs w:val="21"/>
              </w:rPr>
              <w:t xml:space="preserve">On sponsor relationships: 'Most CSMs have a champion relationship and call it a stakeholder strategy. It isn't. The sponsor controls the budget. If your champion leaves and you've never spoken to the sponsor, you're starting from zero at the worst possible moment.'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lists stakeholders they have no contact with, then says 'I need to reach out.' Coach them to be specific: how, when, with what opening.</w:t>
            </w:r>
          </w:p>
          <w:p>
            <w:pPr>
              <w:spacing w:before="30" w:after="30"/>
            </w:pPr>
            <w:r>
              <w:rPr>
                <w:rFonts w:ascii="Arial" w:cs="Arial" w:eastAsia="Arial" w:hAnsi="Arial"/>
                <w:color w:val="4A5568"/>
                <w:sz w:val="21"/>
                <w:szCs w:val="21"/>
              </w:rPr>
              <w:t xml:space="preserve">⚠ Learner focuses on users at the expense of sponsors. Push upward.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Look for patterns across the 3 accounts — common gaps reveal systemic issues, not just account-level risks.</w:t>
            </w:r>
          </w:p>
          <w:p>
            <w:pPr>
              <w:spacing w:before="30" w:after="30"/>
            </w:pPr>
            <w:r>
              <w:rPr>
                <w:rFonts w:ascii="Arial" w:cs="Arial" w:eastAsia="Arial" w:hAnsi="Arial"/>
                <w:color w:val="4A5568"/>
                <w:sz w:val="21"/>
                <w:szCs w:val="21"/>
              </w:rPr>
              <w:t xml:space="preserve">★ Ask the learner to rate their confidence in each relationship (1–5). Low-confidence relationships are where to focus.</w:t>
            </w:r>
          </w:p>
        </w:tc>
      </w:tr>
    </w:tbl>
    <w:p>
      <w:pPr>
        <w:spacing w:before="100" w:after="0"/>
      </w:pPr>
    </w:p>
    <w:p>
      <w:pPr>
        <w:pBdr>
          <w:bottom w:val="single" w:color="DDDDDD" w:sz="8"/>
        </w:pBdr>
        <w:spacing w:before="80" w:after="8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2.3  </w:t>
      </w:r>
      <w:r>
        <w:rPr>
          <w:rFonts w:ascii="Arial" w:cs="Arial" w:eastAsia="Arial" w:hAnsi="Arial"/>
          <w:b/>
          <w:bCs/>
          <w:color w:val="0F1F4B"/>
          <w:sz w:val="24"/>
          <w:szCs w:val="24"/>
        </w:rPr>
        <w:t xml:space="preserve">— Segmentation and Time Management</w:t>
      </w:r>
    </w:p>
    <w:p>
      <w:pPr>
        <w:spacing w:before="40" w:after="120"/>
      </w:pPr>
      <w:r>
        <w:rPr>
          <w:rFonts w:ascii="Arial" w:cs="Arial" w:eastAsia="Arial" w:hAnsi="Arial"/>
          <w:color w:val="4A5568"/>
          <w:sz w:val="20"/>
          <w:szCs w:val="20"/>
        </w:rPr>
        <w:t xml:space="preserve">⏱ 90 min (30 min self-paced + 60 min review)  </w:t>
      </w:r>
      <w:r>
        <w:rPr>
          <w:rFonts w:ascii="Arial" w:cs="Arial" w:eastAsia="Arial" w:hAnsi="Arial"/>
          <w:color w:val="4A5568"/>
          <w:sz w:val="20"/>
          <w:szCs w:val="20"/>
        </w:rPr>
        <w:t xml:space="preserve">  📋 Self-paced tiering exercise + facilitated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has tiered their full book using a defined, data-driven criteria</w:t>
            </w:r>
          </w:p>
          <w:p>
            <w:pPr>
              <w:pStyle w:val="ListParagraph"/>
              <w:numPr>
                <w:ilvl w:val="0"/>
                <w:numId w:val="2"/>
              </w:numPr>
              <w:spacing w:before="30" w:after="30"/>
            </w:pPr>
            <w:r>
              <w:rPr>
                <w:rFonts w:ascii="Arial" w:cs="Arial" w:eastAsia="Arial" w:hAnsi="Arial"/>
                <w:color w:val="4A5568"/>
                <w:sz w:val="21"/>
                <w:szCs w:val="21"/>
              </w:rPr>
              <w:t xml:space="preserve">Learner has documented the engagement model for each tier</w:t>
            </w:r>
          </w:p>
          <w:p>
            <w:pPr>
              <w:pStyle w:val="ListParagraph"/>
              <w:numPr>
                <w:ilvl w:val="0"/>
                <w:numId w:val="2"/>
              </w:numPr>
              <w:spacing w:before="30" w:after="30"/>
            </w:pPr>
            <w:r>
              <w:rPr>
                <w:rFonts w:ascii="Arial" w:cs="Arial" w:eastAsia="Arial" w:hAnsi="Arial"/>
                <w:color w:val="4A5568"/>
                <w:sz w:val="21"/>
                <w:szCs w:val="21"/>
              </w:rPr>
              <w:t xml:space="preserve">Learner can articulate why their current time allocation doesn't match the tiering</w:t>
            </w:r>
          </w:p>
          <w:p>
            <w:pPr>
              <w:pStyle w:val="ListParagraph"/>
              <w:numPr>
                <w:ilvl w:val="0"/>
                <w:numId w:val="2"/>
              </w:numPr>
              <w:spacing w:before="30" w:after="30"/>
            </w:pPr>
            <w:r>
              <w:rPr>
                <w:rFonts w:ascii="Arial" w:cs="Arial" w:eastAsia="Arial" w:hAnsi="Arial"/>
                <w:color w:val="4A5568"/>
                <w:sz w:val="21"/>
                <w:szCs w:val="21"/>
              </w:rPr>
              <w:t xml:space="preserve">Learner has a specific plan to rebalance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full book tiering independently</w:t>
            </w:r>
          </w:p>
          <w:p>
            <w:pPr>
              <w:spacing w:before="30" w:after="30"/>
            </w:pPr>
            <w:r>
              <w:rPr>
                <w:rFonts w:ascii="Arial" w:cs="Arial" w:eastAsia="Arial" w:hAnsi="Arial"/>
                <w:color w:val="4A5568"/>
                <w:sz w:val="21"/>
                <w:szCs w:val="21"/>
              </w:rPr>
              <w:t xml:space="preserve">• Open with: 'Walk me through how you decided which accounts belong in Tier 1.' Push for data-based criteria.</w:t>
            </w:r>
          </w:p>
          <w:p>
            <w:pPr>
              <w:spacing w:before="30" w:after="30"/>
            </w:pPr>
            <w:r>
              <w:rPr>
                <w:rFonts w:ascii="Arial" w:cs="Arial" w:eastAsia="Arial" w:hAnsi="Arial"/>
                <w:color w:val="4A5568"/>
                <w:sz w:val="21"/>
                <w:szCs w:val="21"/>
              </w:rPr>
              <w:t xml:space="preserve">• Time audit: 'Where does your time actually go today? Walk me through last week.' Compare to tiering output.</w:t>
            </w:r>
          </w:p>
          <w:p>
            <w:pPr>
              <w:spacing w:before="30" w:after="30"/>
            </w:pPr>
            <w:r>
              <w:rPr>
                <w:rFonts w:ascii="Arial" w:cs="Arial" w:eastAsia="Arial" w:hAnsi="Arial"/>
                <w:color w:val="4A5568"/>
                <w:sz w:val="21"/>
                <w:szCs w:val="21"/>
              </w:rPr>
              <w:t xml:space="preserve">• Close: 'Given this tiering, what is the single biggest change to how you allocate your time?'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flat books: 'Treating a $5K account the same as a $500K account is not fair — it's a disservice to both. The $500K account is getting half the attention it deserves. The $5K account is getting more human time than it needs or can absorb. Neither outcome serves the business.'</w:t>
            </w:r>
          </w:p>
          <w:p>
            <w:pPr>
              <w:spacing w:before="30" w:after="30"/>
            </w:pPr>
            <w:r>
              <w:rPr>
                <w:rFonts w:ascii="Arial" w:cs="Arial" w:eastAsia="Arial" w:hAnsi="Arial"/>
                <w:color w:val="4A5568"/>
                <w:sz w:val="21"/>
                <w:szCs w:val="21"/>
              </w:rPr>
              <w:t xml:space="preserve">On Tier 3 automation: 'Automation for Tier 3 is not neglect. It is appropriate resourcing. A low-ARR account with stable health signals does not need a monthly call from a human. They need fast, reliable automated touchpoints — and a clear escalation path if something changes.'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puts too many accounts in Tier 1 ('they're all important'). Push: if everything is Tier 1, nothing is. What does that do to the accounts that genuinely need intensive support?</w:t>
            </w:r>
          </w:p>
          <w:p>
            <w:pPr>
              <w:spacing w:before="30" w:after="30"/>
            </w:pPr>
            <w:r>
              <w:rPr>
                <w:rFonts w:ascii="Arial" w:cs="Arial" w:eastAsia="Arial" w:hAnsi="Arial"/>
                <w:color w:val="4A5568"/>
                <w:sz w:val="21"/>
                <w:szCs w:val="21"/>
              </w:rPr>
              <w:t xml:space="preserve">⚠ Learner uses ARR as the only tiering criterion. Health score and expansion potential are equally important inputs.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Have the learner bring their calendar for last week. The gap between what they say they prioritize and how they spend their time is usually the most useful data point in this session.</w:t>
            </w:r>
          </w:p>
        </w:tc>
      </w:tr>
    </w:tbl>
    <w:p>
      <w:pPr>
        <w:spacing w:before="100" w:after="0"/>
      </w:pPr>
    </w:p>
    <w:p>
      <w:pPr>
        <w:pBdr>
          <w:bottom w:val="single" w:color="DDDDDD" w:sz="8"/>
        </w:pBdr>
        <w:spacing w:before="80" w:after="80"/>
      </w:pPr>
    </w:p>
    <w:p>
      <w:pPr>
        <w:spacing w:before="0" w:after="0"/>
      </w:pPr>
      <w:r>
        <w:br w:type="page"/>
      </w:r>
    </w:p>
    <w:p>
      <w:pPr>
        <w:pBdr>
          <w:bottom w:val="single" w:color="00A896" w:sz="12"/>
        </w:pBdr>
        <w:spacing w:before="360" w:after="120"/>
      </w:pPr>
      <w:r>
        <w:rPr>
          <w:rFonts w:ascii="Arial" w:cs="Arial" w:eastAsia="Arial" w:hAnsi="Arial"/>
          <w:b/>
          <w:bCs/>
          <w:color w:val="0F1F4B"/>
          <w:sz w:val="36"/>
          <w:szCs w:val="36"/>
        </w:rPr>
        <w:t xml:space="preserve">Week 3 Facilitator Guide: Signals and Moments</w:t>
      </w:r>
    </w:p>
    <w:p>
      <w:pPr>
        <w:spacing w:before="60" w:after="80"/>
      </w:pPr>
      <w:r>
        <w:rPr>
          <w:rFonts w:ascii="Arial" w:cs="Arial" w:eastAsia="Arial" w:hAnsi="Arial"/>
          <w:b w:val="false"/>
          <w:bCs w:val="false"/>
          <w:color w:val="4A5568"/>
          <w:sz w:val="22"/>
          <w:szCs w:val="22"/>
        </w:rPr>
        <w:t xml:space="preserve">Week 3 is where the learner transitions from understanding frameworks to detecting live signals in their actual accounts. By end of Week 3, they should be able to identify at least one active Moment That Matters in their book.</w:t>
      </w:r>
    </w:p>
    <w:p>
      <w:pPr>
        <w:pBdr>
          <w:left w:val="single" w:color="00A896" w:sz="20"/>
        </w:pBdr>
        <w:shd w:fill="00A896" w:val="clear"/>
        <w:spacing w:before="120" w:after="120"/>
        <w:ind w:left="200"/>
      </w:pPr>
      <w:r>
        <w:rPr>
          <w:rFonts w:ascii="Arial" w:cs="Arial" w:eastAsia="Arial" w:hAnsi="Arial"/>
          <w:b w:val="false"/>
          <w:bCs w:val="false"/>
          <w:color w:val="FFFFFF"/>
          <w:sz w:val="22"/>
          <w:szCs w:val="22"/>
        </w:rPr>
        <w:t xml:space="preserve">Week 3 Goal: Active Moment identification in real accounts. The learner should be taking a real intervention action this week, not just completing exercises.</w:t>
      </w:r>
    </w:p>
    <w:p>
      <w:pPr>
        <w:spacing w:before="80" w:after="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3.1  </w:t>
      </w:r>
      <w:r>
        <w:rPr>
          <w:rFonts w:ascii="Arial" w:cs="Arial" w:eastAsia="Arial" w:hAnsi="Arial"/>
          <w:b/>
          <w:bCs/>
          <w:color w:val="0F1F4B"/>
          <w:sz w:val="24"/>
          <w:szCs w:val="24"/>
        </w:rPr>
        <w:t xml:space="preserve">— The 5 Moments That Matter</w:t>
      </w:r>
    </w:p>
    <w:p>
      <w:pPr>
        <w:spacing w:before="40" w:after="120"/>
      </w:pPr>
      <w:r>
        <w:rPr>
          <w:rFonts w:ascii="Arial" w:cs="Arial" w:eastAsia="Arial" w:hAnsi="Arial"/>
          <w:color w:val="4A5568"/>
          <w:sz w:val="20"/>
          <w:szCs w:val="20"/>
        </w:rPr>
        <w:t xml:space="preserve">⏱ 2 hours (60 min self-paced + 60 min live account review)  </w:t>
      </w:r>
      <w:r>
        <w:rPr>
          <w:rFonts w:ascii="Arial" w:cs="Arial" w:eastAsia="Arial" w:hAnsi="Arial"/>
          <w:color w:val="4A5568"/>
          <w:sz w:val="20"/>
          <w:szCs w:val="20"/>
        </w:rPr>
        <w:t xml:space="preserve">  📋 Self-paced + live account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can identify all 5 Moments from memory, with timing and signal for each</w:t>
            </w:r>
          </w:p>
          <w:p>
            <w:pPr>
              <w:pStyle w:val="ListParagraph"/>
              <w:numPr>
                <w:ilvl w:val="0"/>
                <w:numId w:val="2"/>
              </w:numPr>
              <w:spacing w:before="30" w:after="30"/>
            </w:pPr>
            <w:r>
              <w:rPr>
                <w:rFonts w:ascii="Arial" w:cs="Arial" w:eastAsia="Arial" w:hAnsi="Arial"/>
                <w:color w:val="4A5568"/>
                <w:sz w:val="21"/>
                <w:szCs w:val="21"/>
              </w:rPr>
              <w:t xml:space="preserve">Learner has identified at least one active Moment in their live book</w:t>
            </w:r>
          </w:p>
          <w:p>
            <w:pPr>
              <w:pStyle w:val="ListParagraph"/>
              <w:numPr>
                <w:ilvl w:val="0"/>
                <w:numId w:val="2"/>
              </w:numPr>
              <w:spacing w:before="30" w:after="30"/>
            </w:pPr>
            <w:r>
              <w:rPr>
                <w:rFonts w:ascii="Arial" w:cs="Arial" w:eastAsia="Arial" w:hAnsi="Arial"/>
                <w:color w:val="4A5568"/>
                <w:sz w:val="21"/>
                <w:szCs w:val="21"/>
              </w:rPr>
              <w:t xml:space="preserve">Learner has a specific intervention plan for that Moment</w:t>
            </w:r>
          </w:p>
          <w:p>
            <w:pPr>
              <w:pStyle w:val="ListParagraph"/>
              <w:numPr>
                <w:ilvl w:val="0"/>
                <w:numId w:val="2"/>
              </w:numPr>
              <w:spacing w:before="30" w:after="30"/>
            </w:pPr>
            <w:r>
              <w:rPr>
                <w:rFonts w:ascii="Arial" w:cs="Arial" w:eastAsia="Arial" w:hAnsi="Arial"/>
                <w:color w:val="4A5568"/>
                <w:sz w:val="21"/>
                <w:szCs w:val="21"/>
              </w:rPr>
              <w:t xml:space="preserve">Learner understands why T-180 renewal prep outperforms T-90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Exercise 3.1 — Moment identification in live book</w:t>
            </w:r>
          </w:p>
          <w:p>
            <w:pPr>
              <w:spacing w:before="30" w:after="30"/>
            </w:pPr>
            <w:r>
              <w:rPr>
                <w:rFonts w:ascii="Arial" w:cs="Arial" w:eastAsia="Arial" w:hAnsi="Arial"/>
                <w:color w:val="4A5568"/>
                <w:sz w:val="21"/>
                <w:szCs w:val="21"/>
              </w:rPr>
              <w:t xml:space="preserve">• Live review: 'Show me the account where the Moment is most active. Show me the data that tells you this is the right call.'</w:t>
            </w:r>
          </w:p>
          <w:p>
            <w:pPr>
              <w:spacing w:before="30" w:after="30"/>
            </w:pPr>
            <w:r>
              <w:rPr>
                <w:rFonts w:ascii="Arial" w:cs="Arial" w:eastAsia="Arial" w:hAnsi="Arial"/>
                <w:color w:val="4A5568"/>
                <w:sz w:val="21"/>
                <w:szCs w:val="21"/>
              </w:rPr>
              <w:t xml:space="preserve">• Role play: Learner executes the intervention outreach with facilitator as customer</w:t>
            </w:r>
          </w:p>
          <w:p>
            <w:pPr>
              <w:spacing w:before="30" w:after="30"/>
            </w:pPr>
            <w:r>
              <w:rPr>
                <w:rFonts w:ascii="Arial" w:cs="Arial" w:eastAsia="Arial" w:hAnsi="Arial"/>
                <w:color w:val="4A5568"/>
                <w:sz w:val="21"/>
                <w:szCs w:val="21"/>
              </w:rPr>
              <w:t xml:space="preserve">• Debrief: What would they have done differently if they hadn't learned about this Moment?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Support Escalation: 'A single ticket is noise. Two in a week is a data point. Four in a month is a signal. When ticket velocity doubles week over week, the account is telling you something is wrong before any human has connected the dots.'</w:t>
            </w:r>
          </w:p>
          <w:p>
            <w:pPr>
              <w:spacing w:before="30" w:after="30"/>
            </w:pPr>
            <w:r>
              <w:rPr>
                <w:rFonts w:ascii="Arial" w:cs="Arial" w:eastAsia="Arial" w:hAnsi="Arial"/>
                <w:color w:val="4A5568"/>
                <w:sz w:val="21"/>
                <w:szCs w:val="21"/>
              </w:rPr>
              <w:t xml:space="preserve">On Renewal Gravity Well: 'The companies that start renewal at T-90 are playing defense. They're trying to save accounts that have already mentally moved on. The companies that start at T-180 are playing offense. They're resolving the issues that would become renewal objections before renewal is even on the table.'</w:t>
            </w:r>
          </w:p>
          <w:p>
            <w:pPr>
              <w:spacing w:before="30" w:after="30"/>
            </w:pPr>
            <w:r>
              <w:rPr>
                <w:rFonts w:ascii="Arial" w:cs="Arial" w:eastAsia="Arial" w:hAnsi="Arial"/>
                <w:color w:val="4A5568"/>
                <w:sz w:val="21"/>
                <w:szCs w:val="21"/>
              </w:rPr>
              <w:t xml:space="preserve">On Expansion Window: 'The best expansion revenue feels like the customer asked for it. They did — you just created the conditions that made asking feel natural. The Expansion Window is when those conditions exist. Miss it, and you wait for the next budget cycle.'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can identify Moments in theory but not in their actual accounts. If this happens, go to the data together: pull one account's usage history, support ticket velocity, and engagement trend. Find the signal together.</w:t>
            </w:r>
          </w:p>
          <w:p>
            <w:pPr>
              <w:spacing w:before="30" w:after="30"/>
            </w:pPr>
            <w:r>
              <w:rPr>
                <w:rFonts w:ascii="Arial" w:cs="Arial" w:eastAsia="Arial" w:hAnsi="Arial"/>
                <w:color w:val="4A5568"/>
                <w:sz w:val="21"/>
                <w:szCs w:val="21"/>
              </w:rPr>
              <w:t xml:space="preserve">⚠ Learner treats all Moments as equally urgent. Coach on prioritization: Champion Change and Support Escalation are time-sensitive; Expansion Window is opportunity-sensitive.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Come to this session having already reviewed the learner's Exercise 3.1 submission so you can ask specific questions about specific accounts.</w:t>
            </w:r>
          </w:p>
          <w:p>
            <w:pPr>
              <w:spacing w:before="30" w:after="30"/>
            </w:pPr>
            <w:r>
              <w:rPr>
                <w:rFonts w:ascii="Arial" w:cs="Arial" w:eastAsia="Arial" w:hAnsi="Arial"/>
                <w:color w:val="4A5568"/>
                <w:sz w:val="21"/>
                <w:szCs w:val="21"/>
              </w:rPr>
              <w:t xml:space="preserve">★ The role play is critical — reading about Moments is not the same as having the conversation. Run it.</w:t>
            </w:r>
          </w:p>
        </w:tc>
      </w:tr>
    </w:tbl>
    <w:p>
      <w:pPr>
        <w:spacing w:before="100" w:after="0"/>
      </w:pPr>
    </w:p>
    <w:p>
      <w:pPr>
        <w:pBdr>
          <w:bottom w:val="single" w:color="DDDDDD" w:sz="8"/>
        </w:pBdr>
        <w:spacing w:before="80" w:after="8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3.2  </w:t>
      </w:r>
      <w:r>
        <w:rPr>
          <w:rFonts w:ascii="Arial" w:cs="Arial" w:eastAsia="Arial" w:hAnsi="Arial"/>
          <w:b/>
          <w:bCs/>
          <w:color w:val="0F1F4B"/>
          <w:sz w:val="24"/>
          <w:szCs w:val="24"/>
        </w:rPr>
        <w:t xml:space="preserve">— Negative Touchpoints: The Relationship Tax</w:t>
      </w:r>
    </w:p>
    <w:p>
      <w:pPr>
        <w:spacing w:before="40" w:after="120"/>
      </w:pPr>
      <w:r>
        <w:rPr>
          <w:rFonts w:ascii="Arial" w:cs="Arial" w:eastAsia="Arial" w:hAnsi="Arial"/>
          <w:color w:val="4A5568"/>
          <w:sz w:val="20"/>
          <w:szCs w:val="20"/>
        </w:rPr>
        <w:t xml:space="preserve">⏱ 90 min (30 min self-paced + 60 min touchpoint audit debrief)  </w:t>
      </w:r>
      <w:r>
        <w:rPr>
          <w:rFonts w:ascii="Arial" w:cs="Arial" w:eastAsia="Arial" w:hAnsi="Arial"/>
          <w:color w:val="4A5568"/>
          <w:sz w:val="20"/>
          <w:szCs w:val="20"/>
        </w:rPr>
        <w:t xml:space="preserve">  📋 Self-paced + audit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has audited their last 10 customer interactions</w:t>
            </w:r>
          </w:p>
          <w:p>
            <w:pPr>
              <w:pStyle w:val="ListParagraph"/>
              <w:numPr>
                <w:ilvl w:val="0"/>
                <w:numId w:val="2"/>
              </w:numPr>
              <w:spacing w:before="30" w:after="30"/>
            </w:pPr>
            <w:r>
              <w:rPr>
                <w:rFonts w:ascii="Arial" w:cs="Arial" w:eastAsia="Arial" w:hAnsi="Arial"/>
                <w:color w:val="4A5568"/>
                <w:sz w:val="21"/>
                <w:szCs w:val="21"/>
              </w:rPr>
              <w:t xml:space="preserve">Learner can classify interactions as value-add or negative touchpoint with specific reasoning</w:t>
            </w:r>
          </w:p>
          <w:p>
            <w:pPr>
              <w:pStyle w:val="ListParagraph"/>
              <w:numPr>
                <w:ilvl w:val="0"/>
                <w:numId w:val="2"/>
              </w:numPr>
              <w:spacing w:before="30" w:after="30"/>
            </w:pPr>
            <w:r>
              <w:rPr>
                <w:rFonts w:ascii="Arial" w:cs="Arial" w:eastAsia="Arial" w:hAnsi="Arial"/>
                <w:color w:val="4A5568"/>
                <w:sz w:val="21"/>
                <w:szCs w:val="21"/>
              </w:rPr>
              <w:t xml:space="preserve">Learner has stopped sending 'checking in' emails</w:t>
            </w:r>
          </w:p>
          <w:p>
            <w:pPr>
              <w:pStyle w:val="ListParagraph"/>
              <w:numPr>
                <w:ilvl w:val="0"/>
                <w:numId w:val="2"/>
              </w:numPr>
              <w:spacing w:before="30" w:after="30"/>
            </w:pPr>
            <w:r>
              <w:rPr>
                <w:rFonts w:ascii="Arial" w:cs="Arial" w:eastAsia="Arial" w:hAnsi="Arial"/>
                <w:color w:val="4A5568"/>
                <w:sz w:val="21"/>
                <w:szCs w:val="21"/>
              </w:rPr>
              <w:t xml:space="preserve">Learner understands the signal-triggered vs. calendar-triggered distinction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Exercise 3.2 — Touchpoint Audit</w:t>
            </w:r>
          </w:p>
          <w:p>
            <w:pPr>
              <w:spacing w:before="30" w:after="30"/>
            </w:pPr>
            <w:r>
              <w:rPr>
                <w:rFonts w:ascii="Arial" w:cs="Arial" w:eastAsia="Arial" w:hAnsi="Arial"/>
                <w:color w:val="4A5568"/>
                <w:sz w:val="21"/>
                <w:szCs w:val="21"/>
              </w:rPr>
              <w:t xml:space="preserve">• Open with: 'What percentage of your interactions were value-adds? What does that tell you?'</w:t>
            </w:r>
          </w:p>
          <w:p>
            <w:pPr>
              <w:spacing w:before="30" w:after="30"/>
            </w:pPr>
            <w:r>
              <w:rPr>
                <w:rFonts w:ascii="Arial" w:cs="Arial" w:eastAsia="Arial" w:hAnsi="Arial"/>
                <w:color w:val="4A5568"/>
                <w:sz w:val="21"/>
                <w:szCs w:val="21"/>
              </w:rPr>
              <w:t xml:space="preserve">• For each negative touchpoint, ask: 'What signal would have been the right trigger for this interaction?'</w:t>
            </w:r>
          </w:p>
          <w:p>
            <w:pPr>
              <w:spacing w:before="30" w:after="30"/>
            </w:pPr>
            <w:r>
              <w:rPr>
                <w:rFonts w:ascii="Arial" w:cs="Arial" w:eastAsia="Arial" w:hAnsi="Arial"/>
                <w:color w:val="4A5568"/>
                <w:sz w:val="21"/>
                <w:szCs w:val="21"/>
              </w:rPr>
              <w:t xml:space="preserve">• Close: 'What is the one touchpoint habit you're eliminating starting today?'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the checking in trap: 'The phrase "just checking in" tells the customer you have nothing specific to discuss. Every time they receive this email, they get a little better at ignoring you. Twelve months of monthly check-in emails means twelve withdrawals from a relationship account you never replenish.'</w:t>
            </w:r>
          </w:p>
          <w:p>
            <w:pPr>
              <w:spacing w:before="30" w:after="30"/>
            </w:pPr>
            <w:r>
              <w:rPr>
                <w:rFonts w:ascii="Arial" w:cs="Arial" w:eastAsia="Arial" w:hAnsi="Arial"/>
                <w:color w:val="4A5568"/>
                <w:sz w:val="21"/>
                <w:szCs w:val="21"/>
              </w:rPr>
              <w:t xml:space="preserve">The math: '300 hours per CSM per year consumed by negative touchpoints. At a fully loaded cost of $120K, that's $17,000 per CSM per year spent on relationship erosion. For a team of 10, that's $170,000 annually — not on retention, but on training customers to filter your communications.'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defends their check-in emails because 'customers respond to them.' A response is not evidence of value. What did the customer get from that interaction?</w:t>
            </w:r>
          </w:p>
          <w:p>
            <w:pPr>
              <w:spacing w:before="30" w:after="30"/>
            </w:pPr>
            <w:r>
              <w:rPr>
                <w:rFonts w:ascii="Arial" w:cs="Arial" w:eastAsia="Arial" w:hAnsi="Arial"/>
                <w:color w:val="4A5568"/>
                <w:sz w:val="21"/>
                <w:szCs w:val="21"/>
              </w:rPr>
              <w:t xml:space="preserve">⚠ Learner doesn't have 10 interactions to audit. If volume is this low, the problem is under-engagement. Redirect.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Bring your own audit if you have customer-facing interactions. Modeling vulnerability builds credibility.</w:t>
            </w:r>
          </w:p>
          <w:p>
            <w:pPr>
              <w:spacing w:before="30" w:after="30"/>
            </w:pPr>
            <w:r>
              <w:rPr>
                <w:rFonts w:ascii="Arial" w:cs="Arial" w:eastAsia="Arial" w:hAnsi="Arial"/>
                <w:color w:val="4A5568"/>
                <w:sz w:val="21"/>
                <w:szCs w:val="21"/>
              </w:rPr>
              <w:t xml:space="preserve">★ The percentage number — 'what % were value-adds' — is often the most powerful moment. Don't rush past it.</w:t>
            </w:r>
          </w:p>
        </w:tc>
      </w:tr>
    </w:tbl>
    <w:p>
      <w:pPr>
        <w:spacing w:before="100" w:after="0"/>
      </w:pPr>
    </w:p>
    <w:p>
      <w:pPr>
        <w:pBdr>
          <w:bottom w:val="single" w:color="DDDDDD" w:sz="8"/>
        </w:pBdr>
        <w:spacing w:before="80" w:after="80"/>
      </w:pPr>
    </w:p>
    <w:p>
      <w:pPr>
        <w:spacing w:before="200" w:after="0"/>
      </w:pPr>
    </w:p>
    <w:p>
      <w:pPr>
        <w:pBdr>
          <w:bottom w:val="single" w:color="00A896" w:sz="6"/>
        </w:pBdr>
        <w:spacing w:before="0" w:after="60"/>
      </w:pPr>
      <w:r>
        <w:rPr>
          <w:rFonts w:ascii="Arial" w:cs="Arial" w:eastAsia="Arial" w:hAnsi="Arial"/>
          <w:b/>
          <w:bCs/>
          <w:color w:val="00A896"/>
          <w:sz w:val="24"/>
          <w:szCs w:val="24"/>
        </w:rPr>
        <w:t xml:space="preserve">MODULE 3.3  </w:t>
      </w:r>
      <w:r>
        <w:rPr>
          <w:rFonts w:ascii="Arial" w:cs="Arial" w:eastAsia="Arial" w:hAnsi="Arial"/>
          <w:b/>
          <w:bCs/>
          <w:color w:val="0F1F4B"/>
          <w:sz w:val="24"/>
          <w:szCs w:val="24"/>
        </w:rPr>
        <w:t xml:space="preserve">— Time to First Value (T2FV)</w:t>
      </w:r>
    </w:p>
    <w:p>
      <w:pPr>
        <w:spacing w:before="40" w:after="120"/>
      </w:pPr>
      <w:r>
        <w:rPr>
          <w:rFonts w:ascii="Arial" w:cs="Arial" w:eastAsia="Arial" w:hAnsi="Arial"/>
          <w:color w:val="4A5568"/>
          <w:sz w:val="20"/>
          <w:szCs w:val="20"/>
        </w:rPr>
        <w:t xml:space="preserve">⏱ 90 min (45 min self-paced + 45 min T2FV review)  </w:t>
      </w:r>
      <w:r>
        <w:rPr>
          <w:rFonts w:ascii="Arial" w:cs="Arial" w:eastAsia="Arial" w:hAnsi="Arial"/>
          <w:color w:val="4A5568"/>
          <w:sz w:val="20"/>
          <w:szCs w:val="20"/>
        </w:rPr>
        <w:t xml:space="preserve">  📋 Self-paced exercise + account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1F4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pStyle w:val="ListParagraph"/>
              <w:numPr>
                <w:ilvl w:val="0"/>
                <w:numId w:val="2"/>
              </w:numPr>
              <w:spacing w:before="30" w:after="30"/>
            </w:pPr>
            <w:r>
              <w:rPr>
                <w:rFonts w:ascii="Arial" w:cs="Arial" w:eastAsia="Arial" w:hAnsi="Arial"/>
                <w:color w:val="4A5568"/>
                <w:sz w:val="21"/>
                <w:szCs w:val="21"/>
              </w:rPr>
              <w:t xml:space="preserve">Learner has defined T2FV for their top 10 accounts specifically (not generically)</w:t>
            </w:r>
          </w:p>
          <w:p>
            <w:pPr>
              <w:pStyle w:val="ListParagraph"/>
              <w:numPr>
                <w:ilvl w:val="0"/>
                <w:numId w:val="2"/>
              </w:numPr>
              <w:spacing w:before="30" w:after="30"/>
            </w:pPr>
            <w:r>
              <w:rPr>
                <w:rFonts w:ascii="Arial" w:cs="Arial" w:eastAsia="Arial" w:hAnsi="Arial"/>
                <w:color w:val="4A5568"/>
                <w:sz w:val="21"/>
                <w:szCs w:val="21"/>
              </w:rPr>
              <w:t xml:space="preserve">Learner can identify where stalled accounts got stuck in the Onboarding Waterfall</w:t>
            </w:r>
          </w:p>
          <w:p>
            <w:pPr>
              <w:pStyle w:val="ListParagraph"/>
              <w:numPr>
                <w:ilvl w:val="0"/>
                <w:numId w:val="2"/>
              </w:numPr>
              <w:spacing w:before="30" w:after="30"/>
            </w:pPr>
            <w:r>
              <w:rPr>
                <w:rFonts w:ascii="Arial" w:cs="Arial" w:eastAsia="Arial" w:hAnsi="Arial"/>
                <w:color w:val="4A5568"/>
                <w:sz w:val="21"/>
                <w:szCs w:val="21"/>
              </w:rPr>
              <w:t xml:space="preserve">Learner understands segment benchmarks (SMB 1–3d, MM 7–14d, Enterprise 21–45d)</w:t>
            </w:r>
          </w:p>
          <w:p>
            <w:pPr>
              <w:pStyle w:val="ListParagraph"/>
              <w:numPr>
                <w:ilvl w:val="0"/>
                <w:numId w:val="2"/>
              </w:numPr>
              <w:spacing w:before="30" w:after="30"/>
            </w:pPr>
            <w:r>
              <w:rPr>
                <w:rFonts w:ascii="Arial" w:cs="Arial" w:eastAsia="Arial" w:hAnsi="Arial"/>
                <w:color w:val="4A5568"/>
                <w:sz w:val="21"/>
                <w:szCs w:val="21"/>
              </w:rPr>
              <w:t xml:space="preserve">Learner can describe how to measure T2FV for an account that's already past onboarding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FLOW</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Pre-session: Learner completes Exercise 3.3 — T2FV definition + stall analysis</w:t>
            </w:r>
          </w:p>
          <w:p>
            <w:pPr>
              <w:spacing w:before="30" w:after="30"/>
            </w:pPr>
            <w:r>
              <w:rPr>
                <w:rFonts w:ascii="Arial" w:cs="Arial" w:eastAsia="Arial" w:hAnsi="Arial"/>
                <w:color w:val="4A5568"/>
                <w:sz w:val="21"/>
                <w:szCs w:val="21"/>
              </w:rPr>
              <w:t xml:space="preserve">• Review T2FV definitions: are they specific or generic? 'First value for Account X is when they export their first automated report to the CFO' is specific. 'First value is when they start using the product' is generic.</w:t>
            </w:r>
          </w:p>
          <w:p>
            <w:pPr>
              <w:spacing w:before="30" w:after="30"/>
            </w:pPr>
            <w:r>
              <w:rPr>
                <w:rFonts w:ascii="Arial" w:cs="Arial" w:eastAsia="Arial" w:hAnsi="Arial"/>
                <w:color w:val="4A5568"/>
                <w:sz w:val="21"/>
                <w:szCs w:val="21"/>
              </w:rPr>
              <w:t xml:space="preserve">• Stall analysis: for each account past target — trace the stall to the specific Waterfall step</w:t>
            </w:r>
          </w:p>
          <w:p>
            <w:pPr>
              <w:spacing w:before="30" w:after="30"/>
            </w:pPr>
            <w:r>
              <w:rPr>
                <w:rFonts w:ascii="Arial" w:cs="Arial" w:eastAsia="Arial" w:hAnsi="Arial"/>
                <w:color w:val="4A5568"/>
                <w:sz w:val="21"/>
                <w:szCs w:val="21"/>
              </w:rPr>
              <w:t xml:space="preserve">• Close: 'What is the one onboarding intervention you will make this week?'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NOTES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On defining T2FV: 'Time to First Value is different for every customer, because value is different for every customer. You define it with them at kickoff — what does success look like in the first 30 days? That definition becomes the benchmark. That benchmark becomes the intervention trigger if the timeline slips.'</w:t>
            </w:r>
          </w:p>
          <w:p>
            <w:pPr>
              <w:spacing w:before="30" w:after="30"/>
            </w:pPr>
            <w:r>
              <w:rPr>
                <w:rFonts w:ascii="Arial" w:cs="Arial" w:eastAsia="Arial" w:hAnsi="Arial"/>
                <w:color w:val="4A5568"/>
                <w:sz w:val="21"/>
                <w:szCs w:val="21"/>
              </w:rPr>
              <w:t xml:space="preserve">On the Waterfall: 'Most stalls happen at First Login or Core Feature Used. Not because the product is hard to use, but because there is no structured intervention when the natural usage plateau hits. You need a trigger at each waterfall step — not just at go-live.'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953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COMMON
MISTAKES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Learner defines T2FV identically for all accounts in the same segment. Push for account-specific definitions. The platform's 'first value' for a 2-person startup is not the same as for a 50-person enterprise department.</w:t>
            </w:r>
          </w:p>
          <w:p>
            <w:pPr>
              <w:spacing w:before="30" w:after="30"/>
            </w:pPr>
            <w:r>
              <w:rPr>
                <w:rFonts w:ascii="Arial" w:cs="Arial" w:eastAsia="Arial" w:hAnsi="Arial"/>
                <w:color w:val="4A5568"/>
                <w:sz w:val="21"/>
                <w:szCs w:val="21"/>
              </w:rPr>
              <w:t xml:space="preserve">⚠ Learner can't identify where accounts stalled because they weren't tracking. This is a systemic process gap — note it for escalation to manager/leadership.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4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FACILITATOR
TIPS</w:t>
            </w:r>
          </w:p>
        </w:tc>
        <w:tc>
          <w:tcPr>
            <w:tcW w:type="dxa" w:w="7560"/>
            <w:tcBorders>
              <w:top w:val="none" w:color="FFFFFF" w:sz="0"/>
              <w:left w:val="none" w:color="FFFFFF" w:sz="0"/>
              <w:bottom w:val="none" w:color="FFFFFF" w:sz="0"/>
              <w:right w:val="none" w:color="FFFFFF" w:sz="0"/>
            </w:tcBorders>
            <w:shd w:fill="EEF2FA" w:val="clear"/>
            <w:tcMar>
              <w:top w:type="dxa" w:w="80"/>
              <w:left w:type="dxa" w:w="200"/>
              <w:bottom w:type="dxa" w:w="80"/>
              <w:right w:type="dxa" w:w="120"/>
            </w:tcMar>
          </w:tcPr>
          <w:p>
            <w:pPr>
              <w:spacing w:before="30" w:after="30"/>
            </w:pPr>
            <w:r>
              <w:rPr>
                <w:rFonts w:ascii="Arial" w:cs="Arial" w:eastAsia="Arial" w:hAnsi="Arial"/>
                <w:color w:val="4A5568"/>
                <w:sz w:val="21"/>
                <w:szCs w:val="21"/>
              </w:rPr>
              <w:t xml:space="preserve">★ Compare T2FV targets to actual outcomes across the learner's full book — look for patterns in where stalls cluster.</w:t>
            </w:r>
          </w:p>
        </w:tc>
      </w:tr>
    </w:tbl>
    <w:p>
      <w:pPr>
        <w:spacing w:before="100" w:after="0"/>
      </w:pPr>
    </w:p>
    <w:p>
      <w:pPr>
        <w:pBdr>
          <w:bottom w:val="single" w:color="DDDDDD" w:sz="8"/>
        </w:pBdr>
        <w:spacing w:before="80" w:after="80"/>
      </w:pPr>
    </w:p>
    <w:p>
      <w:pPr>
        <w:spacing w:before="0" w:after="0"/>
      </w:pPr>
      <w:r>
        <w:br w:type="page"/>
      </w:r>
    </w:p>
    <w:p>
      <w:pPr>
        <w:pBdr>
          <w:bottom w:val="single" w:color="00A896" w:sz="12"/>
        </w:pBdr>
        <w:spacing w:before="360" w:after="120"/>
      </w:pPr>
      <w:r>
        <w:rPr>
          <w:rFonts w:ascii="Arial" w:cs="Arial" w:eastAsia="Arial" w:hAnsi="Arial"/>
          <w:b/>
          <w:bCs/>
          <w:color w:val="0F1F4B"/>
          <w:sz w:val="36"/>
          <w:szCs w:val="36"/>
        </w:rPr>
        <w:t xml:space="preserve">Week 4: Assessment Facilitation Guide</w:t>
      </w:r>
    </w:p>
    <w:p>
      <w:pPr>
        <w:spacing w:before="60" w:after="80"/>
      </w:pPr>
      <w:r>
        <w:rPr>
          <w:rFonts w:ascii="Arial" w:cs="Arial" w:eastAsia="Arial" w:hAnsi="Arial"/>
          <w:b w:val="false"/>
          <w:bCs w:val="false"/>
          <w:color w:val="4A5568"/>
          <w:sz w:val="22"/>
          <w:szCs w:val="22"/>
        </w:rPr>
        <w:t xml:space="preserve">The Week 4 assessment is not a test — it is a demonstration. The learner must show that they know their book at a level of depth that their CRM does not reflect. If they can do that, they pass. If they cannot, they don't — and that is the correct outcome.</w:t>
      </w:r>
    </w:p>
    <w:p>
      <w:pPr>
        <w:pBdr>
          <w:left w:val="single" w:color="D9534F" w:sz="20"/>
        </w:pBdr>
        <w:shd w:fill="D9534F" w:val="clear"/>
        <w:spacing w:before="120" w:after="120"/>
        <w:ind w:left="200"/>
      </w:pPr>
      <w:r>
        <w:rPr>
          <w:rFonts w:ascii="Arial" w:cs="Arial" w:eastAsia="Arial" w:hAnsi="Arial"/>
          <w:b/>
          <w:bCs/>
          <w:color w:val="FFFFFF"/>
          <w:sz w:val="22"/>
          <w:szCs w:val="22"/>
        </w:rPr>
        <w:t xml:space="preserve">Assessment Standard: Your manager should learn something about the learner's accounts from this presentation that they did not already know. If the presentation confirms what the CRM already shows, it isn't passing work.</w:t>
      </w:r>
    </w:p>
    <w:p>
      <w:pPr>
        <w:spacing w:before="120" w:after="60"/>
      </w:pPr>
    </w:p>
    <w:p>
      <w:pPr>
        <w:spacing w:before="240" w:after="80"/>
      </w:pPr>
      <w:r>
        <w:rPr>
          <w:rFonts w:ascii="Arial" w:cs="Arial" w:eastAsia="Arial" w:hAnsi="Arial"/>
          <w:b/>
          <w:bCs/>
          <w:color w:val="00A896"/>
          <w:sz w:val="26"/>
          <w:szCs w:val="26"/>
        </w:rPr>
        <w:t xml:space="preserve">Assessment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none" w:color="FFFFFF" w:sz="0"/>
              <w:left w:val="none" w:color="FFFFFF" w:sz="0"/>
              <w:bottom w:val="none" w:color="FFFFFF" w:sz="0"/>
              <w:right w:val="none" w:color="FFFFFF" w:sz="0"/>
            </w:tcBorders>
            <w:shd w:fill="0F1F4B"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4320"/>
            <w:tcBorders>
              <w:top w:val="none" w:color="FFFFFF" w:sz="0"/>
              <w:left w:val="none" w:color="FFFFFF" w:sz="0"/>
              <w:bottom w:val="none" w:color="FFFFFF" w:sz="0"/>
              <w:right w:val="none" w:color="FFFFFF" w:sz="0"/>
            </w:tcBorders>
            <w:shd w:fill="0F1F4B"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600"/>
            <w:tcBorders>
              <w:top w:val="none" w:color="FFFFFF" w:sz="0"/>
              <w:left w:val="none" w:color="FFFFFF" w:sz="0"/>
              <w:bottom w:val="none" w:color="FFFFFF" w:sz="0"/>
              <w:right w:val="none" w:color="FFFFFF" w:sz="0"/>
            </w:tcBorders>
            <w:shd w:fill="0F1F4B" w:val="clear"/>
            <w:tcMar>
              <w:top w:type="dxa" w:w="60"/>
              <w:left w:type="dxa" w:w="100"/>
              <w:bottom w:type="dxa" w:w="60"/>
              <w:right w:type="dxa" w:w="100"/>
            </w:tcMar>
          </w:tcPr>
          <w:p>
            <w:r>
              <w:rPr>
                <w:rFonts w:ascii="Arial" w:cs="Arial" w:eastAsia="Arial" w:hAnsi="Arial"/>
                <w:b/>
                <w:bCs/>
                <w:color w:val="FFFFFF"/>
                <w:sz w:val="20"/>
                <w:szCs w:val="20"/>
              </w:rPr>
              <w:t xml:space="preserve">Facilitator Focus</w:t>
            </w:r>
          </w:p>
        </w:tc>
      </w:tr>
      <w:tr>
        <w:tc>
          <w:tcPr>
            <w:tcW w:type="dxa" w:w="14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0–5 min</w:t>
            </w:r>
          </w:p>
        </w:tc>
        <w:tc>
          <w:tcPr>
            <w:tcW w:type="dxa" w:w="432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True NRR: calculation + narrative</w:t>
            </w:r>
          </w:p>
        </w:tc>
        <w:tc>
          <w:tcPr>
            <w:tcW w:type="dxa" w:w="360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Verify methodology, not just the number</w:t>
            </w:r>
          </w:p>
        </w:tc>
      </w:tr>
      <w:tr>
        <w:tc>
          <w:tcPr>
            <w:tcW w:type="dxa" w:w="14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5–10 min</w:t>
            </w:r>
          </w:p>
        </w:tc>
        <w:tc>
          <w:tcPr>
            <w:tcW w:type="dxa" w:w="43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T2FV status across onboarded accounts</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Is it account-specific or generic?</w:t>
            </w:r>
          </w:p>
        </w:tc>
      </w:tr>
      <w:tr>
        <w:tc>
          <w:tcPr>
            <w:tcW w:type="dxa" w:w="14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10–18 min</w:t>
            </w:r>
          </w:p>
        </w:tc>
        <w:tc>
          <w:tcPr>
            <w:tcW w:type="dxa" w:w="432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Top 3 at-risk accounts + reasoning</w:t>
            </w:r>
          </w:p>
        </w:tc>
        <w:tc>
          <w:tcPr>
            <w:tcW w:type="dxa" w:w="360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Push: what specific data supports this?</w:t>
            </w:r>
          </w:p>
        </w:tc>
      </w:tr>
      <w:tr>
        <w:tc>
          <w:tcPr>
            <w:tcW w:type="dxa" w:w="14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18–26 min</w:t>
            </w:r>
          </w:p>
        </w:tc>
        <w:tc>
          <w:tcPr>
            <w:tcW w:type="dxa" w:w="43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Top 3 expansion candidates + reasoning</w:t>
            </w:r>
          </w:p>
        </w:tc>
        <w:tc>
          <w:tcPr>
            <w:tcW w:type="dxa" w:w="3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Push: which Expansion Staircase step?</w:t>
            </w:r>
          </w:p>
        </w:tc>
      </w:tr>
      <w:tr>
        <w:tc>
          <w:tcPr>
            <w:tcW w:type="dxa" w:w="14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26–30 min</w:t>
            </w:r>
          </w:p>
        </w:tc>
        <w:tc>
          <w:tcPr>
            <w:tcW w:type="dxa" w:w="432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Q&amp;A and manager feedback</w:t>
            </w:r>
          </w:p>
        </w:tc>
        <w:tc>
          <w:tcPr>
            <w:tcW w:type="dxa" w:w="360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What did you learn that you didn't already know?</w:t>
            </w:r>
          </w:p>
        </w:tc>
      </w:tr>
    </w:tbl>
    <w:p>
      <w:pPr>
        <w:spacing w:before="180" w:after="60"/>
      </w:pPr>
    </w:p>
    <w:p>
      <w:pPr>
        <w:spacing w:before="240" w:after="80"/>
      </w:pPr>
      <w:r>
        <w:rPr>
          <w:rFonts w:ascii="Arial" w:cs="Arial" w:eastAsia="Arial" w:hAnsi="Arial"/>
          <w:b/>
          <w:bCs/>
          <w:color w:val="00A896"/>
          <w:sz w:val="26"/>
          <w:szCs w:val="26"/>
        </w:rPr>
        <w:t xml:space="preserve">Pass / No-Pass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none" w:color="FFFFFF" w:sz="0"/>
              <w:left w:val="none" w:color="FFFFFF" w:sz="0"/>
              <w:bottom w:val="none" w:color="FFFFFF" w:sz="0"/>
              <w:right w:val="none" w:color="FFFFFF" w:sz="0"/>
            </w:tcBorders>
            <w:shd w:fill="0F1F4B"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3240"/>
            <w:tcBorders>
              <w:top w:val="none" w:color="FFFFFF" w:sz="0"/>
              <w:left w:val="none" w:color="FFFFFF" w:sz="0"/>
              <w:bottom w:val="none" w:color="FFFFFF" w:sz="0"/>
              <w:right w:val="none" w:color="FFFFFF" w:sz="0"/>
            </w:tcBorders>
            <w:shd w:fill="1A7A4A" w:val="clear"/>
            <w:tcMar>
              <w:top w:type="dxa" w:w="60"/>
              <w:left w:type="dxa" w:w="100"/>
              <w:bottom w:type="dxa" w:w="60"/>
              <w:right w:type="dxa" w:w="100"/>
            </w:tcMar>
          </w:tcPr>
          <w:p>
            <w:r>
              <w:rPr>
                <w:rFonts w:ascii="Arial" w:cs="Arial" w:eastAsia="Arial" w:hAnsi="Arial"/>
                <w:b/>
                <w:bCs/>
                <w:color w:val="FFFFFF"/>
                <w:sz w:val="20"/>
                <w:szCs w:val="20"/>
              </w:rPr>
              <w:t xml:space="preserve">PASS</w:t>
            </w:r>
          </w:p>
        </w:tc>
        <w:tc>
          <w:tcPr>
            <w:tcW w:type="dxa" w:w="3240"/>
            <w:tcBorders>
              <w:top w:val="none" w:color="FFFFFF" w:sz="0"/>
              <w:left w:val="none" w:color="FFFFFF" w:sz="0"/>
              <w:bottom w:val="none" w:color="FFFFFF" w:sz="0"/>
              <w:right w:val="none" w:color="FFFFFF" w:sz="0"/>
            </w:tcBorders>
            <w:shd w:fill="D9534F" w:val="clear"/>
            <w:tcMar>
              <w:top w:type="dxa" w:w="60"/>
              <w:left w:type="dxa" w:w="100"/>
              <w:bottom w:type="dxa" w:w="60"/>
              <w:right w:type="dxa" w:w="100"/>
            </w:tcMar>
          </w:tcPr>
          <w:p>
            <w:r>
              <w:rPr>
                <w:rFonts w:ascii="Arial" w:cs="Arial" w:eastAsia="Arial" w:hAnsi="Arial"/>
                <w:b/>
                <w:bCs/>
                <w:color w:val="FFFFFF"/>
                <w:sz w:val="20"/>
                <w:szCs w:val="20"/>
              </w:rPr>
              <w:t xml:space="preserve">NO-PASS</w:t>
            </w:r>
          </w:p>
        </w:tc>
      </w:tr>
      <w:tr>
        <w:tc>
          <w:tcPr>
            <w:tcW w:type="dxa" w:w="288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True NRR</w:t>
            </w:r>
          </w:p>
        </w:tc>
        <w:tc>
          <w:tcPr>
            <w:tcW w:type="dxa" w:w="32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5-step calculation complete, True vs. reported NRR documented, gap explained</w:t>
            </w:r>
          </w:p>
        </w:tc>
        <w:tc>
          <w:tcPr>
            <w:tcW w:type="dxa" w:w="32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'Our NRR is [X]' with no methodology shown</w:t>
            </w:r>
          </w:p>
        </w:tc>
      </w:tr>
      <w:tr>
        <w:tc>
          <w:tcPr>
            <w:tcW w:type="dxa" w:w="288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T2FV</w:t>
            </w:r>
          </w:p>
        </w:tc>
        <w:tc>
          <w:tcPr>
            <w:tcW w:type="dxa" w:w="32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Account-specific definitions, stall analysis for past-target accounts</w:t>
            </w:r>
          </w:p>
        </w:tc>
        <w:tc>
          <w:tcPr>
            <w:tcW w:type="dxa" w:w="32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Generic definitions, no stall investigation</w:t>
            </w:r>
          </w:p>
        </w:tc>
      </w:tr>
      <w:tr>
        <w:tc>
          <w:tcPr>
            <w:tcW w:type="dxa" w:w="288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At-Risk Accounts</w:t>
            </w:r>
          </w:p>
        </w:tc>
        <w:tc>
          <w:tcPr>
            <w:tcW w:type="dxa" w:w="32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3 accounts with specific health signals named and verifiable</w:t>
            </w:r>
          </w:p>
        </w:tc>
        <w:tc>
          <w:tcPr>
            <w:tcW w:type="dxa" w:w="32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'I think they're unhappy' without a signal</w:t>
            </w:r>
          </w:p>
        </w:tc>
      </w:tr>
      <w:tr>
        <w:tc>
          <w:tcPr>
            <w:tcW w:type="dxa" w:w="288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Expansion Candidates</w:t>
            </w:r>
          </w:p>
        </w:tc>
        <w:tc>
          <w:tcPr>
            <w:tcW w:type="dxa" w:w="32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3 accounts with Expansion Staircase position + specific qualifying signal</w:t>
            </w:r>
          </w:p>
        </w:tc>
        <w:tc>
          <w:tcPr>
            <w:tcW w:type="dxa" w:w="32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4A5568"/>
                <w:sz w:val="20"/>
                <w:szCs w:val="20"/>
              </w:rPr>
              <w:t xml:space="preserve">'They seem ready' without behavioral data</w:t>
            </w:r>
          </w:p>
        </w:tc>
      </w:tr>
      <w:tr>
        <w:tc>
          <w:tcPr>
            <w:tcW w:type="dxa" w:w="288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Overall Standard</w:t>
            </w:r>
          </w:p>
        </w:tc>
        <w:tc>
          <w:tcPr>
            <w:tcW w:type="dxa" w:w="32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Manager learns something new about the book</w:t>
            </w:r>
          </w:p>
        </w:tc>
        <w:tc>
          <w:tcPr>
            <w:tcW w:type="dxa" w:w="32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color w:val="4A5568"/>
                <w:sz w:val="20"/>
                <w:szCs w:val="20"/>
              </w:rPr>
              <w:t xml:space="preserve">Presentation confirms what CRM already shows</w:t>
            </w:r>
          </w:p>
        </w:tc>
      </w:tr>
    </w:tbl>
    <w:p>
      <w:pPr>
        <w:spacing w:before="180" w:after="60"/>
      </w:pPr>
    </w:p>
    <w:p>
      <w:pPr>
        <w:spacing w:before="240" w:after="80"/>
      </w:pPr>
      <w:r>
        <w:rPr>
          <w:rFonts w:ascii="Arial" w:cs="Arial" w:eastAsia="Arial" w:hAnsi="Arial"/>
          <w:b/>
          <w:bCs/>
          <w:color w:val="00A896"/>
          <w:sz w:val="26"/>
          <w:szCs w:val="26"/>
        </w:rPr>
        <w:t xml:space="preserve">Post-Assessment Actions</w:t>
      </w:r>
    </w:p>
    <w:p>
      <w:pPr>
        <w:pStyle w:val="ListParagraph"/>
        <w:numPr>
          <w:ilvl w:val="0"/>
          <w:numId w:val="2"/>
        </w:numPr>
        <w:spacing w:before="40" w:after="40"/>
      </w:pPr>
      <w:r>
        <w:rPr>
          <w:rFonts w:ascii="Arial" w:cs="Arial" w:eastAsia="Arial" w:hAnsi="Arial"/>
          <w:color w:val="4A5568"/>
          <w:sz w:val="22"/>
          <w:szCs w:val="22"/>
        </w:rPr>
        <w:t xml:space="preserve">Pass: Immediately begin Phase 2 onboarding materials. Schedule Phase 2 kick-off within 3 business days.</w:t>
      </w:r>
    </w:p>
    <w:p>
      <w:pPr>
        <w:pStyle w:val="ListParagraph"/>
        <w:numPr>
          <w:ilvl w:val="0"/>
          <w:numId w:val="2"/>
        </w:numPr>
        <w:spacing w:before="40" w:after="40"/>
      </w:pPr>
      <w:r>
        <w:rPr>
          <w:rFonts w:ascii="Arial" w:cs="Arial" w:eastAsia="Arial" w:hAnsi="Arial"/>
          <w:color w:val="4A5568"/>
          <w:sz w:val="22"/>
          <w:szCs w:val="22"/>
        </w:rPr>
        <w:t xml:space="preserve">Conditional Pass (weak area): Pass with a specific remediation task. For example: 'You pass, but your at-risk account analysis needs more signal depth. Before Phase 2 begins, provide a written update on at-risk Account 2 with 3 specific data points.'</w:t>
      </w:r>
    </w:p>
    <w:p>
      <w:pPr>
        <w:pStyle w:val="ListParagraph"/>
        <w:numPr>
          <w:ilvl w:val="0"/>
          <w:numId w:val="2"/>
        </w:numPr>
        <w:spacing w:before="40" w:after="40"/>
      </w:pPr>
      <w:r>
        <w:rPr>
          <w:rFonts w:ascii="Arial" w:cs="Arial" w:eastAsia="Arial" w:hAnsi="Arial"/>
          <w:color w:val="4A5568"/>
          <w:sz w:val="22"/>
          <w:szCs w:val="22"/>
        </w:rPr>
        <w:t xml:space="preserve">No-Pass: Identify the specific gap. Assign targeted remediation (re-run one exercise, conduct additional discovery calls, etc.). Re-present in 5 business days.</w:t>
      </w:r>
    </w:p>
    <w:p>
      <w:pPr>
        <w:pStyle w:val="ListParagraph"/>
        <w:numPr>
          <w:ilvl w:val="0"/>
          <w:numId w:val="2"/>
        </w:numPr>
        <w:spacing w:before="40" w:after="40"/>
      </w:pPr>
      <w:r>
        <w:rPr>
          <w:rFonts w:ascii="Arial" w:cs="Arial" w:eastAsia="Arial" w:hAnsi="Arial"/>
          <w:color w:val="4A5568"/>
          <w:sz w:val="22"/>
          <w:szCs w:val="22"/>
        </w:rPr>
        <w:t xml:space="preserve">Pattern failure across multiple areas: Consider whether the learner has access to the right data and tools. A learner who can't do this work may be missing system access, not skills.</w:t>
      </w:r>
    </w:p>
    <w:p>
      <w:pPr>
        <w:spacing w:before="240" w:after="60"/>
      </w:pPr>
    </w:p>
    <w:p>
      <w:pPr>
        <w:pBdr>
          <w:bottom w:val="single" w:color="00A896" w:sz="8"/>
        </w:pBdr>
        <w:spacing w:before="80" w:after="80"/>
      </w:pPr>
    </w:p>
    <w:p>
      <w:pPr>
        <w:spacing w:before="60" w:after="0"/>
        <w:jc w:val="center"/>
      </w:pPr>
      <w:r>
        <w:rPr>
          <w:rFonts w:ascii="Arial" w:cs="Arial" w:eastAsia="Arial" w:hAnsi="Arial"/>
          <w:b/>
          <w:bCs/>
          <w:color w:val="D9534F"/>
          <w:sz w:val="18"/>
          <w:szCs w:val="18"/>
        </w:rPr>
        <w:t xml:space="preserve">CCO2go.ai  |  FACILITATOR GUIDE — INTERNAL USE ONLY  |  Do not distribute to learners</w:t>
      </w:r>
    </w:p>
    <w:p>
      <w:pPr>
        <w:spacing w:before="20" w:after="0"/>
        <w:jc w:val="center"/>
      </w:pPr>
      <w:r>
        <w:rPr>
          <w:rFonts w:ascii="Arial" w:cs="Arial" w:eastAsia="Arial" w:hAnsi="Arial"/>
          <w:color w:val="4A5568"/>
          <w:sz w:val="18"/>
          <w:szCs w:val="18"/>
        </w:rPr>
        <w:t xml:space="preserve">R. Shane James  |  shane.james@cco2go.ai  |  CSM Training Program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F4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2026-02-18T17:42:54.622Z</dcterms:created>
  <dcterms:modified xsi:type="dcterms:W3CDTF">2026-02-18T17:42:54.623Z</dcterms:modified>
</cp:coreProperties>
</file>

<file path=docProps/custom.xml><?xml version="1.0" encoding="utf-8"?>
<Properties xmlns="http://schemas.openxmlformats.org/officeDocument/2006/custom-properties" xmlns:vt="http://schemas.openxmlformats.org/officeDocument/2006/docPropsVTypes"/>
</file>