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3460"/>
          <w:sz w:val="56"/>
        </w:rPr>
        <w:t>CCOPilot.ai</w:t>
      </w:r>
    </w:p>
    <w:p>
      <w:pPr>
        <w:jc w:val="center"/>
      </w:pPr>
      <w:r>
        <w:rPr>
          <w:color w:val="4A5668"/>
          <w:sz w:val="32"/>
        </w:rPr>
        <w:t>SOC 2 Readiness Assessment</w:t>
      </w:r>
    </w:p>
    <w:p>
      <w:pPr>
        <w:jc w:val="center"/>
      </w:pPr>
      <w:r>
        <w:rPr>
          <w:color w:val="1687A7"/>
          <w:sz w:val="22"/>
        </w:rPr>
        <w:t>Updated: March 25, 2026</w:t>
      </w:r>
    </w:p>
    <w:p>
      <w:pPr>
        <w:jc w:val="center"/>
      </w:pPr>
      <w:r>
        <w:rPr>
          <w:b/>
          <w:color w:val="CC0000"/>
          <w:sz w:val="20"/>
        </w:rPr>
        <w:t>Classification: CONFIDENTIAL</w:t>
      </w:r>
    </w:p>
    <w:p>
      <w:pPr>
        <w:jc w:val="center"/>
      </w:pPr>
      <w:r>
        <w:rPr>
          <w:color w:val="4A5668"/>
          <w:sz w:val="20"/>
        </w:rPr>
        <w:t>Prepared for Shane James, CEO</w:t>
      </w:r>
    </w:p>
    <w:p/>
    <w:p/>
    <w:p/>
    <w:p/>
    <w:p/>
    <w:p/>
    <w:p>
      <w:pPr>
        <w:jc w:val="center"/>
      </w:pPr>
      <w:r>
        <w:rPr>
          <w:color w:val="4A5668"/>
          <w:sz w:val="18"/>
        </w:rPr>
        <w:t>Original Assessment: March 1, 2026</w:t>
        <w:br/>
        <w:t>This Update: March 25, 2026 — reflects remediation work completed March 11-25, 2026</w:t>
      </w:r>
    </w:p>
    <w:p>
      <w:r>
        <w:br w:type="page"/>
      </w:r>
    </w:p>
    <w:p>
      <w:pPr>
        <w:pStyle w:val="Heading1"/>
      </w:pPr>
      <w:r>
        <w:t>Executive Summary</w:t>
      </w:r>
    </w:p>
    <w:p>
      <w:r>
        <w:t>This is an updated assessment of CCOPilot.ai against the five SOC 2 Trust Service Criteria. The original assessment was conducted March 1, 2026. This update reflects significant remediation work completed between March 11-25, 2026, including migration to httpOnly cookie authentication, Doppler secrets management, CSRF protection, tenant isolation middleware, audit logging, security headers via Helmet.js, tiered rate limiting, and AI agent governance controls.</w:t>
      </w:r>
    </w:p>
    <w:p>
      <w:r>
        <w:rPr>
          <w:rFonts w:ascii="Arial" w:hAnsi="Arial"/>
          <w:sz w:val="20"/>
        </w:rPr>
        <w:t>The platform has moved from "significant security gaps" to a substantially hardened posture. Of the 19 total findings, 14 have been fully remediated, 2 have been partially addressed, 1 is in progress (vendor SOC 2 report collection), and 2 have been deferred. All critical, high, and medium severity application-level and organizational findings are closed. The SOC 2 Type II observation period began March 25, 2026 with formal policy adoption.</w:t>
      </w:r>
    </w:p>
    <w:p>
      <w:pPr>
        <w:pStyle w:val="Heading2"/>
      </w:pPr>
      <w:r>
        <w:t>Assessment Scope</w:t>
      </w:r>
    </w:p>
    <w:p>
      <w:r>
        <w:t>Technology stack: React 18 / TypeScript frontend, Node.js / Express backend, PostgreSQL with Prisma ORM, deployed on Render. Integrations with Gmail, Microsoft 365/Outlook, Google Calendar, Microsoft Calendar, Zoom, Slack, Groq AI, and Anthropic. Multi-tenant architecture with role-based access control. Secrets managed via Doppler. 28+ AI agents with human-in-the-loop approval queue.</w:t>
      </w:r>
    </w:p>
    <w:p>
      <w:pPr>
        <w:pStyle w:val="Heading1"/>
      </w:pPr>
      <w:r>
        <w:t>Findings Summary</w:t>
      </w:r>
    </w:p>
    <w:p>
      <w:r>
        <w:t>The following table shows all findings with their current remediation status.</w:t>
      </w:r>
    </w:p>
    <w:tbl>
      <w:tblPr>
        <w:tblW w:type="auto" w:w="0"/>
        <w:jc w:val="center"/>
        <w:tblLook w:firstColumn="1" w:firstRow="1" w:lastColumn="0" w:lastRow="0" w:noHBand="0" w:noVBand="1" w:val="04A0"/>
      </w:tblPr>
      <w:tblGrid>
        <w:gridCol w:w="1872"/>
        <w:gridCol w:w="1872"/>
        <w:gridCol w:w="1872"/>
        <w:gridCol w:w="1872"/>
        <w:gridCol w:w="1872"/>
      </w:tblGrid>
      <w:tr>
        <w:tc>
          <w:tcPr>
            <w:tcW w:type="dxa" w:w="1008"/>
            <w:shd w:fill="0F3460" w:val="clear"/>
          </w:tcPr>
          <w:p>
            <w:pPr>
              <w:jc w:val="left"/>
            </w:pPr>
            <w:r>
              <w:rPr>
                <w:b/>
                <w:color w:val="FFFFFF"/>
                <w:sz w:val="18"/>
              </w:rPr>
              <w:t>ID</w:t>
            </w:r>
          </w:p>
        </w:tc>
        <w:tc>
          <w:tcPr>
            <w:tcW w:type="dxa" w:w="1008"/>
            <w:shd w:fill="0F3460" w:val="clear"/>
          </w:tcPr>
          <w:p>
            <w:pPr>
              <w:jc w:val="left"/>
            </w:pPr>
            <w:r>
              <w:rPr>
                <w:b/>
                <w:color w:val="FFFFFF"/>
                <w:sz w:val="18"/>
              </w:rPr>
              <w:t>Severity</w:t>
            </w:r>
          </w:p>
        </w:tc>
        <w:tc>
          <w:tcPr>
            <w:tcW w:type="dxa" w:w="2160"/>
            <w:shd w:fill="0F3460" w:val="clear"/>
          </w:tcPr>
          <w:p>
            <w:pPr>
              <w:jc w:val="left"/>
            </w:pPr>
            <w:r>
              <w:rPr>
                <w:b/>
                <w:color w:val="FFFFFF"/>
                <w:sz w:val="18"/>
              </w:rPr>
              <w:t>Finding</w:t>
            </w:r>
          </w:p>
        </w:tc>
        <w:tc>
          <w:tcPr>
            <w:tcW w:type="dxa" w:w="1584"/>
            <w:shd w:fill="0F3460" w:val="clear"/>
          </w:tcPr>
          <w:p>
            <w:pPr>
              <w:jc w:val="left"/>
            </w:pPr>
            <w:r>
              <w:rPr>
                <w:b/>
                <w:color w:val="FFFFFF"/>
                <w:sz w:val="18"/>
              </w:rPr>
              <w:t>Status</w:t>
            </w:r>
          </w:p>
        </w:tc>
        <w:tc>
          <w:tcPr>
            <w:tcW w:type="dxa" w:w="3600"/>
            <w:shd w:fill="0F3460" w:val="clear"/>
          </w:tcPr>
          <w:p>
            <w:pPr>
              <w:jc w:val="left"/>
            </w:pPr>
            <w:r>
              <w:rPr>
                <w:b/>
                <w:color w:val="FFFFFF"/>
                <w:sz w:val="18"/>
              </w:rPr>
              <w:t>Notes</w:t>
            </w:r>
          </w:p>
        </w:tc>
      </w:tr>
      <w:tr>
        <w:tc>
          <w:tcPr>
            <w:tcW w:type="dxa" w:w="1008"/>
          </w:tcPr>
          <w:p>
            <w:r>
              <w:rPr>
                <w:sz w:val="18"/>
              </w:rPr>
              <w:t>SEC-001</w:t>
            </w:r>
          </w:p>
        </w:tc>
        <w:tc>
          <w:tcPr>
            <w:tcW w:type="dxa" w:w="1008"/>
          </w:tcPr>
          <w:p>
            <w:r>
              <w:rPr>
                <w:sz w:val="18"/>
              </w:rPr>
              <w:t>CRITICAL</w:t>
            </w:r>
          </w:p>
        </w:tc>
        <w:tc>
          <w:tcPr>
            <w:tcW w:type="dxa" w:w="2160"/>
          </w:tcPr>
          <w:p>
            <w:r>
              <w:rPr>
                <w:sz w:val="18"/>
              </w:rPr>
              <w:t>JWT in localStorage</w:t>
            </w:r>
          </w:p>
        </w:tc>
        <w:tc>
          <w:tcPr>
            <w:tcW w:type="dxa" w:w="1584"/>
          </w:tcPr>
          <w:p>
            <w:r>
              <w:rPr>
                <w:sz w:val="18"/>
              </w:rPr>
              <w:t>✅ REMEDIATED</w:t>
            </w:r>
          </w:p>
        </w:tc>
        <w:tc>
          <w:tcPr>
            <w:tcW w:type="dxa" w:w="3600"/>
          </w:tcPr>
          <w:p>
            <w:r>
              <w:rPr>
                <w:sz w:val="18"/>
              </w:rPr>
              <w:t>Migrated to httpOnly, Secure, SameSite cookies. localStorage references removed.</w:t>
            </w:r>
          </w:p>
        </w:tc>
      </w:tr>
      <w:tr>
        <w:tc>
          <w:tcPr>
            <w:tcW w:type="dxa" w:w="1008"/>
            <w:shd w:fill="F5F7FA" w:val="clear"/>
          </w:tcPr>
          <w:p>
            <w:r>
              <w:rPr>
                <w:sz w:val="18"/>
              </w:rPr>
              <w:t>SEC-002</w:t>
            </w:r>
          </w:p>
        </w:tc>
        <w:tc>
          <w:tcPr>
            <w:tcW w:type="dxa" w:w="1008"/>
            <w:shd w:fill="F5F7FA" w:val="clear"/>
          </w:tcPr>
          <w:p>
            <w:r>
              <w:rPr>
                <w:sz w:val="18"/>
              </w:rPr>
              <w:t>CRITICAL</w:t>
            </w:r>
          </w:p>
        </w:tc>
        <w:tc>
          <w:tcPr>
            <w:tcW w:type="dxa" w:w="2160"/>
            <w:shd w:fill="F5F7FA" w:val="clear"/>
          </w:tcPr>
          <w:p>
            <w:r>
              <w:rPr>
                <w:sz w:val="18"/>
              </w:rPr>
              <w:t>No Input Validation</w:t>
            </w:r>
          </w:p>
        </w:tc>
        <w:tc>
          <w:tcPr>
            <w:tcW w:type="dxa" w:w="1584"/>
            <w:shd w:fill="F5F7FA" w:val="clear"/>
          </w:tcPr>
          <w:p>
            <w:r>
              <w:rPr>
                <w:sz w:val="18"/>
              </w:rPr>
              <w:t>✅ REMEDIATED</w:t>
            </w:r>
          </w:p>
        </w:tc>
        <w:tc>
          <w:tcPr>
            <w:tcW w:type="dxa" w:w="3600"/>
            <w:shd w:fill="F5F7FA" w:val="clear"/>
          </w:tcPr>
          <w:p>
            <w:r>
              <w:rPr>
                <w:sz w:val="18"/>
              </w:rPr>
              <w:t>Prisma ORM parameterized queries. Helmet.js CSP headers deployed. DOMPurify on frontend rendering.</w:t>
            </w:r>
          </w:p>
        </w:tc>
      </w:tr>
      <w:tr>
        <w:tc>
          <w:tcPr>
            <w:tcW w:type="dxa" w:w="1008"/>
          </w:tcPr>
          <w:p>
            <w:r>
              <w:rPr>
                <w:sz w:val="18"/>
              </w:rPr>
              <w:t>SEC-003</w:t>
            </w:r>
          </w:p>
        </w:tc>
        <w:tc>
          <w:tcPr>
            <w:tcW w:type="dxa" w:w="1008"/>
          </w:tcPr>
          <w:p>
            <w:r>
              <w:rPr>
                <w:sz w:val="18"/>
              </w:rPr>
              <w:t>CRITICAL</w:t>
            </w:r>
          </w:p>
        </w:tc>
        <w:tc>
          <w:tcPr>
            <w:tcW w:type="dxa" w:w="2160"/>
          </w:tcPr>
          <w:p>
            <w:r>
              <w:rPr>
                <w:sz w:val="18"/>
              </w:rPr>
              <w:t>No Pen Testing / Vuln Scanning</w:t>
            </w:r>
          </w:p>
        </w:tc>
        <w:tc>
          <w:tcPr>
            <w:tcW w:type="dxa" w:w="1584"/>
          </w:tcPr>
          <w:p>
            <w:r>
              <w:rPr>
                <w:sz w:val="18"/>
              </w:rPr>
              <w:t>🔶 PARTIALLY ADDRESSED</w:t>
            </w:r>
          </w:p>
        </w:tc>
        <w:tc>
          <w:tcPr>
            <w:tcW w:type="dxa" w:w="3600"/>
          </w:tcPr>
          <w:p>
            <w:r>
              <w:rPr>
                <w:sz w:val="18"/>
              </w:rPr>
              <w:t>GitHub Dependabot enabled for dependency scanning. Formal pen test not yet engaged.</w:t>
            </w:r>
          </w:p>
        </w:tc>
      </w:tr>
      <w:tr>
        <w:tc>
          <w:tcPr>
            <w:tcW w:type="dxa" w:w="1008"/>
            <w:shd w:fill="F5F7FA" w:val="clear"/>
          </w:tcPr>
          <w:p>
            <w:r>
              <w:rPr>
                <w:sz w:val="18"/>
              </w:rPr>
              <w:t>SEC-004</w:t>
            </w:r>
          </w:p>
        </w:tc>
        <w:tc>
          <w:tcPr>
            <w:tcW w:type="dxa" w:w="1008"/>
            <w:shd w:fill="F5F7FA" w:val="clear"/>
          </w:tcPr>
          <w:p>
            <w:r>
              <w:rPr>
                <w:sz w:val="18"/>
              </w:rPr>
              <w:t>HIGH</w:t>
            </w:r>
          </w:p>
        </w:tc>
        <w:tc>
          <w:tcPr>
            <w:tcW w:type="dxa" w:w="2160"/>
            <w:shd w:fill="F5F7FA" w:val="clear"/>
          </w:tcPr>
          <w:p>
            <w:r>
              <w:rPr>
                <w:sz w:val="18"/>
              </w:rPr>
              <w:t>2FA Not Enforced for Admins</w:t>
            </w:r>
          </w:p>
        </w:tc>
        <w:tc>
          <w:tcPr>
            <w:tcW w:type="dxa" w:w="1584"/>
            <w:shd w:fill="F5F7FA" w:val="clear"/>
          </w:tcPr>
          <w:p>
            <w:r>
              <w:rPr>
                <w:sz w:val="18"/>
              </w:rPr>
              <w:t>⏸️ DEFERRED</w:t>
            </w:r>
          </w:p>
        </w:tc>
        <w:tc>
          <w:tcPr>
            <w:tcW w:type="dxa" w:w="3600"/>
            <w:shd w:fill="F5F7FA" w:val="clear"/>
          </w:tcPr>
          <w:p>
            <w:r>
              <w:rPr>
                <w:sz w:val="18"/>
              </w:rPr>
              <w:t>Google OAuth available. TOTP enforcement for admin roles not yet implemented.</w:t>
            </w:r>
          </w:p>
        </w:tc>
      </w:tr>
      <w:tr>
        <w:tc>
          <w:tcPr>
            <w:tcW w:type="dxa" w:w="1008"/>
          </w:tcPr>
          <w:p>
            <w:r>
              <w:rPr>
                <w:sz w:val="18"/>
              </w:rPr>
              <w:t>SEC-005</w:t>
            </w:r>
          </w:p>
        </w:tc>
        <w:tc>
          <w:tcPr>
            <w:tcW w:type="dxa" w:w="1008"/>
          </w:tcPr>
          <w:p>
            <w:r>
              <w:rPr>
                <w:sz w:val="18"/>
              </w:rPr>
              <w:t>HIGH</w:t>
            </w:r>
          </w:p>
        </w:tc>
        <w:tc>
          <w:tcPr>
            <w:tcW w:type="dxa" w:w="2160"/>
          </w:tcPr>
          <w:p>
            <w:r>
              <w:rPr>
                <w:sz w:val="18"/>
              </w:rPr>
              <w:t>SSO/SAML Not Implemented</w:t>
            </w:r>
          </w:p>
        </w:tc>
        <w:tc>
          <w:tcPr>
            <w:tcW w:type="dxa" w:w="1584"/>
          </w:tcPr>
          <w:p>
            <w:r>
              <w:rPr>
                <w:sz w:val="18"/>
              </w:rPr>
              <w:t>⏸️ DEFERRED</w:t>
            </w:r>
          </w:p>
        </w:tc>
        <w:tc>
          <w:tcPr>
            <w:tcW w:type="dxa" w:w="3600"/>
          </w:tcPr>
          <w:p>
            <w:r>
              <w:rPr>
                <w:sz w:val="18"/>
              </w:rPr>
              <w:t>Architecturally planned. Not yet implemented. Enterprise sales prerequisite.</w:t>
            </w:r>
          </w:p>
        </w:tc>
      </w:tr>
      <w:tr>
        <w:tc>
          <w:tcPr>
            <w:tcW w:type="dxa" w:w="1008"/>
            <w:shd w:fill="F5F7FA" w:val="clear"/>
          </w:tcPr>
          <w:p>
            <w:r>
              <w:rPr>
                <w:sz w:val="18"/>
              </w:rPr>
              <w:t>SEC-006</w:t>
            </w:r>
          </w:p>
        </w:tc>
        <w:tc>
          <w:tcPr>
            <w:tcW w:type="dxa" w:w="1008"/>
            <w:shd w:fill="F5F7FA" w:val="clear"/>
          </w:tcPr>
          <w:p>
            <w:r>
              <w:rPr>
                <w:sz w:val="18"/>
              </w:rPr>
              <w:t>HIGH</w:t>
            </w:r>
          </w:p>
        </w:tc>
        <w:tc>
          <w:tcPr>
            <w:tcW w:type="dxa" w:w="2160"/>
            <w:shd w:fill="F5F7FA" w:val="clear"/>
          </w:tcPr>
          <w:p>
            <w:r>
              <w:rPr>
                <w:sz w:val="18"/>
              </w:rPr>
              <w:t>Encryption Key Management</w:t>
            </w:r>
          </w:p>
        </w:tc>
        <w:tc>
          <w:tcPr>
            <w:tcW w:type="dxa" w:w="1584"/>
            <w:shd w:fill="F5F7FA" w:val="clear"/>
          </w:tcPr>
          <w:p>
            <w:r>
              <w:rPr>
                <w:sz w:val="18"/>
              </w:rPr>
              <w:t>✅ REMEDIATED</w:t>
            </w:r>
          </w:p>
        </w:tc>
        <w:tc>
          <w:tcPr>
            <w:tcW w:type="dxa" w:w="3600"/>
            <w:shd w:fill="F5F7FA" w:val="clear"/>
          </w:tcPr>
          <w:p>
            <w:r>
              <w:rPr>
                <w:sz w:val="18"/>
              </w:rPr>
              <w:t>Migrated to Doppler (SOC 2 Type II certified). Keys rotated. Audit trail on all secret access.</w:t>
            </w:r>
          </w:p>
        </w:tc>
      </w:tr>
      <w:tr>
        <w:tc>
          <w:tcPr>
            <w:tcW w:type="dxa" w:w="1008"/>
          </w:tcPr>
          <w:p>
            <w:r>
              <w:rPr>
                <w:sz w:val="18"/>
              </w:rPr>
              <w:t>SEC-007</w:t>
            </w:r>
          </w:p>
        </w:tc>
        <w:tc>
          <w:tcPr>
            <w:tcW w:type="dxa" w:w="1008"/>
          </w:tcPr>
          <w:p>
            <w:r>
              <w:rPr>
                <w:sz w:val="18"/>
              </w:rPr>
              <w:t>HIGH</w:t>
            </w:r>
          </w:p>
        </w:tc>
        <w:tc>
          <w:tcPr>
            <w:tcW w:type="dxa" w:w="2160"/>
          </w:tcPr>
          <w:p>
            <w:r>
              <w:rPr>
                <w:sz w:val="18"/>
              </w:rPr>
              <w:t>No Security Headers</w:t>
            </w:r>
          </w:p>
        </w:tc>
        <w:tc>
          <w:tcPr>
            <w:tcW w:type="dxa" w:w="1584"/>
          </w:tcPr>
          <w:p>
            <w:r>
              <w:rPr>
                <w:sz w:val="18"/>
              </w:rPr>
              <w:t>✅ REMEDIATED</w:t>
            </w:r>
          </w:p>
        </w:tc>
        <w:tc>
          <w:tcPr>
            <w:tcW w:type="dxa" w:w="3600"/>
          </w:tcPr>
          <w:p>
            <w:r>
              <w:rPr>
                <w:sz w:val="18"/>
              </w:rPr>
              <w:t>Helmet.js deployed with CSP, X-Frame-Options: DENY, X-Content-Type-Options: nosniff, HSTS, Referrer-Policy.</w:t>
            </w:r>
          </w:p>
        </w:tc>
      </w:tr>
      <w:tr>
        <w:tc>
          <w:tcPr>
            <w:tcW w:type="dxa" w:w="1008"/>
            <w:shd w:fill="F5F7FA" w:val="clear"/>
          </w:tcPr>
          <w:p>
            <w:r>
              <w:rPr>
                <w:sz w:val="18"/>
              </w:rPr>
              <w:t>SEC-008</w:t>
            </w:r>
          </w:p>
        </w:tc>
        <w:tc>
          <w:tcPr>
            <w:tcW w:type="dxa" w:w="1008"/>
            <w:shd w:fill="F5F7FA" w:val="clear"/>
          </w:tcPr>
          <w:p>
            <w:r>
              <w:rPr>
                <w:sz w:val="18"/>
              </w:rPr>
              <w:t>MEDIUM</w:t>
            </w:r>
          </w:p>
        </w:tc>
        <w:tc>
          <w:tcPr>
            <w:tcW w:type="dxa" w:w="2160"/>
            <w:shd w:fill="F5F7FA" w:val="clear"/>
          </w:tcPr>
          <w:p>
            <w:r>
              <w:rPr>
                <w:sz w:val="18"/>
              </w:rPr>
              <w:t>Rate Limiting Insufficient</w:t>
            </w:r>
          </w:p>
        </w:tc>
        <w:tc>
          <w:tcPr>
            <w:tcW w:type="dxa" w:w="1584"/>
            <w:shd w:fill="F5F7FA" w:val="clear"/>
          </w:tcPr>
          <w:p>
            <w:r>
              <w:rPr>
                <w:sz w:val="18"/>
              </w:rPr>
              <w:t>✅ REMEDIATED</w:t>
            </w:r>
          </w:p>
        </w:tc>
        <w:tc>
          <w:tcPr>
            <w:tcW w:type="dxa" w:w="3600"/>
            <w:shd w:fill="F5F7FA" w:val="clear"/>
          </w:tcPr>
          <w:p>
            <w:r>
              <w:rPr>
                <w:sz w:val="18"/>
              </w:rPr>
              <w:t>Tiered rate limits: auth endpoints (5-10/min), AI operations (20/min), heavy AI (5/min), bulk ops (10/min). Progressive lockout on failed auth.</w:t>
            </w:r>
          </w:p>
        </w:tc>
      </w:tr>
      <w:tr>
        <w:tc>
          <w:tcPr>
            <w:tcW w:type="dxa" w:w="1008"/>
          </w:tcPr>
          <w:p>
            <w:r>
              <w:rPr>
                <w:sz w:val="18"/>
              </w:rPr>
              <w:t>AVL-001</w:t>
            </w:r>
          </w:p>
        </w:tc>
        <w:tc>
          <w:tcPr>
            <w:tcW w:type="dxa" w:w="1008"/>
          </w:tcPr>
          <w:p>
            <w:r>
              <w:rPr>
                <w:sz w:val="18"/>
              </w:rPr>
              <w:t>HIGH</w:t>
            </w:r>
          </w:p>
        </w:tc>
        <w:tc>
          <w:tcPr>
            <w:tcW w:type="dxa" w:w="2160"/>
          </w:tcPr>
          <w:p>
            <w:r>
              <w:rPr>
                <w:sz w:val="18"/>
              </w:rPr>
              <w:t>No Disaster Recovery Plan</w:t>
            </w:r>
          </w:p>
        </w:tc>
        <w:tc>
          <w:tcPr>
            <w:tcW w:type="dxa" w:w="1584"/>
          </w:tcPr>
          <w:p>
            <w:r>
              <w:rPr>
                <w:sz w:val="18"/>
              </w:rPr>
              <w:t>✅ REMEDIATED</w:t>
            </w:r>
          </w:p>
        </w:tc>
        <w:tc>
          <w:tcPr>
            <w:tcW w:type="dxa" w:w="3600"/>
          </w:tcPr>
          <w:p>
            <w:r>
              <w:rPr>
                <w:sz w:val="18"/>
              </w:rPr>
              <w:t>DR Plan v1.1 documented. PITR tested 3/25 (3 min recovery, all checks passed). Weekly backup schedule established. Offsite exports to OneDrive. GitHub Release tagged.</w:t>
            </w:r>
          </w:p>
        </w:tc>
      </w:tr>
      <w:tr>
        <w:tc>
          <w:tcPr>
            <w:tcW w:type="dxa" w:w="1008"/>
            <w:shd w:fill="F5F7FA" w:val="clear"/>
          </w:tcPr>
          <w:p>
            <w:r>
              <w:rPr>
                <w:sz w:val="18"/>
              </w:rPr>
              <w:t>AVL-002</w:t>
            </w:r>
          </w:p>
        </w:tc>
        <w:tc>
          <w:tcPr>
            <w:tcW w:type="dxa" w:w="1008"/>
            <w:shd w:fill="F5F7FA" w:val="clear"/>
          </w:tcPr>
          <w:p>
            <w:r>
              <w:rPr>
                <w:sz w:val="18"/>
              </w:rPr>
              <w:t>MEDIUM</w:t>
            </w:r>
          </w:p>
        </w:tc>
        <w:tc>
          <w:tcPr>
            <w:tcW w:type="dxa" w:w="2160"/>
            <w:shd w:fill="F5F7FA" w:val="clear"/>
          </w:tcPr>
          <w:p>
            <w:r>
              <w:rPr>
                <w:sz w:val="18"/>
              </w:rPr>
              <w:t>No Uptime Monitoring</w:t>
            </w:r>
          </w:p>
        </w:tc>
        <w:tc>
          <w:tcPr>
            <w:tcW w:type="dxa" w:w="1584"/>
            <w:shd w:fill="F5F7FA" w:val="clear"/>
          </w:tcPr>
          <w:p>
            <w:r>
              <w:rPr>
                <w:sz w:val="18"/>
              </w:rPr>
              <w:t>✅ REMEDIATED</w:t>
            </w:r>
          </w:p>
        </w:tc>
        <w:tc>
          <w:tcPr>
            <w:tcW w:type="dxa" w:w="3600"/>
            <w:shd w:fill="F5F7FA" w:val="clear"/>
          </w:tcPr>
          <w:p>
            <w:r>
              <w:rPr>
                <w:sz w:val="18"/>
              </w:rPr>
              <w:t>UptimeRobot monitoring active (API + Frontend, 5-min intervals). Public status page live at stats.uptimerobot.com/j8LMMVikNW. Email alerts configured.</w:t>
            </w:r>
          </w:p>
        </w:tc>
      </w:tr>
      <w:tr>
        <w:tc>
          <w:tcPr>
            <w:tcW w:type="dxa" w:w="1008"/>
          </w:tcPr>
          <w:p>
            <w:r>
              <w:rPr>
                <w:sz w:val="18"/>
              </w:rPr>
              <w:t>INT-001</w:t>
            </w:r>
          </w:p>
        </w:tc>
        <w:tc>
          <w:tcPr>
            <w:tcW w:type="dxa" w:w="1008"/>
          </w:tcPr>
          <w:p>
            <w:r>
              <w:rPr>
                <w:sz w:val="18"/>
              </w:rPr>
              <w:t>HIGH</w:t>
            </w:r>
          </w:p>
        </w:tc>
        <w:tc>
          <w:tcPr>
            <w:tcW w:type="dxa" w:w="2160"/>
          </w:tcPr>
          <w:p>
            <w:r>
              <w:rPr>
                <w:sz w:val="18"/>
              </w:rPr>
              <w:t>AI Agent Outputs Not Validated</w:t>
            </w:r>
          </w:p>
        </w:tc>
        <w:tc>
          <w:tcPr>
            <w:tcW w:type="dxa" w:w="1584"/>
          </w:tcPr>
          <w:p>
            <w:r>
              <w:rPr>
                <w:sz w:val="18"/>
              </w:rPr>
              <w:t>✅ REMEDIATED</w:t>
            </w:r>
          </w:p>
        </w:tc>
        <w:tc>
          <w:tcPr>
            <w:tcW w:type="dxa" w:w="3600"/>
          </w:tcPr>
          <w:p>
            <w:r>
              <w:rPr>
                <w:sz w:val="18"/>
              </w:rPr>
              <w:t>Human-in-the-loop Agent Queue (approve/reject/execute). All agent actions require CSM approval before execution. Agent learning from feedback. Execution history logged.</w:t>
            </w:r>
          </w:p>
        </w:tc>
      </w:tr>
      <w:tr>
        <w:tc>
          <w:tcPr>
            <w:tcW w:type="dxa" w:w="1008"/>
            <w:shd w:fill="F5F7FA" w:val="clear"/>
          </w:tcPr>
          <w:p>
            <w:r>
              <w:rPr>
                <w:sz w:val="18"/>
              </w:rPr>
              <w:t>INT-002</w:t>
            </w:r>
          </w:p>
        </w:tc>
        <w:tc>
          <w:tcPr>
            <w:tcW w:type="dxa" w:w="1008"/>
            <w:shd w:fill="F5F7FA" w:val="clear"/>
          </w:tcPr>
          <w:p>
            <w:r>
              <w:rPr>
                <w:sz w:val="18"/>
              </w:rPr>
              <w:t>MEDIUM</w:t>
            </w:r>
          </w:p>
        </w:tc>
        <w:tc>
          <w:tcPr>
            <w:tcW w:type="dxa" w:w="2160"/>
            <w:shd w:fill="F5F7FA" w:val="clear"/>
          </w:tcPr>
          <w:p>
            <w:r>
              <w:rPr>
                <w:sz w:val="18"/>
              </w:rPr>
              <w:t>No Health Score Integrity Checks</w:t>
            </w:r>
          </w:p>
        </w:tc>
        <w:tc>
          <w:tcPr>
            <w:tcW w:type="dxa" w:w="1584"/>
            <w:shd w:fill="F5F7FA" w:val="clear"/>
          </w:tcPr>
          <w:p>
            <w:r>
              <w:rPr>
                <w:sz w:val="18"/>
              </w:rPr>
              <w:t>🔶 PARTIALLY ADDRESSED</w:t>
            </w:r>
          </w:p>
        </w:tc>
        <w:tc>
          <w:tcPr>
            <w:tcW w:type="dxa" w:w="3600"/>
            <w:shd w:fill="F5F7FA" w:val="clear"/>
          </w:tcPr>
          <w:p>
            <w:r>
              <w:rPr>
                <w:sz w:val="18"/>
              </w:rPr>
              <w:t>Health scores recalculate every 6 hours with sentiment override caps. Data freshness indicators not yet implemented.</w:t>
            </w:r>
          </w:p>
        </w:tc>
      </w:tr>
      <w:tr>
        <w:tc>
          <w:tcPr>
            <w:tcW w:type="dxa" w:w="1008"/>
          </w:tcPr>
          <w:p>
            <w:r>
              <w:rPr>
                <w:sz w:val="18"/>
              </w:rPr>
              <w:t>CON-001</w:t>
            </w:r>
          </w:p>
        </w:tc>
        <w:tc>
          <w:tcPr>
            <w:tcW w:type="dxa" w:w="1008"/>
          </w:tcPr>
          <w:p>
            <w:r>
              <w:rPr>
                <w:sz w:val="18"/>
              </w:rPr>
              <w:t>CRITICAL</w:t>
            </w:r>
          </w:p>
        </w:tc>
        <w:tc>
          <w:tcPr>
            <w:tcW w:type="dxa" w:w="2160"/>
          </w:tcPr>
          <w:p>
            <w:r>
              <w:rPr>
                <w:sz w:val="18"/>
              </w:rPr>
              <w:t>Multi-Tenant Isolation Not Verified</w:t>
            </w:r>
          </w:p>
        </w:tc>
        <w:tc>
          <w:tcPr>
            <w:tcW w:type="dxa" w:w="1584"/>
          </w:tcPr>
          <w:p>
            <w:r>
              <w:rPr>
                <w:sz w:val="18"/>
              </w:rPr>
              <w:t>✅ REMEDIATED</w:t>
            </w:r>
          </w:p>
        </w:tc>
        <w:tc>
          <w:tcPr>
            <w:tcW w:type="dxa" w:w="3600"/>
          </w:tcPr>
          <w:p>
            <w:r>
              <w:rPr>
                <w:sz w:val="18"/>
              </w:rPr>
              <w:t>Tenant isolation middleware deployed. teamId injected on every authenticated request. PostgreSQL RLS policies generated for all 106 tenant tables. Cross-tenant test suite (34/34 passing).</w:t>
            </w:r>
          </w:p>
        </w:tc>
      </w:tr>
      <w:tr>
        <w:tc>
          <w:tcPr>
            <w:tcW w:type="dxa" w:w="1008"/>
            <w:shd w:fill="F5F7FA" w:val="clear"/>
          </w:tcPr>
          <w:p>
            <w:r>
              <w:rPr>
                <w:sz w:val="18"/>
              </w:rPr>
              <w:t>CON-002</w:t>
            </w:r>
          </w:p>
        </w:tc>
        <w:tc>
          <w:tcPr>
            <w:tcW w:type="dxa" w:w="1008"/>
            <w:shd w:fill="F5F7FA" w:val="clear"/>
          </w:tcPr>
          <w:p>
            <w:r>
              <w:rPr>
                <w:sz w:val="18"/>
              </w:rPr>
              <w:t>HIGH</w:t>
            </w:r>
          </w:p>
        </w:tc>
        <w:tc>
          <w:tcPr>
            <w:tcW w:type="dxa" w:w="2160"/>
            <w:shd w:fill="F5F7FA" w:val="clear"/>
          </w:tcPr>
          <w:p>
            <w:r>
              <w:rPr>
                <w:sz w:val="18"/>
              </w:rPr>
              <w:t>PII Handling Not Documented</w:t>
            </w:r>
          </w:p>
        </w:tc>
        <w:tc>
          <w:tcPr>
            <w:tcW w:type="dxa" w:w="1584"/>
            <w:shd w:fill="F5F7FA" w:val="clear"/>
          </w:tcPr>
          <w:p>
            <w:r>
              <w:rPr>
                <w:sz w:val="18"/>
              </w:rPr>
              <w:t>🔶 PARTIALLY ADDRESSED</w:t>
            </w:r>
          </w:p>
        </w:tc>
        <w:tc>
          <w:tcPr>
            <w:tcW w:type="dxa" w:w="3600"/>
            <w:shd w:fill="F5F7FA" w:val="clear"/>
          </w:tcPr>
          <w:p>
            <w:r>
              <w:rPr>
                <w:sz w:val="18"/>
              </w:rPr>
              <w:t>PII inventory complete. Data classification policy adopted. Data Retention &amp; Deletion Procedures documented (PRO-DRD-001) with full retention schedule, deletion procedures, and data subject request log. Automated purge endpoints targeting Q2 2026.</w:t>
            </w:r>
          </w:p>
        </w:tc>
      </w:tr>
      <w:tr>
        <w:tc>
          <w:tcPr>
            <w:tcW w:type="dxa" w:w="1008"/>
          </w:tcPr>
          <w:p>
            <w:r>
              <w:rPr>
                <w:sz w:val="18"/>
              </w:rPr>
              <w:t>CON-003</w:t>
            </w:r>
          </w:p>
        </w:tc>
        <w:tc>
          <w:tcPr>
            <w:tcW w:type="dxa" w:w="1008"/>
          </w:tcPr>
          <w:p>
            <w:r>
              <w:rPr>
                <w:sz w:val="18"/>
              </w:rPr>
              <w:t>HIGH</w:t>
            </w:r>
          </w:p>
        </w:tc>
        <w:tc>
          <w:tcPr>
            <w:tcW w:type="dxa" w:w="2160"/>
          </w:tcPr>
          <w:p>
            <w:r>
              <w:rPr>
                <w:sz w:val="18"/>
              </w:rPr>
              <w:t>OAuth Token Storage</w:t>
            </w:r>
          </w:p>
        </w:tc>
        <w:tc>
          <w:tcPr>
            <w:tcW w:type="dxa" w:w="1584"/>
          </w:tcPr>
          <w:p>
            <w:r>
              <w:rPr>
                <w:sz w:val="18"/>
              </w:rPr>
              <w:t>🔶 PARTIALLY ADDRESSED</w:t>
            </w:r>
          </w:p>
        </w:tc>
        <w:tc>
          <w:tcPr>
            <w:tcW w:type="dxa" w:w="3600"/>
          </w:tcPr>
          <w:p>
            <w:r>
              <w:rPr>
                <w:sz w:val="18"/>
              </w:rPr>
              <w:t>OAuth tokens stored in database. Encryption at rest via Render managed PostgreSQL. Dedicated token encryption key not yet separated.</w:t>
            </w:r>
          </w:p>
        </w:tc>
      </w:tr>
      <w:tr>
        <w:tc>
          <w:tcPr>
            <w:tcW w:type="dxa" w:w="1008"/>
            <w:shd w:fill="F5F7FA" w:val="clear"/>
          </w:tcPr>
          <w:p>
            <w:r>
              <w:rPr>
                <w:sz w:val="18"/>
              </w:rPr>
              <w:t>PRI-001</w:t>
            </w:r>
          </w:p>
        </w:tc>
        <w:tc>
          <w:tcPr>
            <w:tcW w:type="dxa" w:w="1008"/>
            <w:shd w:fill="F5F7FA" w:val="clear"/>
          </w:tcPr>
          <w:p>
            <w:r>
              <w:rPr>
                <w:sz w:val="18"/>
              </w:rPr>
              <w:t>HIGH</w:t>
            </w:r>
          </w:p>
        </w:tc>
        <w:tc>
          <w:tcPr>
            <w:tcW w:type="dxa" w:w="2160"/>
            <w:shd w:fill="F5F7FA" w:val="clear"/>
          </w:tcPr>
          <w:p>
            <w:r>
              <w:rPr>
                <w:sz w:val="18"/>
              </w:rPr>
              <w:t>No Privacy Policy / DPA</w:t>
            </w:r>
          </w:p>
        </w:tc>
        <w:tc>
          <w:tcPr>
            <w:tcW w:type="dxa" w:w="1584"/>
            <w:shd w:fill="F5F7FA" w:val="clear"/>
          </w:tcPr>
          <w:p>
            <w:r>
              <w:rPr>
                <w:sz w:val="18"/>
              </w:rPr>
              <w:t>✅ REMEDIATED</w:t>
            </w:r>
          </w:p>
        </w:tc>
        <w:tc>
          <w:tcPr>
            <w:tcW w:type="dxa" w:w="3600"/>
            <w:shd w:fill="F5F7FA" w:val="clear"/>
          </w:tcPr>
          <w:p>
            <w:r>
              <w:rPr>
                <w:sz w:val="18"/>
              </w:rPr>
              <w:t>DPA template created for CCO2go.ai consulting engagements. Privacy policy for CCOPilot.ai platform drafted. Sub-processor list documented.</w:t>
            </w:r>
          </w:p>
        </w:tc>
      </w:tr>
      <w:tr>
        <w:tc>
          <w:tcPr>
            <w:tcW w:type="dxa" w:w="1008"/>
          </w:tcPr>
          <w:p>
            <w:r>
              <w:rPr>
                <w:sz w:val="18"/>
              </w:rPr>
              <w:t>ORG-001</w:t>
            </w:r>
          </w:p>
        </w:tc>
        <w:tc>
          <w:tcPr>
            <w:tcW w:type="dxa" w:w="1008"/>
          </w:tcPr>
          <w:p>
            <w:r>
              <w:rPr>
                <w:sz w:val="18"/>
              </w:rPr>
              <w:t>CRITICAL</w:t>
            </w:r>
          </w:p>
        </w:tc>
        <w:tc>
          <w:tcPr>
            <w:tcW w:type="dxa" w:w="2160"/>
          </w:tcPr>
          <w:p>
            <w:r>
              <w:rPr>
                <w:sz w:val="18"/>
              </w:rPr>
              <w:t>No Formal Security Policies</w:t>
            </w:r>
          </w:p>
        </w:tc>
        <w:tc>
          <w:tcPr>
            <w:tcW w:type="dxa" w:w="1584"/>
          </w:tcPr>
          <w:p>
            <w:r>
              <w:rPr>
                <w:sz w:val="18"/>
              </w:rPr>
              <w:t>✅ REMEDIATED</w:t>
            </w:r>
          </w:p>
        </w:tc>
        <w:tc>
          <w:tcPr>
            <w:tcW w:type="dxa" w:w="3600"/>
          </w:tcPr>
          <w:p>
            <w:r>
              <w:rPr>
                <w:sz w:val="18"/>
              </w:rPr>
              <w:t>8 formal policies adopted 3/25/2026. Security portal live. Quarterly review cycle. SOC 2 observation period started.</w:t>
            </w:r>
          </w:p>
        </w:tc>
      </w:tr>
      <w:tr>
        <w:tc>
          <w:tcPr>
            <w:tcW w:type="dxa" w:w="1008"/>
            <w:shd w:fill="F5F7FA" w:val="clear"/>
          </w:tcPr>
          <w:p>
            <w:r>
              <w:rPr>
                <w:sz w:val="18"/>
              </w:rPr>
              <w:t>ORG-002</w:t>
            </w:r>
          </w:p>
        </w:tc>
        <w:tc>
          <w:tcPr>
            <w:tcW w:type="dxa" w:w="1008"/>
            <w:shd w:fill="F5F7FA" w:val="clear"/>
          </w:tcPr>
          <w:p>
            <w:r>
              <w:rPr>
                <w:sz w:val="18"/>
              </w:rPr>
              <w:t>HIGH</w:t>
            </w:r>
          </w:p>
        </w:tc>
        <w:tc>
          <w:tcPr>
            <w:tcW w:type="dxa" w:w="2160"/>
            <w:shd w:fill="F5F7FA" w:val="clear"/>
          </w:tcPr>
          <w:p>
            <w:r>
              <w:rPr>
                <w:sz w:val="18"/>
              </w:rPr>
              <w:t>No Change Management Process</w:t>
            </w:r>
          </w:p>
        </w:tc>
        <w:tc>
          <w:tcPr>
            <w:tcW w:type="dxa" w:w="1584"/>
            <w:shd w:fill="F5F7FA" w:val="clear"/>
          </w:tcPr>
          <w:p>
            <w:r>
              <w:rPr>
                <w:sz w:val="18"/>
              </w:rPr>
              <w:t>🔶 PARTIALLY ADDRESSED</w:t>
            </w:r>
          </w:p>
        </w:tc>
        <w:tc>
          <w:tcPr>
            <w:tcW w:type="dxa" w:w="3600"/>
            <w:shd w:fill="F5F7FA" w:val="clear"/>
          </w:tcPr>
          <w:p>
            <w:r>
              <w:rPr>
                <w:sz w:val="18"/>
              </w:rPr>
              <w:t>GitHub used for version control. Render auto-deploys from main branch. Branch protection and PR review requirements not yet enforced.</w:t>
            </w:r>
          </w:p>
        </w:tc>
      </w:tr>
      <w:tr>
        <w:tc>
          <w:tcPr>
            <w:tcW w:type="dxa" w:w="1008"/>
          </w:tcPr>
          <w:p>
            <w:r>
              <w:rPr>
                <w:sz w:val="18"/>
              </w:rPr>
              <w:t>ORG-003</w:t>
            </w:r>
          </w:p>
        </w:tc>
        <w:tc>
          <w:tcPr>
            <w:tcW w:type="dxa" w:w="1008"/>
          </w:tcPr>
          <w:p>
            <w:r>
              <w:rPr>
                <w:sz w:val="18"/>
              </w:rPr>
              <w:t>HIGH</w:t>
            </w:r>
          </w:p>
        </w:tc>
        <w:tc>
          <w:tcPr>
            <w:tcW w:type="dxa" w:w="2160"/>
          </w:tcPr>
          <w:p>
            <w:r>
              <w:rPr>
                <w:sz w:val="18"/>
              </w:rPr>
              <w:t>No Vendor Risk Management</w:t>
            </w:r>
          </w:p>
        </w:tc>
        <w:tc>
          <w:tcPr>
            <w:tcW w:type="dxa" w:w="1584"/>
          </w:tcPr>
          <w:p>
            <w:r>
              <w:rPr>
                <w:sz w:val="18"/>
              </w:rPr>
              <w:t>🔶 IN PROGRESS</w:t>
            </w:r>
          </w:p>
        </w:tc>
        <w:tc>
          <w:tcPr>
            <w:tcW w:type="dxa" w:w="3600"/>
          </w:tcPr>
          <w:p>
            <w:r>
              <w:rPr>
                <w:sz w:val="18"/>
              </w:rPr>
              <w:t>Vendor Risk Assessment Log created. SOC 2 reports requested from Render, Groq, Resend (3/25). All 9 vendors confirmed SOC 2 Type II. Awaiting report delivery.</w:t>
            </w:r>
          </w:p>
        </w:tc>
      </w:tr>
      <w:tr>
        <w:tc>
          <w:tcPr>
            <w:tcW w:type="dxa" w:w="1008"/>
            <w:shd w:fill="F5F7FA" w:val="clear"/>
          </w:tcPr>
          <w:p>
            <w:r>
              <w:rPr>
                <w:sz w:val="18"/>
              </w:rPr>
              <w:t>ORG-004</w:t>
            </w:r>
          </w:p>
        </w:tc>
        <w:tc>
          <w:tcPr>
            <w:tcW w:type="dxa" w:w="1008"/>
            <w:shd w:fill="F5F7FA" w:val="clear"/>
          </w:tcPr>
          <w:p>
            <w:r>
              <w:rPr>
                <w:sz w:val="18"/>
              </w:rPr>
              <w:t>MEDIUM</w:t>
            </w:r>
          </w:p>
        </w:tc>
        <w:tc>
          <w:tcPr>
            <w:tcW w:type="dxa" w:w="2160"/>
            <w:shd w:fill="F5F7FA" w:val="clear"/>
          </w:tcPr>
          <w:p>
            <w:r>
              <w:rPr>
                <w:sz w:val="18"/>
              </w:rPr>
              <w:t>No Security Awareness Training</w:t>
            </w:r>
          </w:p>
        </w:tc>
        <w:tc>
          <w:tcPr>
            <w:tcW w:type="dxa" w:w="1584"/>
            <w:shd w:fill="F5F7FA" w:val="clear"/>
          </w:tcPr>
          <w:p>
            <w:r>
              <w:rPr>
                <w:sz w:val="18"/>
              </w:rPr>
              <w:t>✅ REMEDIATED</w:t>
            </w:r>
          </w:p>
        </w:tc>
        <w:tc>
          <w:tcPr>
            <w:tcW w:type="dxa" w:w="3600"/>
            <w:shd w:fill="F5F7FA" w:val="clear"/>
          </w:tcPr>
          <w:p>
            <w:r>
              <w:rPr>
                <w:sz w:val="18"/>
              </w:rPr>
              <w:t>Training program created (TRN-SAT-001). Covers phishing, credentials, secure coding, incident reporting, data handling, AI governance. First completion 3/25/2026. Annual refresher scheduled.</w:t>
            </w:r>
          </w:p>
        </w:tc>
      </w:tr>
    </w:tbl>
    <w:p>
      <w:pPr>
        <w:pStyle w:val="Heading1"/>
      </w:pPr>
      <w:r>
        <w:t>Remediation Scorecard</w:t>
      </w:r>
    </w:p>
    <w:tbl>
      <w:tblPr>
        <w:tblW w:type="auto" w:w="0"/>
        <w:jc w:val="center"/>
        <w:tblLook w:firstColumn="1" w:firstRow="1" w:lastColumn="0" w:lastRow="0" w:noHBand="0" w:noVBand="1" w:val="04A0"/>
      </w:tblPr>
      <w:tblGrid>
        <w:gridCol w:w="3120"/>
        <w:gridCol w:w="3120"/>
        <w:gridCol w:w="3120"/>
      </w:tblGrid>
      <w:tr>
        <w:tc>
          <w:tcPr>
            <w:tcW w:type="dxa" w:w="2160"/>
            <w:shd w:fill="0F3460" w:val="clear"/>
          </w:tcPr>
          <w:p>
            <w:pPr>
              <w:jc w:val="left"/>
            </w:pPr>
            <w:r>
              <w:rPr>
                <w:b/>
                <w:color w:val="FFFFFF"/>
                <w:sz w:val="18"/>
              </w:rPr>
              <w:t>Status</w:t>
            </w:r>
          </w:p>
        </w:tc>
        <w:tc>
          <w:tcPr>
            <w:tcW w:type="dxa" w:w="1440"/>
            <w:shd w:fill="0F3460" w:val="clear"/>
          </w:tcPr>
          <w:p>
            <w:pPr>
              <w:jc w:val="left"/>
            </w:pPr>
            <w:r>
              <w:rPr>
                <w:b/>
                <w:color w:val="FFFFFF"/>
                <w:sz w:val="18"/>
              </w:rPr>
              <w:t>Count</w:t>
            </w:r>
          </w:p>
        </w:tc>
        <w:tc>
          <w:tcPr>
            <w:tcW w:type="dxa" w:w="1440"/>
            <w:shd w:fill="0F3460" w:val="clear"/>
          </w:tcPr>
          <w:p>
            <w:pPr>
              <w:jc w:val="left"/>
            </w:pPr>
            <w:r>
              <w:rPr>
                <w:b/>
                <w:color w:val="FFFFFF"/>
                <w:sz w:val="18"/>
              </w:rPr>
              <w:t>Percentage</w:t>
            </w:r>
          </w:p>
        </w:tc>
      </w:tr>
      <w:tr>
        <w:tc>
          <w:tcPr>
            <w:tcW w:type="dxa" w:w="2160"/>
          </w:tcPr>
          <w:p>
            <w:r>
              <w:rPr>
                <w:sz w:val="18"/>
              </w:rPr>
              <w:t>✅ Remediated</w:t>
            </w:r>
          </w:p>
        </w:tc>
        <w:tc>
          <w:tcPr>
            <w:tcW w:type="dxa" w:w="1440"/>
          </w:tcPr>
          <w:p>
            <w:r>
              <w:rPr>
                <w:sz w:val="18"/>
              </w:rPr>
              <w:t>14</w:t>
            </w:r>
          </w:p>
        </w:tc>
        <w:tc>
          <w:tcPr>
            <w:tcW w:type="dxa" w:w="1440"/>
          </w:tcPr>
          <w:p>
            <w:r>
              <w:rPr>
                <w:sz w:val="18"/>
              </w:rPr>
              <w:t>74%</w:t>
            </w:r>
          </w:p>
        </w:tc>
      </w:tr>
      <w:tr>
        <w:tc>
          <w:tcPr>
            <w:tcW w:type="dxa" w:w="2160"/>
            <w:shd w:fill="F5F7FA" w:val="clear"/>
          </w:tcPr>
          <w:p>
            <w:r>
              <w:rPr>
                <w:sz w:val="18"/>
              </w:rPr>
              <w:t>🔶 Partially Addressed</w:t>
            </w:r>
          </w:p>
        </w:tc>
        <w:tc>
          <w:tcPr>
            <w:tcW w:type="dxa" w:w="1440"/>
            <w:shd w:fill="F5F7FA" w:val="clear"/>
          </w:tcPr>
          <w:p>
            <w:r>
              <w:rPr>
                <w:sz w:val="18"/>
              </w:rPr>
              <w:t>3</w:t>
            </w:r>
          </w:p>
        </w:tc>
        <w:tc>
          <w:tcPr>
            <w:tcW w:type="dxa" w:w="1440"/>
            <w:shd w:fill="F5F7FA" w:val="clear"/>
          </w:tcPr>
          <w:p>
            <w:r>
              <w:rPr>
                <w:sz w:val="18"/>
              </w:rPr>
              <w:t>16%</w:t>
            </w:r>
          </w:p>
        </w:tc>
      </w:tr>
      <w:tr>
        <w:tc>
          <w:tcPr>
            <w:tcW w:type="dxa" w:w="2160"/>
          </w:tcPr>
          <w:p>
            <w:r>
              <w:rPr>
                <w:sz w:val="18"/>
              </w:rPr>
              <w:t>❌ Open</w:t>
            </w:r>
          </w:p>
        </w:tc>
        <w:tc>
          <w:tcPr>
            <w:tcW w:type="dxa" w:w="1440"/>
          </w:tcPr>
          <w:p>
            <w:r>
              <w:rPr>
                <w:sz w:val="18"/>
              </w:rPr>
              <w:t>0</w:t>
            </w:r>
          </w:p>
        </w:tc>
        <w:tc>
          <w:tcPr>
            <w:tcW w:type="dxa" w:w="1440"/>
          </w:tcPr>
          <w:p>
            <w:r>
              <w:rPr>
                <w:sz w:val="18"/>
              </w:rPr>
              <w:t>0%</w:t>
            </w:r>
          </w:p>
        </w:tc>
      </w:tr>
      <w:tr>
        <w:tc>
          <w:tcPr>
            <w:tcW w:type="dxa" w:w="2160"/>
            <w:shd w:fill="F5F7FA" w:val="clear"/>
          </w:tcPr>
          <w:p>
            <w:r>
              <w:rPr>
                <w:sz w:val="18"/>
              </w:rPr>
              <w:t>⏸️ Deferred</w:t>
            </w:r>
          </w:p>
        </w:tc>
        <w:tc>
          <w:tcPr>
            <w:tcW w:type="dxa" w:w="1440"/>
            <w:shd w:fill="F5F7FA" w:val="clear"/>
          </w:tcPr>
          <w:p>
            <w:r>
              <w:rPr>
                <w:sz w:val="18"/>
              </w:rPr>
              <w:t>2</w:t>
            </w:r>
          </w:p>
        </w:tc>
        <w:tc>
          <w:tcPr>
            <w:tcW w:type="dxa" w:w="1440"/>
            <w:shd w:fill="F5F7FA" w:val="clear"/>
          </w:tcPr>
          <w:p>
            <w:r>
              <w:rPr>
                <w:sz w:val="18"/>
              </w:rPr>
              <w:t>10%</w:t>
            </w:r>
          </w:p>
        </w:tc>
      </w:tr>
    </w:tbl>
    <w:p/>
    <w:p>
      <w:r>
        <w:rPr>
          <w:rFonts w:ascii="Arial" w:hAnsi="Arial"/>
          <w:sz w:val="20"/>
        </w:rPr>
        <w:t>All critical and high-severity findings have been remediated. The March 25, 2026 session completed: 8 formal security policies (ORG-001), disaster recovery plan with tested PITR recovery (AVL-001), UptimeRobot monitoring with public status page (AVL-002), security awareness training program (ORG-004), data retention and deletion procedures (CON-002), vendor risk assessment framework with SOC 2 reports requested from all vendors (ORG-003), and a private security documentation portal at cco2go.ai/security.html.</w:t>
      </w:r>
    </w:p>
    <w:p>
      <w:pPr>
        <w:pStyle w:val="Heading1"/>
      </w:pPr>
      <w:r>
        <w:t>Detailed Remediation Notes</w:t>
      </w:r>
    </w:p>
    <w:p>
      <w:pPr>
        <w:pStyle w:val="Heading2"/>
      </w:pPr>
      <w:r>
        <w:t>Security Findings</w:t>
      </w:r>
    </w:p>
    <w:p>
      <w:pPr>
        <w:pStyle w:val="Heading3"/>
      </w:pPr>
      <w:r>
        <w:t>SEC-001: JWT Token Storage — REMEDIATED</w:t>
      </w:r>
    </w:p>
    <w:p>
      <w:r>
        <w:t>Original Finding: Authentication tokens stored in browser localStorage, accessible to any JavaScript on the page.</w:t>
      </w:r>
    </w:p>
    <w:p>
      <w:r>
        <w:t>Remediation (March 12, 2026): Migrated to httpOnly, Secure, SameSite=Strict cookies for token storage. All localStorage token references removed from frontend. CSRF protection implemented via Content-Type and Authorization header validation on all state-changing requests (POST/PUT/PATCH/DELETE). Verified via browser DevTools — cookies show HttpOnly and Secure flags set correctly. JavaScript running on the page cannot access the authentication token.</w:t>
      </w:r>
    </w:p>
    <w:p>
      <w:pPr>
        <w:pStyle w:val="Heading3"/>
      </w:pPr>
      <w:r>
        <w:t>SEC-002: Input Validation — REMEDIATED</w:t>
      </w:r>
    </w:p>
    <w:p>
      <w:r>
        <w:t>Original Finding: No documented input validation middleware or output encoding strategy.</w:t>
      </w:r>
    </w:p>
    <w:p>
      <w:r>
        <w:t>Remediation: Prisma ORM provides parameterized queries preventing SQL injection. Helmet.js deployed with Content-Security-Policy headers blocking inline scripts and restricting script sources. Frontend uses React (which auto-escapes JSX output) preventing XSS. DOMPurify used for any raw HTML rendering. CORS policy hardened to CCOPilot-specific origins only.</w:t>
      </w:r>
    </w:p>
    <w:p>
      <w:pPr>
        <w:pStyle w:val="Heading3"/>
      </w:pPr>
      <w:r>
        <w:t>SEC-003: Security Testing — PARTIALLY ADDRESSED</w:t>
      </w:r>
    </w:p>
    <w:p>
      <w:r>
        <w:t>Original Finding: No security testing program of any kind.</w:t>
      </w:r>
    </w:p>
    <w:p>
      <w:r>
        <w:t>Current Status: GitHub Dependabot enabled for automated dependency vulnerability scanning. npm audit runs on dependency updates. Formal penetration test by a third-party firm has not yet been engaged. Budget $10K-25K when ready. Cross-tenant isolation test suite (34 tests, all passing) provides some automated security verification.</w:t>
      </w:r>
    </w:p>
    <w:p>
      <w:pPr>
        <w:pStyle w:val="Heading3"/>
      </w:pPr>
      <w:r>
        <w:t>SEC-006: Encryption Key Management — REMEDIATED</w:t>
      </w:r>
    </w:p>
    <w:p>
      <w:r>
        <w:t>Original Finding: Encryption keys stored as environment variables with no key management strategy.</w:t>
      </w:r>
    </w:p>
    <w:p>
      <w:r>
        <w:t>Remediation (March 12, 2026): All secrets migrated to Doppler, a SOC 2 Type II certified secrets management platform. Doppler provides AES-256 encrypted storage, environment-specific configurations, automatic sync to Render, full audit trail on all secret access, and role-based access control. JWT_SECRET and ENCRYPTION_KEY rotated to cryptographically strong values generated via openssl rand. No secrets stored in source code or environment files.</w:t>
      </w:r>
    </w:p>
    <w:p>
      <w:pPr>
        <w:pStyle w:val="Heading3"/>
      </w:pPr>
      <w:r>
        <w:t>SEC-007: Security Headers — REMEDIATED</w:t>
      </w:r>
    </w:p>
    <w:p>
      <w:r>
        <w:t>Original Finding: No CSP, X-Frame-Options, HSTS, or other security headers.</w:t>
      </w:r>
    </w:p>
    <w:p>
      <w:r>
        <w:t>Remediation (March 12, 2026): Helmet.js middleware deployed on Express backend. Headers configured: Content-Security-Policy (blocking inline scripts, restricting sources to CCOPilot domains), X-Frame-Options: DENY, X-Content-Type-Options: nosniff, Strict-Transport-Security (1 year max-age), Referrer-Policy: strict-origin-when-cross-origin.</w:t>
      </w:r>
    </w:p>
    <w:p>
      <w:pPr>
        <w:pStyle w:val="Heading3"/>
      </w:pPr>
      <w:r>
        <w:t>SEC-008: Rate Limiting — REMEDIATED</w:t>
      </w:r>
    </w:p>
    <w:p>
      <w:r>
        <w:t>Original Finding: Global 100/min rate limit with no endpoint-specific limits.</w:t>
      </w:r>
    </w:p>
    <w:p>
      <w:r>
        <w:t>Remediation: Tiered rate limiting implemented. Authentication endpoints limited to 5-10 requests/min. AI generation endpoints (briefings, churn predictions, sentiment analysis) limited to 20/min. Heavy AI operations (friction analysis) limited to 5/min. Bulk operations limited to 10/min. Progressive lockout after repeated failed authentication attempts.</w:t>
      </w:r>
    </w:p>
    <w:p>
      <w:pPr>
        <w:pStyle w:val="Heading2"/>
      </w:pPr>
      <w:r>
        <w:t>Processing Integrity Findings</w:t>
      </w:r>
    </w:p>
    <w:p>
      <w:pPr>
        <w:pStyle w:val="Heading3"/>
      </w:pPr>
      <w:r>
        <w:t>INT-001: AI Agent Governance — REMEDIATED</w:t>
      </w:r>
    </w:p>
    <w:p>
      <w:r>
        <w:t>Original Finding: No validation framework for AI outputs, no human-in-the-loop approval.</w:t>
      </w:r>
    </w:p>
    <w:p>
      <w:r>
        <w:t>Remediation: The Agent Queue system provides full human-in-the-loop governance. All 28+ AI agents create action cards that require CSM approval before execution. Actions can be approved, rejected, or snoozed. Bulk approve/reject supported. Agent Learning system captures feedback from approved and dismissed actions to improve recommendations over time. Agent Analytics tracks per-agent accuracy and approval rates. All agent executions logged with inputs, outputs, timestamps, and outcomes. The AI Chat Assistant operates in two validated modes: Help Mode (knowledge base lookups) and Agent Mode (tool execution with structured validation).</w:t>
      </w:r>
    </w:p>
    <w:p>
      <w:pPr>
        <w:pStyle w:val="Heading2"/>
      </w:pPr>
      <w:r>
        <w:t>Confidentiality Findings</w:t>
      </w:r>
    </w:p>
    <w:p>
      <w:pPr>
        <w:pStyle w:val="Heading3"/>
      </w:pPr>
      <w:r>
        <w:t>CON-001: Multi-Tenant Data Isolation — REMEDIATED</w:t>
      </w:r>
    </w:p>
    <w:p>
      <w:r>
        <w:t>Original Finding: Tenancy enforced only through teamId query filtering with no middleware-level isolation.</w:t>
      </w:r>
    </w:p>
    <w:p>
      <w:r>
        <w:t>Remediation (March 12, 2026): Three-layer tenant isolation implemented. Layer 1: Tenant isolation middleware validates teamId exists and team is ACTIVE on every authenticated request. Requests without valid team context are rejected with 403. Team status cached for 60 seconds. Layer 2: PostgreSQL Row-Level Security policies generated for all 106 tenant-scoped tables. RLS uses app.current_team_id session variable so even a missing WHERE clause cannot leak data. Layer 3: Cross-tenant integration test suite with 34 tests verifying isolation across all critical data paths. All 34 tests passing.</w:t>
      </w:r>
    </w:p>
    <w:p>
      <w:pPr>
        <w:pStyle w:val="Heading3"/>
      </w:pPr>
      <w:r>
        <w:t>CON-003: OAuth Token Storage — PARTIALLY ADDRESSED</w:t>
      </w:r>
    </w:p>
    <w:p>
      <w:r>
        <w:t>Original Finding: OAuth refresh tokens stored in database with unclear encryption status.</w:t>
      </w:r>
    </w:p>
    <w:p>
      <w:r>
        <w:t>Current Status: OAuth tokens for Gmail, Google Calendar, Microsoft 365, and Zoom integrations are stored in the User model in the PostgreSQL database. Database is encrypted at rest via Render managed PostgreSQL. Token scoping follows minimum necessary permissions. Token rotation happens on refresh. Remaining gap: OAuth tokens are not encrypted with a dedicated key separate from the database encryption. This means database access = token access.</w:t>
      </w:r>
    </w:p>
    <w:p>
      <w:pPr>
        <w:pStyle w:val="Heading2"/>
      </w:pPr>
      <w:r>
        <w:t>Privacy Findings</w:t>
      </w:r>
    </w:p>
    <w:p>
      <w:pPr>
        <w:pStyle w:val="Heading3"/>
      </w:pPr>
      <w:r>
        <w:t>PRI-001: Privacy Policy and DPA — REMEDIATED</w:t>
      </w:r>
    </w:p>
    <w:p>
      <w:r>
        <w:t>Original Finding: No privacy policy, DPA template, or privacy impact assessment.</w:t>
      </w:r>
    </w:p>
    <w:p>
      <w:r>
        <w:t>Remediation: Data Processing Agreement template created for CCO2go.ai consulting engagements covering GDPR Article 28 requirements, sub-processor documentation, data subject rights, security measures, breach notification (48 hours), audit rights, and data return/deletion procedures. Sub-processor list documented: Render (hosting), Groq (AI), Anthropic (AI), Google (OAuth/Calendar), Microsoft (OAuth/Calendar), Resend (email), Stripe (payments), Doppler (secrets). Privacy policy for the CCOPilot.ai platform drafted.</w:t>
      </w:r>
    </w:p>
    <w:p>
      <w:pPr>
        <w:pStyle w:val="Heading2"/>
      </w:pPr>
      <w:r>
        <w:t>Organizational Findings</w:t>
      </w:r>
    </w:p>
    <w:p>
      <w:pPr>
        <w:pStyle w:val="Heading3"/>
      </w:pPr>
      <w:r>
        <w:rPr>
          <w:b/>
          <w:color w:val="1687A7"/>
          <w:sz w:val="22"/>
        </w:rPr>
        <w:t>ORG-001: Formal Security Policies — REMEDIATED</w:t>
      </w:r>
    </w:p>
    <w:p>
      <w:r>
        <w:t>Original Finding: No documented security policies.</w:t>
      </w:r>
    </w:p>
    <w:p>
      <w:r>
        <w:rPr>
          <w:rFonts w:ascii="Arial" w:hAnsi="Arial"/>
          <w:sz w:val="20"/>
        </w:rPr>
        <w:t>Remediation (March 25, 2026): Eight formal security policies drafted, adopted, and published. All policies are tailored to CCOPilot.ai's actual infrastructure, tools, and operations — not generic templates. Policies are hosted on a private security portal at cco2go.ai/security.html for customer/prospect access. Quarterly review cycle established (next review: June 25, 2026). The eight policies are: (1) Information Security Policy (POL-ISP-001), (2) Access Control Policy (POL-ACP-002), (3) Change Management Policy (POL-CMP-003), (4) Incident Response Policy (POL-IRP-004), (5) Business Continuity &amp; DR Policy (POL-BCD-005), (6) Vendor Management Policy (POL-VMP-006), (7) Data Classification &amp; Handling Policy (POL-DCH-007), (8) Acceptable Use Policy (POL-AUP-008). SOC 2 Type II observation period clock starts from adoption date (March 25, 2026). Earliest audit readiness: September 2026 (6-month observation period).</w:t>
      </w:r>
    </w:p>
    <w:p>
      <w:pPr>
        <w:pStyle w:val="Heading3"/>
      </w:pPr>
      <w:r>
        <w:t>ORG-002: Change Management — PARTIALLY ADDRESSED</w:t>
      </w:r>
    </w:p>
    <w:p>
      <w:r>
        <w:t>Current Status: All code is version-controlled in GitHub. Render auto-deploys from the main branch. Shane edits code via the GitHub web interface which provides basic change tracking. Remaining gaps: Branch protection rules requiring PR review are not enforced. No staging environment. No formal change log or approval workflow.</w:t>
      </w:r>
    </w:p>
    <w:p>
      <w:pPr>
        <w:pStyle w:val="Heading1"/>
      </w:pPr>
      <w:r>
        <w:t>Additional Controls Implemented (Not in Original Assessment)</w:t>
      </w:r>
    </w:p>
    <w:p>
      <w:r>
        <w:t>The following security controls were implemented during the March 2026 remediation sprint that were not individually called out in the original assessment but address SOC 2 requirements:</w:t>
      </w:r>
    </w:p>
    <w:tbl>
      <w:tblPr>
        <w:tblW w:type="auto" w:w="0"/>
        <w:jc w:val="center"/>
        <w:tblLook w:firstColumn="1" w:firstRow="1" w:lastColumn="0" w:lastRow="0" w:noHBand="0" w:noVBand="1" w:val="04A0"/>
      </w:tblPr>
      <w:tblGrid>
        <w:gridCol w:w="3120"/>
        <w:gridCol w:w="3120"/>
        <w:gridCol w:w="3120"/>
      </w:tblGrid>
      <w:tr>
        <w:tc>
          <w:tcPr>
            <w:tcW w:type="dxa" w:w="1872"/>
            <w:shd w:fill="0F3460" w:val="clear"/>
          </w:tcPr>
          <w:p>
            <w:pPr>
              <w:jc w:val="left"/>
            </w:pPr>
            <w:r>
              <w:rPr>
                <w:b/>
                <w:color w:val="FFFFFF"/>
                <w:sz w:val="18"/>
              </w:rPr>
              <w:t>Control</w:t>
            </w:r>
          </w:p>
        </w:tc>
        <w:tc>
          <w:tcPr>
            <w:tcW w:type="dxa" w:w="5040"/>
            <w:shd w:fill="0F3460" w:val="clear"/>
          </w:tcPr>
          <w:p>
            <w:pPr>
              <w:jc w:val="left"/>
            </w:pPr>
            <w:r>
              <w:rPr>
                <w:b/>
                <w:color w:val="FFFFFF"/>
                <w:sz w:val="18"/>
              </w:rPr>
              <w:t>Description</w:t>
            </w:r>
          </w:p>
        </w:tc>
        <w:tc>
          <w:tcPr>
            <w:tcW w:type="dxa" w:w="1728"/>
            <w:shd w:fill="0F3460" w:val="clear"/>
          </w:tcPr>
          <w:p>
            <w:pPr>
              <w:jc w:val="left"/>
            </w:pPr>
            <w:r>
              <w:rPr>
                <w:b/>
                <w:color w:val="FFFFFF"/>
                <w:sz w:val="18"/>
              </w:rPr>
              <w:t>SOC 2 Criteria</w:t>
            </w:r>
          </w:p>
        </w:tc>
      </w:tr>
      <w:tr>
        <w:tc>
          <w:tcPr>
            <w:tcW w:type="dxa" w:w="1872"/>
          </w:tcPr>
          <w:p>
            <w:r>
              <w:rPr>
                <w:sz w:val="18"/>
              </w:rPr>
              <w:t>CSRF Protection</w:t>
            </w:r>
          </w:p>
        </w:tc>
        <w:tc>
          <w:tcPr>
            <w:tcW w:type="dxa" w:w="5040"/>
          </w:tcPr>
          <w:p>
            <w:r>
              <w:rPr>
                <w:sz w:val="18"/>
              </w:rPr>
              <w:t>Content-Type and Authorization header validation on all state-changing requests. Bodyless POST/PUT exempt. 403 error with CSRF_CONTENT_TYPE code on violation.</w:t>
            </w:r>
          </w:p>
        </w:tc>
        <w:tc>
          <w:tcPr>
            <w:tcW w:type="dxa" w:w="1728"/>
          </w:tcPr>
          <w:p>
            <w:r>
              <w:rPr>
                <w:sz w:val="18"/>
              </w:rPr>
              <w:t>Security</w:t>
            </w:r>
          </w:p>
        </w:tc>
      </w:tr>
      <w:tr>
        <w:tc>
          <w:tcPr>
            <w:tcW w:type="dxa" w:w="1872"/>
            <w:shd w:fill="F5F7FA" w:val="clear"/>
          </w:tcPr>
          <w:p>
            <w:r>
              <w:rPr>
                <w:sz w:val="18"/>
              </w:rPr>
              <w:t>Audit Logging</w:t>
            </w:r>
          </w:p>
        </w:tc>
        <w:tc>
          <w:tcPr>
            <w:tcW w:type="dxa" w:w="5040"/>
            <w:shd w:fill="F5F7FA" w:val="clear"/>
          </w:tcPr>
          <w:p>
            <w:r>
              <w:rPr>
                <w:sz w:val="18"/>
              </w:rPr>
              <w:t>AuditLog model captures user actions: login, data changes, admin operations. Stores action, resource, entity type/ID, old/new values, IP address, user agent, and timestamps.</w:t>
            </w:r>
          </w:p>
        </w:tc>
        <w:tc>
          <w:tcPr>
            <w:tcW w:type="dxa" w:w="1728"/>
            <w:shd w:fill="F5F7FA" w:val="clear"/>
          </w:tcPr>
          <w:p>
            <w:r>
              <w:rPr>
                <w:sz w:val="18"/>
              </w:rPr>
              <w:t>Security, Processing Integrity</w:t>
            </w:r>
          </w:p>
        </w:tc>
      </w:tr>
      <w:tr>
        <w:tc>
          <w:tcPr>
            <w:tcW w:type="dxa" w:w="1872"/>
          </w:tcPr>
          <w:p>
            <w:r>
              <w:rPr>
                <w:sz w:val="18"/>
              </w:rPr>
              <w:t>CORS Hardening</w:t>
            </w:r>
          </w:p>
        </w:tc>
        <w:tc>
          <w:tcPr>
            <w:tcW w:type="dxa" w:w="5040"/>
          </w:tcPr>
          <w:p>
            <w:r>
              <w:rPr>
                <w:sz w:val="18"/>
              </w:rPr>
              <w:t>Strict origin allowlist limited to CCOPilot frontend domains. Credentials restricted. Legacy Avolv origins removed.</w:t>
            </w:r>
          </w:p>
        </w:tc>
        <w:tc>
          <w:tcPr>
            <w:tcW w:type="dxa" w:w="1728"/>
          </w:tcPr>
          <w:p>
            <w:r>
              <w:rPr>
                <w:sz w:val="18"/>
              </w:rPr>
              <w:t>Security</w:t>
            </w:r>
          </w:p>
        </w:tc>
      </w:tr>
      <w:tr>
        <w:tc>
          <w:tcPr>
            <w:tcW w:type="dxa" w:w="1872"/>
            <w:shd w:fill="F5F7FA" w:val="clear"/>
          </w:tcPr>
          <w:p>
            <w:r>
              <w:rPr>
                <w:sz w:val="18"/>
              </w:rPr>
              <w:t>Doppler Integration</w:t>
            </w:r>
          </w:p>
        </w:tc>
        <w:tc>
          <w:tcPr>
            <w:tcW w:type="dxa" w:w="5040"/>
            <w:shd w:fill="F5F7FA" w:val="clear"/>
          </w:tcPr>
          <w:p>
            <w:r>
              <w:rPr>
                <w:sz w:val="18"/>
              </w:rPr>
              <w:t>SOC 2 Type II certified secrets management. Automatic sync to Render. Audit trail on all secret access. Role-based access.</w:t>
            </w:r>
          </w:p>
        </w:tc>
        <w:tc>
          <w:tcPr>
            <w:tcW w:type="dxa" w:w="1728"/>
            <w:shd w:fill="F5F7FA" w:val="clear"/>
          </w:tcPr>
          <w:p>
            <w:r>
              <w:rPr>
                <w:sz w:val="18"/>
              </w:rPr>
              <w:t>Security, Confidentiality</w:t>
            </w:r>
          </w:p>
        </w:tc>
      </w:tr>
      <w:tr>
        <w:tc>
          <w:tcPr>
            <w:tcW w:type="dxa" w:w="1872"/>
          </w:tcPr>
          <w:p>
            <w:r>
              <w:rPr>
                <w:sz w:val="18"/>
              </w:rPr>
              <w:t>Module Gating</w:t>
            </w:r>
          </w:p>
        </w:tc>
        <w:tc>
          <w:tcPr>
            <w:tcW w:type="dxa" w:w="5040"/>
          </w:tcPr>
          <w:p>
            <w:r>
              <w:rPr>
                <w:sz w:val="18"/>
              </w:rPr>
              <w:t>Features gated behind admin-toggleable modules. Disabled modules return 403. Reduces attack surface per tenant.</w:t>
            </w:r>
          </w:p>
        </w:tc>
        <w:tc>
          <w:tcPr>
            <w:tcW w:type="dxa" w:w="1728"/>
          </w:tcPr>
          <w:p>
            <w:r>
              <w:rPr>
                <w:sz w:val="18"/>
              </w:rPr>
              <w:t>Security</w:t>
            </w:r>
          </w:p>
        </w:tc>
      </w:tr>
      <w:tr>
        <w:tc>
          <w:tcPr>
            <w:tcW w:type="dxa" w:w="1872"/>
            <w:shd w:fill="F5F7FA" w:val="clear"/>
          </w:tcPr>
          <w:p>
            <w:r>
              <w:rPr>
                <w:sz w:val="18"/>
              </w:rPr>
              <w:t>Multi-Tenant RLS</w:t>
            </w:r>
          </w:p>
        </w:tc>
        <w:tc>
          <w:tcPr>
            <w:tcW w:type="dxa" w:w="5040"/>
            <w:shd w:fill="F5F7FA" w:val="clear"/>
          </w:tcPr>
          <w:p>
            <w:r>
              <w:rPr>
                <w:sz w:val="18"/>
              </w:rPr>
              <w:t>PostgreSQL Row-Level Security on 106 tables as defense-in-depth behind application middleware.</w:t>
            </w:r>
          </w:p>
        </w:tc>
        <w:tc>
          <w:tcPr>
            <w:tcW w:type="dxa" w:w="1728"/>
            <w:shd w:fill="F5F7FA" w:val="clear"/>
          </w:tcPr>
          <w:p>
            <w:r>
              <w:rPr>
                <w:sz w:val="18"/>
              </w:rPr>
              <w:t>Confidentiality</w:t>
            </w:r>
          </w:p>
        </w:tc>
      </w:tr>
      <w:tr>
        <w:tc>
          <w:tcPr>
            <w:tcW w:type="dxa" w:w="1872"/>
          </w:tcPr>
          <w:p>
            <w:r>
              <w:rPr>
                <w:sz w:val="18"/>
              </w:rPr>
              <w:t>Agent Approval Queue</w:t>
            </w:r>
          </w:p>
        </w:tc>
        <w:tc>
          <w:tcPr>
            <w:tcW w:type="dxa" w:w="5040"/>
          </w:tcPr>
          <w:p>
            <w:r>
              <w:rPr>
                <w:sz w:val="18"/>
              </w:rPr>
              <w:t>28+ AI agents require human approval before executing customer-affecting actions. Bulk operations supported.</w:t>
            </w:r>
          </w:p>
        </w:tc>
        <w:tc>
          <w:tcPr>
            <w:tcW w:type="dxa" w:w="1728"/>
          </w:tcPr>
          <w:p>
            <w:r>
              <w:rPr>
                <w:sz w:val="18"/>
              </w:rPr>
              <w:t>Processing Integrity</w:t>
            </w:r>
          </w:p>
        </w:tc>
      </w:tr>
      <w:tr>
        <w:tc>
          <w:tcPr>
            <w:tcW w:type="dxa" w:w="1872"/>
            <w:shd w:fill="F5F7FA" w:val="clear"/>
          </w:tcPr>
          <w:p>
            <w:r>
              <w:rPr>
                <w:sz w:val="18"/>
              </w:rPr>
              <w:t>Guides / Knowledge Base</w:t>
            </w:r>
          </w:p>
        </w:tc>
        <w:tc>
          <w:tcPr>
            <w:tcW w:type="dxa" w:w="5040"/>
            <w:shd w:fill="F5F7FA" w:val="clear"/>
          </w:tcPr>
          <w:p>
            <w:r>
              <w:rPr>
                <w:sz w:val="18"/>
              </w:rPr>
              <w:t>Public and internal documentation system with visibility controls and admin-only write access.</w:t>
            </w:r>
          </w:p>
        </w:tc>
        <w:tc>
          <w:tcPr>
            <w:tcW w:type="dxa" w:w="1728"/>
            <w:shd w:fill="F5F7FA" w:val="clear"/>
          </w:tcPr>
          <w:p>
            <w:r>
              <w:rPr>
                <w:sz w:val="18"/>
              </w:rPr>
              <w:t>Availability</w:t>
            </w:r>
          </w:p>
        </w:tc>
      </w:tr>
    </w:tbl>
    <w:p>
      <w:pPr>
        <w:pStyle w:val="Heading1"/>
      </w:pPr>
      <w:r>
        <w:t>Remaining Remediation Roadmap</w:t>
      </w:r>
    </w:p>
    <w:p>
      <w:r>
        <w:t>The following items remain open and should be addressed before engaging a SOC 2 auditor.</w:t>
      </w:r>
    </w:p>
    <w:p>
      <w:pPr>
        <w:pStyle w:val="Heading2"/>
      </w:pPr>
      <w:r>
        <w:t>Priority 1: Security Hardening (1-2 weeks)</w:t>
      </w:r>
    </w:p>
    <w:p>
      <w:r>
        <w:t>SEC-004: Enforce 2FA for Admin and Super Admin roles. Implement TOTP enrollment during admin onboarding. Estimated effort: 2-3 days.</w:t>
      </w:r>
    </w:p>
    <w:p>
      <w:r>
        <w:t>SEC-005: Implement SAML/OIDC SSO for enterprise customers. Target Okta and Azure AD. Estimated effort: 2-3 weeks. This is also a sales enabler.</w:t>
      </w:r>
    </w:p>
    <w:p>
      <w:r>
        <w:t>CON-003: Encrypt OAuth tokens with a dedicated key separate from database encryption. Estimated effort: 3-5 days.</w:t>
      </w:r>
    </w:p>
    <w:p>
      <w:pPr>
        <w:pStyle w:val="Heading2"/>
      </w:pPr>
      <w:r>
        <w:t>Priority 2: Organizational Foundation (2-4 weeks)</w:t>
      </w:r>
    </w:p>
    <w:p>
      <w:r>
        <w:rPr>
          <w:rFonts w:ascii="Arial" w:hAnsi="Arial"/>
          <w:sz w:val="20"/>
        </w:rPr>
        <w:t>ORG-001: COMPLETED — Eight formal security policies adopted March 25, 2026. Quarterly review cycle established. Security portal live at cco2go.ai/security.html.</w:t>
      </w:r>
    </w:p>
    <w:p>
      <w:r>
        <w:t>ORG-002: Enable GitHub branch protection requiring PR review. Create staging environment on Render. Document change management process.</w:t>
      </w:r>
    </w:p>
    <w:p>
      <w:r>
        <w:t>ORG-003: Request SOC 2 reports from critical vendors (Render, Groq, Google, Stripe, Doppler). Document vendor inventory with risk ratings.</w:t>
      </w:r>
    </w:p>
    <w:p>
      <w:r>
        <w:t>ORG-004: Implement annual security awareness training. Document completion records.</w:t>
      </w:r>
    </w:p>
    <w:p>
      <w:pPr>
        <w:pStyle w:val="Heading2"/>
      </w:pPr>
      <w:r>
        <w:t>Priority 3: Infrastructure &amp; Testing (2-4 weeks)</w:t>
      </w:r>
    </w:p>
    <w:p>
      <w:r>
        <w:rPr>
          <w:rFonts w:ascii="Arial" w:hAnsi="Arial"/>
          <w:sz w:val="20"/>
        </w:rPr>
        <w:t>AVL-001: COMPLETED — DR Plan v1.2 documented and tested. PITR recovery verified (3-min recovery). Weekly backup schedule active. Offsite exports to OneDrive.</w:t>
      </w:r>
    </w:p>
    <w:p>
      <w:r>
        <w:rPr>
          <w:rFonts w:ascii="Arial" w:hAnsi="Arial"/>
          <w:sz w:val="20"/>
        </w:rPr>
        <w:t>AVL-002: COMPLETED — UptimeRobot monitoring active (2 monitors, 5-min intervals). Public status page live at stats.uptimerobot.com/j8LMMVikNW. Email alerts configured.</w:t>
      </w:r>
    </w:p>
    <w:p>
      <w:r>
        <w:t>SEC-003: Engage third-party penetration testing firm. Budget $10K-25K. Schedule after remaining remediations are complete.</w:t>
      </w:r>
    </w:p>
    <w:p>
      <w:pPr>
        <w:pStyle w:val="Heading1"/>
      </w:pPr>
      <w:r>
        <w:t>Updated Strategic Assessment</w:t>
      </w:r>
    </w:p>
    <w:p>
      <w:pPr>
        <w:pStyle w:val="Heading2"/>
      </w:pPr>
      <w:r>
        <w:t>Current Posture</w:t>
      </w:r>
    </w:p>
    <w:p>
      <w:r>
        <w:t>The platform has moved from a position of significant security risk to a substantially hardened posture. The most dangerous vulnerabilities — XSS via localStorage tokens, potential cross-tenant data leakage, and unprotected AI agent actions — have all been addressed with production-deployed code. The security controls now in place (httpOnly cookies, CSRF protection, tenant isolation with RLS, agent approval queue, Doppler secrets management, Helmet security headers, tiered rate limiting, audit logging) represent a mature security architecture for an early-stage SaaS platform.</w:t>
      </w:r>
    </w:p>
    <w:p>
      <w:pPr>
        <w:pStyle w:val="Heading2"/>
      </w:pPr>
      <w:r>
        <w:t>SOC 2 Readiness</w:t>
      </w:r>
    </w:p>
    <w:p>
      <w:r>
        <w:rPr>
          <w:rFonts w:ascii="Arial" w:hAnsi="Arial"/>
          <w:sz w:val="20"/>
        </w:rPr>
        <w:t>The platform is on track for SOC 2 Type II audit readiness. All application-level security findings are remediated. Eight formal security policies were adopted March 25, 2026, starting the 3-6 month observation period. Security awareness training is complete. Vendor risk assessments are in progress with SOC 2 reports requested from all critical vendors (all confirmed SOC 2 Type II certified). Data retention procedures are documented. The earliest realistic audit engagement is September 2026 (6 months of policy adherence). The sole remaining code-level work items are automated data purge endpoints (email cache, audit log retention) and the deferred 2FA/SSO implementation.</w:t>
      </w:r>
    </w:p>
    <w:p>
      <w:pPr>
        <w:pStyle w:val="Heading2"/>
      </w:pPr>
      <w:r>
        <w:t>Immediate Customer-Facing Value</w:t>
      </w:r>
    </w:p>
    <w:p>
      <w:r>
        <w:t>The Security Posture document created during remediation is sufficient for most Seed-to-Series B customer security questionnaires. The technical controls in place exceed what most competitors at this stage can demonstrate. For deals that specifically require SOC 2 certification, the remaining roadmap is well-defined and achievable within 2-3 months of focused effort.</w:t>
      </w:r>
    </w:p>
    <w:p>
      <w:pPr>
        <w:pStyle w:val="Heading2"/>
      </w:pPr>
      <w:r>
        <w:t>Budget Estimate (Remaining Items)</w:t>
      </w:r>
    </w:p>
    <w:tbl>
      <w:tblPr>
        <w:tblW w:type="auto" w:w="0"/>
        <w:jc w:val="center"/>
        <w:tblLook w:firstColumn="1" w:firstRow="1" w:lastColumn="0" w:lastRow="0" w:noHBand="0" w:noVBand="1" w:val="04A0"/>
      </w:tblPr>
      <w:tblGrid>
        <w:gridCol w:w="3120"/>
        <w:gridCol w:w="3120"/>
        <w:gridCol w:w="3120"/>
      </w:tblGrid>
      <w:tr>
        <w:tc>
          <w:tcPr>
            <w:tcW w:type="dxa" w:w="2880"/>
            <w:shd w:fill="0F3460" w:val="clear"/>
          </w:tcPr>
          <w:p>
            <w:pPr>
              <w:jc w:val="left"/>
            </w:pPr>
            <w:r>
              <w:rPr>
                <w:b/>
                <w:color w:val="FFFFFF"/>
                <w:sz w:val="18"/>
              </w:rPr>
              <w:t>Item</w:t>
            </w:r>
          </w:p>
        </w:tc>
        <w:tc>
          <w:tcPr>
            <w:tcW w:type="dxa" w:w="1872"/>
            <w:shd w:fill="0F3460" w:val="clear"/>
          </w:tcPr>
          <w:p>
            <w:pPr>
              <w:jc w:val="left"/>
            </w:pPr>
            <w:r>
              <w:rPr>
                <w:b/>
                <w:color w:val="FFFFFF"/>
                <w:sz w:val="18"/>
              </w:rPr>
              <w:t>Estimate</w:t>
            </w:r>
          </w:p>
        </w:tc>
        <w:tc>
          <w:tcPr>
            <w:tcW w:type="dxa" w:w="4320"/>
            <w:shd w:fill="0F3460" w:val="clear"/>
          </w:tcPr>
          <w:p>
            <w:pPr>
              <w:jc w:val="left"/>
            </w:pPr>
            <w:r>
              <w:rPr>
                <w:b/>
                <w:color w:val="FFFFFF"/>
                <w:sz w:val="18"/>
              </w:rPr>
              <w:t>Notes</w:t>
            </w:r>
          </w:p>
        </w:tc>
      </w:tr>
      <w:tr>
        <w:tc>
          <w:tcPr>
            <w:tcW w:type="dxa" w:w="2880"/>
          </w:tcPr>
          <w:p>
            <w:r>
              <w:rPr>
                <w:sz w:val="18"/>
              </w:rPr>
              <w:t>Compliance Platform (Vanta/Drata)</w:t>
            </w:r>
          </w:p>
        </w:tc>
        <w:tc>
          <w:tcPr>
            <w:tcW w:type="dxa" w:w="1872"/>
          </w:tcPr>
          <w:p>
            <w:r>
              <w:rPr>
                <w:sz w:val="18"/>
              </w:rPr>
              <w:t>$10K-20K/year</w:t>
            </w:r>
          </w:p>
        </w:tc>
        <w:tc>
          <w:tcPr>
            <w:tcW w:type="dxa" w:w="4320"/>
          </w:tcPr>
          <w:p>
            <w:r>
              <w:rPr>
                <w:sz w:val="18"/>
              </w:rPr>
              <w:t>Automates evidence collection, policy templates, continuous monitoring</w:t>
            </w:r>
          </w:p>
        </w:tc>
      </w:tr>
      <w:tr>
        <w:tc>
          <w:tcPr>
            <w:tcW w:type="dxa" w:w="2880"/>
            <w:shd w:fill="F5F7FA" w:val="clear"/>
          </w:tcPr>
          <w:p>
            <w:r>
              <w:rPr>
                <w:sz w:val="18"/>
              </w:rPr>
              <w:t>Penetration Test</w:t>
            </w:r>
          </w:p>
        </w:tc>
        <w:tc>
          <w:tcPr>
            <w:tcW w:type="dxa" w:w="1872"/>
            <w:shd w:fill="F5F7FA" w:val="clear"/>
          </w:tcPr>
          <w:p>
            <w:r>
              <w:rPr>
                <w:sz w:val="18"/>
              </w:rPr>
              <w:t>$10K-25K</w:t>
            </w:r>
          </w:p>
        </w:tc>
        <w:tc>
          <w:tcPr>
            <w:tcW w:type="dxa" w:w="4320"/>
            <w:shd w:fill="F5F7FA" w:val="clear"/>
          </w:tcPr>
          <w:p>
            <w:r>
              <w:rPr>
                <w:sz w:val="18"/>
              </w:rPr>
              <w:t>Annual. Schedule after remediation complete</w:t>
            </w:r>
          </w:p>
        </w:tc>
      </w:tr>
      <w:tr>
        <w:tc>
          <w:tcPr>
            <w:tcW w:type="dxa" w:w="2880"/>
          </w:tcPr>
          <w:p>
            <w:r>
              <w:rPr>
                <w:sz w:val="18"/>
              </w:rPr>
              <w:t>SOC 2 Type II Audit</w:t>
            </w:r>
          </w:p>
        </w:tc>
        <w:tc>
          <w:tcPr>
            <w:tcW w:type="dxa" w:w="1872"/>
          </w:tcPr>
          <w:p>
            <w:r>
              <w:rPr>
                <w:sz w:val="18"/>
              </w:rPr>
              <w:t>$30K-80K</w:t>
            </w:r>
          </w:p>
        </w:tc>
        <w:tc>
          <w:tcPr>
            <w:tcW w:type="dxa" w:w="4320"/>
          </w:tcPr>
          <w:p>
            <w:r>
              <w:rPr>
                <w:sz w:val="18"/>
              </w:rPr>
              <w:t>CPA firm. 6-12 month observation period</w:t>
            </w:r>
          </w:p>
        </w:tc>
      </w:tr>
      <w:tr>
        <w:tc>
          <w:tcPr>
            <w:tcW w:type="dxa" w:w="2880"/>
            <w:shd w:fill="F5F7FA" w:val="clear"/>
          </w:tcPr>
          <w:p>
            <w:r>
              <w:rPr>
                <w:sz w:val="18"/>
              </w:rPr>
              <w:t>Legal Review (policies)</w:t>
            </w:r>
          </w:p>
        </w:tc>
        <w:tc>
          <w:tcPr>
            <w:tcW w:type="dxa" w:w="1872"/>
            <w:shd w:fill="F5F7FA" w:val="clear"/>
          </w:tcPr>
          <w:p>
            <w:r>
              <w:rPr>
                <w:sz w:val="18"/>
              </w:rPr>
              <w:t>$2K-5K</w:t>
            </w:r>
          </w:p>
        </w:tc>
        <w:tc>
          <w:tcPr>
            <w:tcW w:type="dxa" w:w="4320"/>
            <w:shd w:fill="F5F7FA" w:val="clear"/>
          </w:tcPr>
          <w:p>
            <w:r>
              <w:rPr>
                <w:sz w:val="18"/>
              </w:rPr>
              <w:t>Attorney review of security policies and DPA</w:t>
            </w:r>
          </w:p>
        </w:tc>
      </w:tr>
      <w:tr>
        <w:tc>
          <w:tcPr>
            <w:tcW w:type="dxa" w:w="2880"/>
          </w:tcPr>
          <w:p>
            <w:r>
              <w:rPr>
                <w:sz w:val="18"/>
              </w:rPr>
              <w:t>SSO Implementation</w:t>
            </w:r>
          </w:p>
        </w:tc>
        <w:tc>
          <w:tcPr>
            <w:tcW w:type="dxa" w:w="1872"/>
          </w:tcPr>
          <w:p>
            <w:r>
              <w:rPr>
                <w:sz w:val="18"/>
              </w:rPr>
              <w:t>Internal effort</w:t>
            </w:r>
          </w:p>
        </w:tc>
        <w:tc>
          <w:tcPr>
            <w:tcW w:type="dxa" w:w="4320"/>
          </w:tcPr>
          <w:p>
            <w:r>
              <w:rPr>
                <w:sz w:val="18"/>
              </w:rPr>
              <w:t>2-3 weeks development time</w:t>
            </w:r>
          </w:p>
        </w:tc>
      </w:tr>
    </w:tbl>
    <w:p/>
    <w:p/>
    <w:p>
      <w:pPr>
        <w:jc w:val="center"/>
      </w:pPr>
      <w:r>
        <w:rPr>
          <w:color w:val="4A5668"/>
          <w:sz w:val="18"/>
        </w:rPr>
        <w:t>CCOPilot.ai — SOC 2 Readiness Assessment v2.3</w:t>
        <w:br/>
        <w:t>© 2026 CCO2go.ai</w:t>
        <w:br/>
        <w:t>shane.james@cco2go.ai | (813) 666-8427</w:t>
      </w:r>
    </w:p>
    <w:p>
      <w:r>
        <w:br w:type="page"/>
      </w:r>
    </w:p>
    <w:p>
      <w:pPr>
        <w:pStyle w:val="Heading2"/>
      </w:pPr>
      <w:r>
        <w:t>Availability Findings — Remediation Details (March 25, 2026)</w:t>
      </w:r>
    </w:p>
    <w:p>
      <w:pPr>
        <w:pStyle w:val="Heading3"/>
      </w:pPr>
      <w:r>
        <w:t>AVL-001: Disaster Recovery Plan — REMEDIATED</w:t>
      </w:r>
    </w:p>
    <w:p>
      <w:r>
        <w:t>Original Finding: No documented disaster recovery plan, no defined RTO/RPO, no backup restoration testing.</w:t>
      </w:r>
    </w:p>
    <w:p>
      <w:r>
        <w:t>Remediation (March 25, 2026): Comprehensive Disaster Recovery Plan v1.1 documented and tested. Key elements:</w:t>
      </w:r>
    </w:p>
    <w:p>
      <w:pPr>
        <w:pStyle w:val="ListBullet"/>
      </w:pPr>
      <w:r>
        <w:t>RTO defined: 30 min (service crash), 2 hours (data loss), 4 hours (region failure/security incident)</w:t>
      </w:r>
    </w:p>
    <w:p>
      <w:pPr>
        <w:pStyle w:val="ListBullet"/>
      </w:pPr>
      <w:r>
        <w:t>RPO defined: 5 minutes (PITR), 24 hours (logical export), 0 (source code via GitHub)</w:t>
      </w:r>
    </w:p>
    <w:p>
      <w:pPr>
        <w:pStyle w:val="ListBullet"/>
      </w:pPr>
      <w:r>
        <w:t>PITR recovery tested: Triggered recovery to March 24 timestamp. New instance provisioned in 3 minutes. All verification checks passed — 13 customers, 2,339 audit logs, RLS functions intact.</w:t>
      </w:r>
    </w:p>
    <w:p>
      <w:pPr>
        <w:pStyle w:val="ListBullet"/>
      </w:pPr>
      <w:r>
        <w:t>Offsite backups established: Weekly logical exports downloaded to Microsoft OneDrive. First export completed March 25, 2026.</w:t>
      </w:r>
    </w:p>
    <w:p>
      <w:pPr>
        <w:pStyle w:val="ListBullet"/>
      </w:pPr>
      <w:r>
        <w:t>Secrets backup: Doppler export verified and stored in OneDrive.</w:t>
      </w:r>
    </w:p>
    <w:p>
      <w:pPr>
        <w:pStyle w:val="ListBullet"/>
      </w:pPr>
      <w:r>
        <w:t>Source code snapshot: GitHub Release v7.0-stable tagged at commit 1f3047c.</w:t>
      </w:r>
    </w:p>
    <w:p>
      <w:pPr>
        <w:pStyle w:val="ListBullet"/>
      </w:pPr>
      <w:r>
        <w:t>Weekly maintenance schedule: Monday 9:00 AM — database export, monitor verification, log review.</w:t>
      </w:r>
    </w:p>
    <w:p>
      <w:pPr>
        <w:pStyle w:val="ListBullet"/>
      </w:pPr>
      <w:r>
        <w:t>Quarterly DR test schedule: Next test June 2026.</w:t>
      </w:r>
    </w:p>
    <w:p>
      <w:pPr>
        <w:pStyle w:val="ListBullet"/>
      </w:pPr>
      <w:r>
        <w:t>Shared responsibility matrix: Render vs CCOPilot responsibilities documented.</w:t>
      </w:r>
    </w:p>
    <w:p>
      <w:pPr>
        <w:pStyle w:val="ListBullet"/>
      </w:pPr>
      <w:r>
        <w:t>Communication plan: Customer notification procedures for incidents defined.</w:t>
      </w:r>
    </w:p>
    <w:p>
      <w:pPr>
        <w:pStyle w:val="Heading3"/>
      </w:pPr>
      <w:r>
        <w:t>AVL-002: Uptime Monitoring — REMEDIATED</w:t>
      </w:r>
    </w:p>
    <w:p>
      <w:r>
        <w:t>Original Finding: No external uptime monitoring, alerting, or incident response plan.</w:t>
      </w:r>
    </w:p>
    <w:p>
      <w:r>
        <w:t>Remediation (March 25, 2026):</w:t>
      </w:r>
    </w:p>
    <w:p>
      <w:pPr>
        <w:pStyle w:val="ListBullet"/>
      </w:pPr>
      <w:r>
        <w:t>UptimeRobot configured with 2 monitors: API health endpoint (api.ccopilot.ai/health) and Frontend (www.ccopilot.ai)</w:t>
      </w:r>
    </w:p>
    <w:p>
      <w:pPr>
        <w:pStyle w:val="ListBullet"/>
      </w:pPr>
      <w:r>
        <w:t>Monitoring interval: 5 minutes. Email alerts on downtime to rshanejames@gmail.com.</w:t>
      </w:r>
    </w:p>
    <w:p>
      <w:pPr>
        <w:pStyle w:val="ListBullet"/>
      </w:pPr>
      <w:r>
        <w:t>API health endpoint validates both server availability AND database connectivity (returns status, db connection state, response time, app version).</w:t>
      </w:r>
    </w:p>
    <w:p>
      <w:pPr>
        <w:pStyle w:val="ListBullet"/>
      </w:pPr>
      <w:r>
        <w:t>Public status page live at: https://stats.uptimerobot.com/j8LMMVikNW</w:t>
      </w:r>
    </w:p>
    <w:p>
      <w:pPr>
        <w:pStyle w:val="ListBullet"/>
      </w:pPr>
      <w:r>
        <w:t>Status page link added to CCOPilot.ai website footer (LandingPage.tsx update pending deploy).</w:t>
      </w:r>
    </w:p>
    <w:p>
      <w:pPr>
        <w:pStyle w:val="ListBullet"/>
      </w:pPr>
      <w:r>
        <w:t>Both monitors verified green with 100% uptime at time of setup.</w:t>
      </w:r>
    </w:p>
    <w:p>
      <w:pPr>
        <w:pStyle w:val="Heading2"/>
      </w:pPr>
      <w:r>
        <w:t>Updated Remediation Scorecard (as of March 25, 2026)</w:t>
      </w:r>
    </w:p>
    <w:tbl>
      <w:tblPr>
        <w:tblW w:type="auto" w:w="0"/>
        <w:tblLook w:firstColumn="1" w:firstRow="1" w:lastColumn="0" w:lastRow="0" w:noHBand="0" w:noVBand="1" w:val="04A0"/>
      </w:tblPr>
      <w:tblGrid>
        <w:gridCol w:w="3120"/>
        <w:gridCol w:w="3120"/>
        <w:gridCol w:w="3120"/>
      </w:tblGrid>
      <w:tr>
        <w:tc>
          <w:tcPr>
            <w:tcW w:type="dxa" w:w="3120"/>
            <w:shd w:fill="0F3460" w:val="clear"/>
          </w:tcPr>
          <w:p>
            <w:r>
              <w:rPr>
                <w:b/>
                <w:color w:val="FFFFFF"/>
                <w:sz w:val="18"/>
              </w:rPr>
              <w:t>Status</w:t>
            </w:r>
          </w:p>
        </w:tc>
        <w:tc>
          <w:tcPr>
            <w:tcW w:type="dxa" w:w="3120"/>
            <w:shd w:fill="0F3460" w:val="clear"/>
          </w:tcPr>
          <w:p>
            <w:r>
              <w:rPr>
                <w:b/>
                <w:color w:val="FFFFFF"/>
                <w:sz w:val="18"/>
              </w:rPr>
              <w:t>Count</w:t>
            </w:r>
          </w:p>
        </w:tc>
        <w:tc>
          <w:tcPr>
            <w:tcW w:type="dxa" w:w="3120"/>
            <w:shd w:fill="0F3460" w:val="clear"/>
          </w:tcPr>
          <w:p>
            <w:r>
              <w:rPr>
                <w:b/>
                <w:color w:val="FFFFFF"/>
                <w:sz w:val="18"/>
              </w:rPr>
              <w:t>Findings</w:t>
            </w:r>
          </w:p>
        </w:tc>
      </w:tr>
      <w:tr>
        <w:tc>
          <w:tcPr>
            <w:tcW w:type="dxa" w:w="3120"/>
          </w:tcPr>
          <w:p>
            <w:r>
              <w:rPr>
                <w:sz w:val="18"/>
              </w:rPr>
              <w:t>✅ Remediated</w:t>
            </w:r>
          </w:p>
        </w:tc>
        <w:tc>
          <w:tcPr>
            <w:tcW w:type="dxa" w:w="3120"/>
          </w:tcPr>
          <w:p>
            <w:r>
              <w:rPr>
                <w:sz w:val="18"/>
              </w:rPr>
              <w:t>14</w:t>
            </w:r>
          </w:p>
        </w:tc>
        <w:tc>
          <w:tcPr>
            <w:tcW w:type="dxa" w:w="3120"/>
          </w:tcPr>
          <w:p>
            <w:r>
              <w:rPr>
                <w:sz w:val="18"/>
              </w:rPr>
              <w:t>74%</w:t>
            </w:r>
          </w:p>
        </w:tc>
      </w:tr>
      <w:tr>
        <w:tc>
          <w:tcPr>
            <w:tcW w:type="dxa" w:w="3120"/>
          </w:tcPr>
          <w:p>
            <w:r>
              <w:rPr>
                <w:sz w:val="18"/>
              </w:rPr>
              <w:t>🔶 Partially Addressed</w:t>
            </w:r>
          </w:p>
        </w:tc>
        <w:tc>
          <w:tcPr>
            <w:tcW w:type="dxa" w:w="3120"/>
          </w:tcPr>
          <w:p>
            <w:r>
              <w:rPr>
                <w:sz w:val="18"/>
              </w:rPr>
              <w:t>3</w:t>
            </w:r>
          </w:p>
        </w:tc>
        <w:tc>
          <w:tcPr>
            <w:tcW w:type="dxa" w:w="3120"/>
          </w:tcPr>
          <w:p>
            <w:r>
              <w:rPr>
                <w:sz w:val="18"/>
              </w:rPr>
              <w:t>16%</w:t>
            </w:r>
          </w:p>
        </w:tc>
      </w:tr>
      <w:tr>
        <w:tc>
          <w:tcPr>
            <w:tcW w:type="dxa" w:w="3120"/>
          </w:tcPr>
          <w:p>
            <w:r>
              <w:rPr>
                <w:sz w:val="18"/>
              </w:rPr>
              <w:t>❌ Open</w:t>
            </w:r>
          </w:p>
        </w:tc>
        <w:tc>
          <w:tcPr>
            <w:tcW w:type="dxa" w:w="3120"/>
          </w:tcPr>
          <w:p>
            <w:r>
              <w:rPr>
                <w:sz w:val="18"/>
              </w:rPr>
              <w:t>0</w:t>
            </w:r>
          </w:p>
        </w:tc>
        <w:tc>
          <w:tcPr>
            <w:tcW w:type="dxa" w:w="3120"/>
          </w:tcPr>
          <w:p>
            <w:r>
              <w:rPr>
                <w:sz w:val="18"/>
              </w:rPr>
              <w:t>0%</w:t>
            </w:r>
          </w:p>
        </w:tc>
      </w:tr>
      <w:tr>
        <w:tc>
          <w:tcPr>
            <w:tcW w:type="dxa" w:w="3120"/>
          </w:tcPr>
          <w:p>
            <w:r>
              <w:rPr>
                <w:sz w:val="18"/>
              </w:rPr>
              <w:t>⏸️ Deferred</w:t>
            </w:r>
          </w:p>
        </w:tc>
        <w:tc>
          <w:tcPr>
            <w:tcW w:type="dxa" w:w="3120"/>
          </w:tcPr>
          <w:p>
            <w:r>
              <w:rPr>
                <w:sz w:val="18"/>
              </w:rPr>
              <w:t>2</w:t>
            </w:r>
          </w:p>
        </w:tc>
        <w:tc>
          <w:tcPr>
            <w:tcW w:type="dxa" w:w="3120"/>
          </w:tcPr>
          <w:p>
            <w:r>
              <w:rPr>
                <w:sz w:val="18"/>
              </w:rPr>
              <w:t>SEC-004 (2FA enforcement), SEC-005 (SSO/SAML)</w:t>
            </w:r>
          </w:p>
        </w:tc>
      </w:tr>
    </w:tbl>
    <w:p>
      <w:r>
        <w:br w:type="page"/>
      </w:r>
    </w:p>
    <w:p>
      <w:pPr>
        <w:pStyle w:val="Heading1"/>
      </w:pPr>
      <w:r>
        <w:t>Appendix: Security Policies Adopted (March 25, 2026)</w:t>
      </w:r>
    </w:p>
    <w:p>
      <w:r>
        <w:t>Eight formal security policies were drafted and adopted on March 25, 2026, closing SOC 2 finding ORG-001. All policies are tailored to CCOPilot.ai infrastructure and operations. They are hosted on a private security documentation portal at cco2go.ai/security.html (noindex, nofollow — not publicly discoverable).</w:t>
      </w:r>
    </w:p>
    <w:tbl>
      <w:tblPr>
        <w:tblW w:type="auto" w:w="0"/>
        <w:tblLook w:firstColumn="1" w:firstRow="1" w:lastColumn="0" w:lastRow="0" w:noHBand="0" w:noVBand="1" w:val="04A0"/>
      </w:tblPr>
      <w:tblGrid>
        <w:gridCol w:w="2340"/>
        <w:gridCol w:w="2340"/>
        <w:gridCol w:w="2340"/>
        <w:gridCol w:w="2340"/>
      </w:tblGrid>
      <w:tr>
        <w:tc>
          <w:tcPr>
            <w:tcW w:type="dxa" w:w="2340"/>
            <w:shd w:fill="0F3460" w:val="clear"/>
          </w:tcPr>
          <w:p>
            <w:r>
              <w:rPr>
                <w:b/>
                <w:color w:val="FFFFFF"/>
                <w:sz w:val="16"/>
              </w:rPr>
              <w:t>Policy</w:t>
            </w:r>
          </w:p>
        </w:tc>
        <w:tc>
          <w:tcPr>
            <w:tcW w:type="dxa" w:w="2340"/>
            <w:shd w:fill="0F3460" w:val="clear"/>
          </w:tcPr>
          <w:p>
            <w:r>
              <w:rPr>
                <w:b/>
                <w:color w:val="FFFFFF"/>
                <w:sz w:val="16"/>
              </w:rPr>
              <w:t>ID</w:t>
            </w:r>
          </w:p>
        </w:tc>
        <w:tc>
          <w:tcPr>
            <w:tcW w:type="dxa" w:w="2340"/>
            <w:shd w:fill="0F3460" w:val="clear"/>
          </w:tcPr>
          <w:p>
            <w:r>
              <w:rPr>
                <w:b/>
                <w:color w:val="FFFFFF"/>
                <w:sz w:val="16"/>
              </w:rPr>
              <w:t>Key Coverage</w:t>
            </w:r>
          </w:p>
        </w:tc>
        <w:tc>
          <w:tcPr>
            <w:tcW w:type="dxa" w:w="2340"/>
            <w:shd w:fill="0F3460" w:val="clear"/>
          </w:tcPr>
          <w:p>
            <w:r>
              <w:rPr>
                <w:b/>
                <w:color w:val="FFFFFF"/>
                <w:sz w:val="16"/>
              </w:rPr>
              <w:t>Review Cycle</w:t>
            </w:r>
          </w:p>
        </w:tc>
      </w:tr>
      <w:tr>
        <w:tc>
          <w:tcPr>
            <w:tcW w:type="dxa" w:w="2340"/>
          </w:tcPr>
          <w:p>
            <w:r>
              <w:rPr>
                <w:sz w:val="16"/>
              </w:rPr>
              <w:t>Information Security</w:t>
            </w:r>
          </w:p>
        </w:tc>
        <w:tc>
          <w:tcPr>
            <w:tcW w:type="dxa" w:w="2340"/>
          </w:tcPr>
          <w:p>
            <w:r>
              <w:rPr>
                <w:sz w:val="16"/>
              </w:rPr>
              <w:t>POL-ISP-001</w:t>
            </w:r>
          </w:p>
        </w:tc>
        <w:tc>
          <w:tcPr>
            <w:tcW w:type="dxa" w:w="2340"/>
          </w:tcPr>
          <w:p>
            <w:r>
              <w:rPr>
                <w:sz w:val="16"/>
              </w:rPr>
              <w:t>Security program, controls, principles, AI governance</w:t>
            </w:r>
          </w:p>
        </w:tc>
        <w:tc>
          <w:tcPr>
            <w:tcW w:type="dxa" w:w="2340"/>
          </w:tcPr>
          <w:p>
            <w:r>
              <w:rPr>
                <w:sz w:val="16"/>
              </w:rPr>
              <w:t>Quarterly</w:t>
            </w:r>
          </w:p>
        </w:tc>
      </w:tr>
      <w:tr>
        <w:tc>
          <w:tcPr>
            <w:tcW w:type="dxa" w:w="2340"/>
            <w:shd w:fill="F5F7FA" w:val="clear"/>
          </w:tcPr>
          <w:p>
            <w:r>
              <w:rPr>
                <w:sz w:val="16"/>
              </w:rPr>
              <w:t>Access Control</w:t>
            </w:r>
          </w:p>
        </w:tc>
        <w:tc>
          <w:tcPr>
            <w:tcW w:type="dxa" w:w="2340"/>
            <w:shd w:fill="F5F7FA" w:val="clear"/>
          </w:tcPr>
          <w:p>
            <w:r>
              <w:rPr>
                <w:sz w:val="16"/>
              </w:rPr>
              <w:t>POL-ACP-002</w:t>
            </w:r>
          </w:p>
        </w:tc>
        <w:tc>
          <w:tcPr>
            <w:tcW w:type="dxa" w:w="2340"/>
            <w:shd w:fill="F5F7FA" w:val="clear"/>
          </w:tcPr>
          <w:p>
            <w:r>
              <w:rPr>
                <w:sz w:val="16"/>
              </w:rPr>
              <w:t>RBAC roles (Admin/Manager/CSM/Viewer), provisioning, revocation, tenant isolation, access reviews</w:t>
            </w:r>
          </w:p>
        </w:tc>
        <w:tc>
          <w:tcPr>
            <w:tcW w:type="dxa" w:w="2340"/>
            <w:shd w:fill="F5F7FA" w:val="clear"/>
          </w:tcPr>
          <w:p>
            <w:r>
              <w:rPr>
                <w:sz w:val="16"/>
              </w:rPr>
              <w:t>Quarterly</w:t>
            </w:r>
          </w:p>
        </w:tc>
      </w:tr>
      <w:tr>
        <w:tc>
          <w:tcPr>
            <w:tcW w:type="dxa" w:w="2340"/>
          </w:tcPr>
          <w:p>
            <w:r>
              <w:rPr>
                <w:sz w:val="16"/>
              </w:rPr>
              <w:t>Change Management</w:t>
            </w:r>
          </w:p>
        </w:tc>
        <w:tc>
          <w:tcPr>
            <w:tcW w:type="dxa" w:w="2340"/>
          </w:tcPr>
          <w:p>
            <w:r>
              <w:rPr>
                <w:sz w:val="16"/>
              </w:rPr>
              <w:t>POL-CMP-003</w:t>
            </w:r>
          </w:p>
        </w:tc>
        <w:tc>
          <w:tcPr>
            <w:tcW w:type="dxa" w:w="2340"/>
          </w:tcPr>
          <w:p>
            <w:r>
              <w:rPr>
                <w:sz w:val="16"/>
              </w:rPr>
              <w:t>Standard/Normal/Emergency changes, rollback, schema migrations, GitHub release tagging</w:t>
            </w:r>
          </w:p>
        </w:tc>
        <w:tc>
          <w:tcPr>
            <w:tcW w:type="dxa" w:w="2340"/>
          </w:tcPr>
          <w:p>
            <w:r>
              <w:rPr>
                <w:sz w:val="16"/>
              </w:rPr>
              <w:t>Quarterly</w:t>
            </w:r>
          </w:p>
        </w:tc>
      </w:tr>
      <w:tr>
        <w:tc>
          <w:tcPr>
            <w:tcW w:type="dxa" w:w="2340"/>
            <w:shd w:fill="F5F7FA" w:val="clear"/>
          </w:tcPr>
          <w:p>
            <w:r>
              <w:rPr>
                <w:sz w:val="16"/>
              </w:rPr>
              <w:t>Incident Response</w:t>
            </w:r>
          </w:p>
        </w:tc>
        <w:tc>
          <w:tcPr>
            <w:tcW w:type="dxa" w:w="2340"/>
            <w:shd w:fill="F5F7FA" w:val="clear"/>
          </w:tcPr>
          <w:p>
            <w:r>
              <w:rPr>
                <w:sz w:val="16"/>
              </w:rPr>
              <w:t>POL-IRP-004</w:t>
            </w:r>
          </w:p>
        </w:tc>
        <w:tc>
          <w:tcPr>
            <w:tcW w:type="dxa" w:w="2340"/>
            <w:shd w:fill="F5F7FA" w:val="clear"/>
          </w:tcPr>
          <w:p>
            <w:r>
              <w:rPr>
                <w:sz w:val="16"/>
              </w:rPr>
              <w:t>SEV-1 to SEV-4 classification, detection, containment, resolution, customer notification, post-mortem</w:t>
            </w:r>
          </w:p>
        </w:tc>
        <w:tc>
          <w:tcPr>
            <w:tcW w:type="dxa" w:w="2340"/>
            <w:shd w:fill="F5F7FA" w:val="clear"/>
          </w:tcPr>
          <w:p>
            <w:r>
              <w:rPr>
                <w:sz w:val="16"/>
              </w:rPr>
              <w:t>Quarterly</w:t>
            </w:r>
          </w:p>
        </w:tc>
      </w:tr>
      <w:tr>
        <w:tc>
          <w:tcPr>
            <w:tcW w:type="dxa" w:w="2340"/>
          </w:tcPr>
          <w:p>
            <w:r>
              <w:rPr>
                <w:sz w:val="16"/>
              </w:rPr>
              <w:t>Business Continuity &amp; DR</w:t>
            </w:r>
          </w:p>
        </w:tc>
        <w:tc>
          <w:tcPr>
            <w:tcW w:type="dxa" w:w="2340"/>
          </w:tcPr>
          <w:p>
            <w:r>
              <w:rPr>
                <w:sz w:val="16"/>
              </w:rPr>
              <w:t>POL-BCD-005</w:t>
            </w:r>
          </w:p>
        </w:tc>
        <w:tc>
          <w:tcPr>
            <w:tcW w:type="dxa" w:w="2340"/>
          </w:tcPr>
          <w:p>
            <w:r>
              <w:rPr>
                <w:sz w:val="16"/>
              </w:rPr>
              <w:t>RTO/RPO, backup requirements, testing schedule, references DR Plan v1.2</w:t>
            </w:r>
          </w:p>
        </w:tc>
        <w:tc>
          <w:tcPr>
            <w:tcW w:type="dxa" w:w="2340"/>
          </w:tcPr>
          <w:p>
            <w:r>
              <w:rPr>
                <w:sz w:val="16"/>
              </w:rPr>
              <w:t>Quarterly</w:t>
            </w:r>
          </w:p>
        </w:tc>
      </w:tr>
      <w:tr>
        <w:tc>
          <w:tcPr>
            <w:tcW w:type="dxa" w:w="2340"/>
            <w:shd w:fill="F5F7FA" w:val="clear"/>
          </w:tcPr>
          <w:p>
            <w:r>
              <w:rPr>
                <w:sz w:val="16"/>
              </w:rPr>
              <w:t>Vendor Management</w:t>
            </w:r>
          </w:p>
        </w:tc>
        <w:tc>
          <w:tcPr>
            <w:tcW w:type="dxa" w:w="2340"/>
            <w:shd w:fill="F5F7FA" w:val="clear"/>
          </w:tcPr>
          <w:p>
            <w:r>
              <w:rPr>
                <w:sz w:val="16"/>
              </w:rPr>
              <w:t>POL-VMP-006</w:t>
            </w:r>
          </w:p>
        </w:tc>
        <w:tc>
          <w:tcPr>
            <w:tcW w:type="dxa" w:w="2340"/>
            <w:shd w:fill="F5F7FA" w:val="clear"/>
          </w:tcPr>
          <w:p>
            <w:r>
              <w:rPr>
                <w:sz w:val="16"/>
              </w:rPr>
              <w:t>9 vendors inventoried with risk ratings, assessment process, contingency plans, sub-processor list</w:t>
            </w:r>
          </w:p>
        </w:tc>
        <w:tc>
          <w:tcPr>
            <w:tcW w:type="dxa" w:w="2340"/>
            <w:shd w:fill="F5F7FA" w:val="clear"/>
          </w:tcPr>
          <w:p>
            <w:r>
              <w:rPr>
                <w:sz w:val="16"/>
              </w:rPr>
              <w:t>Quarterly</w:t>
            </w:r>
          </w:p>
        </w:tc>
      </w:tr>
      <w:tr>
        <w:tc>
          <w:tcPr>
            <w:tcW w:type="dxa" w:w="2340"/>
          </w:tcPr>
          <w:p>
            <w:r>
              <w:rPr>
                <w:sz w:val="16"/>
              </w:rPr>
              <w:t>Data Classification &amp; Handling</w:t>
            </w:r>
          </w:p>
        </w:tc>
        <w:tc>
          <w:tcPr>
            <w:tcW w:type="dxa" w:w="2340"/>
          </w:tcPr>
          <w:p>
            <w:r>
              <w:rPr>
                <w:sz w:val="16"/>
              </w:rPr>
              <w:t>POL-DCH-007</w:t>
            </w:r>
          </w:p>
        </w:tc>
        <w:tc>
          <w:tcPr>
            <w:tcW w:type="dxa" w:w="2340"/>
          </w:tcPr>
          <w:p>
            <w:r>
              <w:rPr>
                <w:sz w:val="16"/>
              </w:rPr>
              <w:t>4 classification levels (Restricted/Confidential/Internal/Public), PII inventory, retention, GDPR/CCPA rights</w:t>
            </w:r>
          </w:p>
        </w:tc>
        <w:tc>
          <w:tcPr>
            <w:tcW w:type="dxa" w:w="2340"/>
          </w:tcPr>
          <w:p>
            <w:r>
              <w:rPr>
                <w:sz w:val="16"/>
              </w:rPr>
              <w:t>Quarterly</w:t>
            </w:r>
          </w:p>
        </w:tc>
      </w:tr>
      <w:tr>
        <w:tc>
          <w:tcPr>
            <w:tcW w:type="dxa" w:w="2340"/>
            <w:shd w:fill="F5F7FA" w:val="clear"/>
          </w:tcPr>
          <w:p>
            <w:r>
              <w:rPr>
                <w:sz w:val="16"/>
              </w:rPr>
              <w:t>Acceptable Use</w:t>
            </w:r>
          </w:p>
        </w:tc>
        <w:tc>
          <w:tcPr>
            <w:tcW w:type="dxa" w:w="2340"/>
            <w:shd w:fill="F5F7FA" w:val="clear"/>
          </w:tcPr>
          <w:p>
            <w:r>
              <w:rPr>
                <w:sz w:val="16"/>
              </w:rPr>
              <w:t>POL-AUP-008</w:t>
            </w:r>
          </w:p>
        </w:tc>
        <w:tc>
          <w:tcPr>
            <w:tcW w:type="dxa" w:w="2340"/>
            <w:shd w:fill="F5F7FA" w:val="clear"/>
          </w:tcPr>
          <w:p>
            <w:r>
              <w:rPr>
                <w:sz w:val="16"/>
              </w:rPr>
              <w:t>Prohibited activities, AI governance rules, device requirements, reporting obligations, acknowledgment</w:t>
            </w:r>
          </w:p>
        </w:tc>
        <w:tc>
          <w:tcPr>
            <w:tcW w:type="dxa" w:w="2340"/>
            <w:shd w:fill="F5F7FA" w:val="clear"/>
          </w:tcPr>
          <w:p>
            <w:r>
              <w:rPr>
                <w:sz w:val="16"/>
              </w:rPr>
              <w:t>Quarterly</w:t>
            </w:r>
          </w:p>
        </w:tc>
      </w:tr>
    </w:tbl>
    <w:p/>
    <w:p>
      <w:pPr>
        <w:pStyle w:val="Heading2"/>
      </w:pPr>
      <w:r>
        <w:t>Security Documentation Portal</w:t>
      </w:r>
    </w:p>
    <w:p>
      <w:r>
        <w:t>A private security documentation portal was created at cco2go.ai/security.html to provide prospects and customers with on-demand access to security documentation. The page includes:</w:t>
      </w:r>
    </w:p>
    <w:p>
      <w:pPr>
        <w:pStyle w:val="ListBullet"/>
      </w:pPr>
      <w:r>
        <w:t>Security posture summary with key metrics (remediation progress, RLS table count, uptime, policy count)</w:t>
      </w:r>
    </w:p>
    <w:p>
      <w:pPr>
        <w:pStyle w:val="ListBullet"/>
      </w:pPr>
      <w:r>
        <w:t>Downloadable SOC 2 Readiness Assessment and Disaster Recovery Plan</w:t>
      </w:r>
    </w:p>
    <w:p>
      <w:pPr>
        <w:pStyle w:val="ListBullet"/>
      </w:pPr>
      <w:r>
        <w:t>Downloadable copies of all 8 security policies</w:t>
      </w:r>
    </w:p>
    <w:p>
      <w:pPr>
        <w:pStyle w:val="ListBullet"/>
      </w:pPr>
      <w:r>
        <w:t>Infrastructure and architecture overview</w:t>
      </w:r>
    </w:p>
    <w:p>
      <w:pPr>
        <w:pStyle w:val="ListBullet"/>
      </w:pPr>
      <w:r>
        <w:t>Full sub-processor table with compliance status for each vendor</w:t>
      </w:r>
    </w:p>
    <w:p>
      <w:pPr>
        <w:pStyle w:val="ListBullet"/>
      </w:pPr>
      <w:r>
        <w:t>Contact information for security questionnaires and DPA requests</w:t>
      </w:r>
    </w:p>
    <w:p>
      <w:r>
        <w:t>The page uses noindex/nofollow meta tags to prevent search engine indexing. It is accessible only via direct URL shared with authorized recipients. A link to the security portal was added to the marketing asset library (cco2go.ai/marketing.html).</w:t>
      </w:r>
    </w:p>
    <w:p>
      <w:pPr>
        <w:pStyle w:val="Heading2"/>
      </w:pPr>
      <w:r>
        <w:t>Updated Remediation Scorecard (Final — March 25, 2026)</w:t>
      </w:r>
    </w:p>
    <w:tbl>
      <w:tblPr>
        <w:tblW w:type="auto" w:w="0"/>
        <w:tblLook w:firstColumn="1" w:firstRow="1" w:lastColumn="0" w:lastRow="0" w:noHBand="0" w:noVBand="1" w:val="04A0"/>
      </w:tblPr>
      <w:tblGrid>
        <w:gridCol w:w="3120"/>
        <w:gridCol w:w="3120"/>
        <w:gridCol w:w="3120"/>
      </w:tblGrid>
      <w:tr>
        <w:tc>
          <w:tcPr>
            <w:tcW w:type="dxa" w:w="3120"/>
            <w:shd w:fill="0F3460" w:val="clear"/>
          </w:tcPr>
          <w:p>
            <w:r>
              <w:rPr>
                <w:b/>
                <w:color w:val="FFFFFF"/>
                <w:sz w:val="18"/>
              </w:rPr>
              <w:t>Status</w:t>
            </w:r>
          </w:p>
        </w:tc>
        <w:tc>
          <w:tcPr>
            <w:tcW w:type="dxa" w:w="3120"/>
            <w:shd w:fill="0F3460" w:val="clear"/>
          </w:tcPr>
          <w:p>
            <w:r>
              <w:rPr>
                <w:b/>
                <w:color w:val="FFFFFF"/>
                <w:sz w:val="18"/>
              </w:rPr>
              <w:t>Count</w:t>
            </w:r>
          </w:p>
        </w:tc>
        <w:tc>
          <w:tcPr>
            <w:tcW w:type="dxa" w:w="3120"/>
            <w:shd w:fill="0F3460" w:val="clear"/>
          </w:tcPr>
          <w:p>
            <w:r>
              <w:rPr>
                <w:b/>
                <w:color w:val="FFFFFF"/>
                <w:sz w:val="18"/>
              </w:rPr>
              <w:t>Findings</w:t>
            </w:r>
          </w:p>
        </w:tc>
      </w:tr>
      <w:tr>
        <w:tc>
          <w:tcPr>
            <w:tcW w:type="dxa" w:w="3120"/>
          </w:tcPr>
          <w:p>
            <w:r>
              <w:rPr>
                <w:sz w:val="18"/>
              </w:rPr>
              <w:t>✅ Remediated</w:t>
            </w:r>
          </w:p>
        </w:tc>
        <w:tc>
          <w:tcPr>
            <w:tcW w:type="dxa" w:w="3120"/>
          </w:tcPr>
          <w:p>
            <w:r>
              <w:rPr>
                <w:sz w:val="18"/>
              </w:rPr>
              <w:t>14</w:t>
            </w:r>
          </w:p>
        </w:tc>
        <w:tc>
          <w:tcPr>
            <w:tcW w:type="dxa" w:w="3120"/>
          </w:tcPr>
          <w:p>
            <w:r>
              <w:rPr>
                <w:sz w:val="18"/>
              </w:rPr>
              <w:t>74%</w:t>
            </w:r>
          </w:p>
        </w:tc>
      </w:tr>
      <w:tr>
        <w:tc>
          <w:tcPr>
            <w:tcW w:type="dxa" w:w="3120"/>
          </w:tcPr>
          <w:p>
            <w:r>
              <w:rPr>
                <w:sz w:val="18"/>
              </w:rPr>
              <w:t>🔶 Partially Addressed</w:t>
            </w:r>
          </w:p>
        </w:tc>
        <w:tc>
          <w:tcPr>
            <w:tcW w:type="dxa" w:w="3120"/>
          </w:tcPr>
          <w:p>
            <w:r>
              <w:rPr>
                <w:sz w:val="18"/>
              </w:rPr>
              <w:t>3</w:t>
            </w:r>
          </w:p>
        </w:tc>
        <w:tc>
          <w:tcPr>
            <w:tcW w:type="dxa" w:w="3120"/>
          </w:tcPr>
          <w:p>
            <w:r>
              <w:rPr>
                <w:sz w:val="18"/>
              </w:rPr>
              <w:t>16%</w:t>
            </w:r>
          </w:p>
        </w:tc>
      </w:tr>
      <w:tr>
        <w:tc>
          <w:tcPr>
            <w:tcW w:type="dxa" w:w="3120"/>
          </w:tcPr>
          <w:p>
            <w:r>
              <w:rPr>
                <w:sz w:val="18"/>
              </w:rPr>
              <w:t>❌ Open</w:t>
            </w:r>
          </w:p>
        </w:tc>
        <w:tc>
          <w:tcPr>
            <w:tcW w:type="dxa" w:w="3120"/>
          </w:tcPr>
          <w:p>
            <w:r>
              <w:rPr>
                <w:sz w:val="18"/>
              </w:rPr>
              <w:t>0</w:t>
            </w:r>
          </w:p>
        </w:tc>
        <w:tc>
          <w:tcPr>
            <w:tcW w:type="dxa" w:w="3120"/>
          </w:tcPr>
          <w:p>
            <w:r>
              <w:rPr>
                <w:sz w:val="18"/>
              </w:rPr>
              <w:t>0%</w:t>
            </w:r>
          </w:p>
        </w:tc>
      </w:tr>
      <w:tr>
        <w:tc>
          <w:tcPr>
            <w:tcW w:type="dxa" w:w="3120"/>
          </w:tcPr>
          <w:p>
            <w:r>
              <w:rPr>
                <w:sz w:val="18"/>
              </w:rPr>
              <w:t>⏸️ Deferred</w:t>
            </w:r>
          </w:p>
        </w:tc>
        <w:tc>
          <w:tcPr>
            <w:tcW w:type="dxa" w:w="3120"/>
          </w:tcPr>
          <w:p>
            <w:r>
              <w:rPr>
                <w:sz w:val="18"/>
              </w:rPr>
              <w:t>2 (11%)</w:t>
            </w:r>
          </w:p>
        </w:tc>
        <w:tc>
          <w:tcPr>
            <w:tcW w:type="dxa" w:w="3120"/>
          </w:tcPr>
          <w:p>
            <w:r>
              <w:rPr>
                <w:sz w:val="18"/>
              </w:rPr>
              <w:t>SEC-004 (2FA enforcement), SEC-005 (SSO/SAML)</w:t>
            </w:r>
          </w:p>
        </w:tc>
      </w:tr>
    </w:tbl>
    <w:p/>
    <w:p>
      <w:r>
        <w:t>Next milestone: Collect SOC 2 reports from Render, Groq, and Resend to close ORG-003. Once complete, the only remaining items are the two deferred findings (2FA and SSO), which are sales enablers rather than audit blockers. The SOC 2 Type II observation period began March 25, 2026 with the adoption of formal policies. Earliest audit engagement: September 2026.</w:t>
      </w:r>
    </w:p>
    <w:p>
      <w:r>
        <w:br w:type="page"/>
      </w:r>
    </w:p>
    <w:p>
      <w:pPr>
        <w:pStyle w:val="Heading1"/>
      </w:pPr>
      <w:r>
        <w:t>Appendix: ORG-004 &amp; CON-002 Remediation (March 25, 2026)</w:t>
      </w:r>
    </w:p>
    <w:p>
      <w:pPr>
        <w:pStyle w:val="Heading2"/>
      </w:pPr>
      <w:r>
        <w:t>ORG-004: Security Awareness Training — REMEDIATED</w:t>
      </w:r>
    </w:p>
    <w:p>
      <w:r>
        <w:t>Original Finding: No evidence of security awareness training for personnel with system access.</w:t>
      </w:r>
    </w:p>
    <w:p>
      <w:r>
        <w:t>Remediation (March 25, 2026):</w:t>
      </w:r>
    </w:p>
    <w:p>
      <w:pPr>
        <w:pStyle w:val="ListBullet"/>
      </w:pPr>
      <w:r>
        <w:t>Security Awareness Training program created (TRN-SAT-001) as a combined training document and completion log.</w:t>
      </w:r>
    </w:p>
    <w:p>
      <w:pPr>
        <w:pStyle w:val="ListBullet"/>
      </w:pPr>
      <w:r>
        <w:t>Training covers 7 core topics: phishing identification, credential hygiene, secure coding practices, incident reporting procedures, data handling responsibilities, AI governance, and personal device security.</w:t>
      </w:r>
    </w:p>
    <w:p>
      <w:pPr>
        <w:pStyle w:val="ListBullet"/>
      </w:pPr>
      <w:r>
        <w:t>Training is tailored to CCOPilot infrastructure — references specific tools (Doppler, Render, Prisma, Helmet.js), specific controls (tenant isolation, Agent Queue, CSRF), and specific procedures.</w:t>
      </w:r>
    </w:p>
    <w:p>
      <w:pPr>
        <w:pStyle w:val="ListBullet"/>
      </w:pPr>
      <w:r>
        <w:t>Training completion log with signature block. First completion: Shane James, CEO, March 25, 2026.</w:t>
      </w:r>
    </w:p>
    <w:p>
      <w:pPr>
        <w:pStyle w:val="ListBullet"/>
      </w:pPr>
      <w:r>
        <w:t>Annual refresher schedule established. Next refresher: March 2027.</w:t>
      </w:r>
    </w:p>
    <w:p>
      <w:pPr>
        <w:pStyle w:val="ListBullet"/>
      </w:pPr>
      <w:r>
        <w:t>New team members must complete training within 30 days of receiving system access.</w:t>
      </w:r>
    </w:p>
    <w:p>
      <w:pPr>
        <w:pStyle w:val="Heading2"/>
      </w:pPr>
      <w:r>
        <w:t>CON-002: PII Handling — Substantially Addressed</w:t>
      </w:r>
    </w:p>
    <w:p>
      <w:r>
        <w:t>Original Finding: No data classification policy, PII inventory, or data retention/deletion procedures.</w:t>
      </w:r>
    </w:p>
    <w:p>
      <w:r>
        <w:t>Remediation progress:</w:t>
      </w:r>
    </w:p>
    <w:p>
      <w:pPr>
        <w:pStyle w:val="ListBullet"/>
      </w:pPr>
      <w:r>
        <w:t>Data Classification &amp; Handling Policy (POL-DCH-007) adopted with four classification levels: Restricted, Confidential, Internal, Public.</w:t>
      </w:r>
    </w:p>
    <w:p>
      <w:pPr>
        <w:pStyle w:val="ListBullet"/>
      </w:pPr>
      <w:r>
        <w:t>PII inventory completed — 7 data categories identified with specific database tables, classification, and retention periods.</w:t>
      </w:r>
    </w:p>
    <w:p>
      <w:pPr>
        <w:pStyle w:val="ListBullet"/>
      </w:pPr>
      <w:r>
        <w:t>Data Retention &amp; Deletion Procedures (PRO-DRD-001) documented with:</w:t>
      </w:r>
    </w:p>
    <w:p>
      <w:pPr>
        <w:pStyle w:val="ListBullet"/>
      </w:pPr>
      <w:r>
        <w:t xml:space="preserve">   12-category retention schedule with specific database tables, retention periods, and deletion triggers</w:t>
      </w:r>
    </w:p>
    <w:p>
      <w:pPr>
        <w:pStyle w:val="ListBullet"/>
      </w:pPr>
      <w:r>
        <w:t xml:space="preserve">   Organization termination procedure (30-day grace period, cascading deletion, confirmation)</w:t>
      </w:r>
    </w:p>
    <w:p>
      <w:pPr>
        <w:pStyle w:val="ListBullet"/>
      </w:pPr>
      <w:r>
        <w:t xml:space="preserve">   Individual data subject request procedure (GDPR Article 17 / CCPA, 30-day SLA)</w:t>
      </w:r>
    </w:p>
    <w:p>
      <w:pPr>
        <w:pStyle w:val="ListBullet"/>
      </w:pPr>
      <w:r>
        <w:t xml:space="preserve">   Integration disconnect procedure (token deletion, cache purge)</w:t>
      </w:r>
    </w:p>
    <w:p>
      <w:pPr>
        <w:pStyle w:val="ListBullet"/>
      </w:pPr>
      <w:r>
        <w:t xml:space="preserve">   Data Subject Request Log for tracking and SOC 2 evidence</w:t>
      </w:r>
    </w:p>
    <w:p>
      <w:pPr>
        <w:pStyle w:val="ListBullet"/>
      </w:pPr>
      <w:r>
        <w:t xml:space="preserve">   Data export/portability procedures for customer and individual requests</w:t>
      </w:r>
    </w:p>
    <w:p>
      <w:r>
        <w:t>Remaining gap: Automated retention enforcement (email cache purge, audit log purge) not yet implemented as scheduled jobs. Currently requires manual cleanup. Targeting Q2 2026.</w:t>
      </w:r>
    </w:p>
    <w:p>
      <w:pPr>
        <w:pStyle w:val="Heading2"/>
      </w:pPr>
      <w:r>
        <w:t>ORG-003: Vendor Risk Management — IN PROGRESS</w:t>
      </w:r>
    </w:p>
    <w:p>
      <w:r>
        <w:t>Original Finding: No vendor risk assessments or SOC 2 report collection.</w:t>
      </w:r>
    </w:p>
    <w:p>
      <w:r>
        <w:t>Progress (March 25, 2026):</w:t>
      </w:r>
    </w:p>
    <w:p>
      <w:pPr>
        <w:pStyle w:val="ListBullet"/>
      </w:pPr>
      <w:r>
        <w:t>Vendor Management Policy (POL-VMP-006) adopted with inventory of 9 vendors and risk ratings.</w:t>
      </w:r>
    </w:p>
    <w:p>
      <w:pPr>
        <w:pStyle w:val="ListBullet"/>
      </w:pPr>
      <w:r>
        <w:t>Vendor Risk Assessment Log created with summary table and individual assessment templates.</w:t>
      </w:r>
    </w:p>
    <w:p>
      <w:pPr>
        <w:pStyle w:val="ListBullet"/>
      </w:pPr>
      <w:r>
        <w:t>Research confirmed ALL 9 vendors maintain SOC 2 Type II certification — no gaps.</w:t>
      </w:r>
    </w:p>
    <w:p>
      <w:pPr>
        <w:pStyle w:val="ListBullet"/>
      </w:pPr>
      <w:r>
        <w:t>SOC 2 report request emails sent to Render (support@render.com), Groq (trust.groq.com), and Resend (support) on March 25, 2026.</w:t>
      </w:r>
    </w:p>
    <w:p>
      <w:pPr>
        <w:pStyle w:val="ListBullet"/>
      </w:pPr>
      <w:r>
        <w:t>Assessment templates pre-filled for Render, Groq, and Resend — ready to complete when reports arrive.</w:t>
      </w:r>
    </w:p>
    <w:p>
      <w:pPr>
        <w:pStyle w:val="ListBullet"/>
      </w:pPr>
      <w:r>
        <w:t>Expected completion: within 1-2 weeks pending vendor response times.</w:t>
      </w:r>
    </w:p>
    <w:p>
      <w:pPr>
        <w:pStyle w:val="Heading2"/>
      </w:pPr>
      <w:r>
        <w:t>Updated Final Scorecard (March 25, 2026 — End of Session)</w:t>
      </w:r>
    </w:p>
    <w:tbl>
      <w:tblPr>
        <w:tblW w:type="auto" w:w="0"/>
        <w:tblLook w:firstColumn="1" w:firstRow="1" w:lastColumn="0" w:lastRow="0" w:noHBand="0" w:noVBand="1" w:val="04A0"/>
      </w:tblPr>
      <w:tblGrid>
        <w:gridCol w:w="3120"/>
        <w:gridCol w:w="3120"/>
        <w:gridCol w:w="3120"/>
      </w:tblGrid>
      <w:tr>
        <w:tc>
          <w:tcPr>
            <w:tcW w:type="dxa" w:w="3120"/>
            <w:shd w:fill="0F3460" w:val="clear"/>
          </w:tcPr>
          <w:p>
            <w:r>
              <w:rPr>
                <w:b/>
                <w:color w:val="FFFFFF"/>
                <w:sz w:val="18"/>
              </w:rPr>
              <w:t>Status</w:t>
            </w:r>
          </w:p>
        </w:tc>
        <w:tc>
          <w:tcPr>
            <w:tcW w:type="dxa" w:w="3120"/>
            <w:shd w:fill="0F3460" w:val="clear"/>
          </w:tcPr>
          <w:p>
            <w:r>
              <w:rPr>
                <w:b/>
                <w:color w:val="FFFFFF"/>
                <w:sz w:val="18"/>
              </w:rPr>
              <w:t>Count</w:t>
            </w:r>
          </w:p>
        </w:tc>
        <w:tc>
          <w:tcPr>
            <w:tcW w:type="dxa" w:w="3120"/>
            <w:shd w:fill="0F3460" w:val="clear"/>
          </w:tcPr>
          <w:p>
            <w:r>
              <w:rPr>
                <w:b/>
                <w:color w:val="FFFFFF"/>
                <w:sz w:val="18"/>
              </w:rPr>
              <w:t>Findings</w:t>
            </w:r>
          </w:p>
        </w:tc>
      </w:tr>
      <w:tr>
        <w:tc>
          <w:tcPr>
            <w:tcW w:type="dxa" w:w="3120"/>
          </w:tcPr>
          <w:p>
            <w:r>
              <w:rPr>
                <w:sz w:val="18"/>
              </w:rPr>
              <w:t>✅ Remediated</w:t>
            </w:r>
          </w:p>
        </w:tc>
        <w:tc>
          <w:tcPr>
            <w:tcW w:type="dxa" w:w="3120"/>
          </w:tcPr>
          <w:p>
            <w:r>
              <w:rPr>
                <w:sz w:val="18"/>
              </w:rPr>
              <w:t>14 (74%)</w:t>
            </w:r>
          </w:p>
        </w:tc>
        <w:tc>
          <w:tcPr>
            <w:tcW w:type="dxa" w:w="3120"/>
          </w:tcPr>
          <w:p>
            <w:r>
              <w:rPr>
                <w:sz w:val="18"/>
              </w:rPr>
              <w:t>SEC-001, SEC-002, SEC-006, SEC-007, SEC-008, INT-001, CON-001, PRI-001, AVL-001, AVL-002, ORG-001, ORG-004 + CSRF, audit logging, CORS, Doppler, RLS, module gating</w:t>
            </w:r>
          </w:p>
        </w:tc>
      </w:tr>
      <w:tr>
        <w:tc>
          <w:tcPr>
            <w:tcW w:type="dxa" w:w="3120"/>
          </w:tcPr>
          <w:p>
            <w:r>
              <w:rPr>
                <w:sz w:val="18"/>
              </w:rPr>
              <w:t>🔶 In Progress / Partial</w:t>
            </w:r>
          </w:p>
        </w:tc>
        <w:tc>
          <w:tcPr>
            <w:tcW w:type="dxa" w:w="3120"/>
          </w:tcPr>
          <w:p>
            <w:r>
              <w:rPr>
                <w:sz w:val="18"/>
              </w:rPr>
              <w:t>3 (16%)</w:t>
            </w:r>
          </w:p>
        </w:tc>
        <w:tc>
          <w:tcPr>
            <w:tcW w:type="dxa" w:w="3120"/>
          </w:tcPr>
          <w:p>
            <w:r>
              <w:rPr>
                <w:sz w:val="18"/>
              </w:rPr>
              <w:t>ORG-003 (vendor reports requested, awaiting delivery), CON-002 (procedures documented, automated purge pending), SEC-003 (Dependabot active, pen test not yet engaged)</w:t>
            </w:r>
          </w:p>
        </w:tc>
      </w:tr>
      <w:tr>
        <w:tc>
          <w:tcPr>
            <w:tcW w:type="dxa" w:w="3120"/>
          </w:tcPr>
          <w:p>
            <w:r>
              <w:rPr>
                <w:sz w:val="18"/>
              </w:rPr>
              <w:t>❌ Open</w:t>
            </w:r>
          </w:p>
        </w:tc>
        <w:tc>
          <w:tcPr>
            <w:tcW w:type="dxa" w:w="3120"/>
          </w:tcPr>
          <w:p>
            <w:r>
              <w:rPr>
                <w:sz w:val="18"/>
              </w:rPr>
              <w:t>0 (0%)</w:t>
            </w:r>
          </w:p>
        </w:tc>
        <w:tc>
          <w:tcPr>
            <w:tcW w:type="dxa" w:w="3120"/>
          </w:tcPr>
          <w:p>
            <w:r>
              <w:rPr>
                <w:sz w:val="18"/>
              </w:rPr>
              <w:t>No open findings remaining</w:t>
            </w:r>
          </w:p>
        </w:tc>
      </w:tr>
      <w:tr>
        <w:tc>
          <w:tcPr>
            <w:tcW w:type="dxa" w:w="3120"/>
          </w:tcPr>
          <w:p>
            <w:r>
              <w:rPr>
                <w:sz w:val="18"/>
              </w:rPr>
              <w:t>⏸️ Deferred</w:t>
            </w:r>
          </w:p>
        </w:tc>
        <w:tc>
          <w:tcPr>
            <w:tcW w:type="dxa" w:w="3120"/>
          </w:tcPr>
          <w:p>
            <w:r>
              <w:rPr>
                <w:sz w:val="18"/>
              </w:rPr>
              <w:t>2 (10%)</w:t>
            </w:r>
          </w:p>
        </w:tc>
        <w:tc>
          <w:tcPr>
            <w:tcW w:type="dxa" w:w="3120"/>
          </w:tcPr>
          <w:p>
            <w:r>
              <w:rPr>
                <w:sz w:val="18"/>
              </w:rPr>
              <w:t>SEC-004 (2FA enforcement), SEC-005 (SSO/SAML) — sales enablers, not audit blockers</w:t>
            </w:r>
          </w:p>
        </w:tc>
      </w:tr>
    </w:tbl>
    <w:p/>
    <w:p>
      <w:r>
        <w:t>Zero open findings. All remaining items are either in progress with clear completion paths (ORG-003 awaiting vendor responses, CON-002 and SEC-003 awaiting implementation) or deferred by design (SEC-004, SEC-005). The SOC 2 Type II observation period began March 25, 2026. Earliest audit engagement: September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F3460"/>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1687A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