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Data Retention &amp; Deletion Procedures</w:t>
      </w:r>
    </w:p>
    <w:p>
      <w:pPr>
        <w:jc w:val="center"/>
      </w:pPr>
      <w:r>
        <w:rPr>
          <w:color w:val="1687A7"/>
          <w:sz w:val="22"/>
        </w:rPr>
        <w:t>Policy ID: PRO-DRD-001</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PRO-DRD-001</w:t>
            </w:r>
          </w:p>
        </w:tc>
      </w:tr>
      <w:tr>
        <w:tc>
          <w:tcPr>
            <w:tcW w:type="dxa" w:w="4680"/>
          </w:tcPr>
          <w:p>
            <w:r>
              <w:rPr>
                <w:b/>
                <w:sz w:val="18"/>
              </w:rPr>
              <w:t>Policy Name</w:t>
            </w:r>
          </w:p>
        </w:tc>
        <w:tc>
          <w:tcPr>
            <w:tcW w:type="dxa" w:w="4680"/>
          </w:tcPr>
          <w:p>
            <w:r>
              <w:rPr>
                <w:sz w:val="18"/>
              </w:rPr>
              <w:t>Data Retention &amp; Deletion Procedures</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document defines the data retention schedules and deletion procedures for all data categories processed by CCOPilot.ai. It supplements the Data Classification &amp; Handling Policy (POL-DCH-007) with specific operational procedures. This addresses SOC 2 finding CON-002.</w:t>
      </w:r>
    </w:p>
    <w:p>
      <w:pPr>
        <w:pStyle w:val="Heading1"/>
      </w:pPr>
      <w:r>
        <w:t>2. Retention Schedule</w:t>
      </w:r>
    </w:p>
    <w:p>
      <w:r>
        <w:t>The following retention periods apply to data stored in the CCOPilot.ai platform:</w:t>
      </w:r>
    </w:p>
    <w:tbl>
      <w:tblPr>
        <w:tblW w:type="auto" w:w="0"/>
        <w:tblLook w:firstColumn="1" w:firstRow="1" w:lastColumn="0" w:lastRow="0" w:noHBand="0" w:noVBand="1" w:val="04A0"/>
      </w:tblPr>
      <w:tblGrid>
        <w:gridCol w:w="1872"/>
        <w:gridCol w:w="1872"/>
        <w:gridCol w:w="1872"/>
        <w:gridCol w:w="1872"/>
        <w:gridCol w:w="1872"/>
      </w:tblGrid>
      <w:tr>
        <w:tc>
          <w:tcPr>
            <w:tcW w:type="dxa" w:w="1872"/>
            <w:shd w:fill="0F3460" w:val="clear"/>
          </w:tcPr>
          <w:p>
            <w:r>
              <w:rPr>
                <w:b/>
                <w:color w:val="FFFFFF"/>
                <w:sz w:val="14"/>
              </w:rPr>
              <w:t>Data Category</w:t>
            </w:r>
          </w:p>
        </w:tc>
        <w:tc>
          <w:tcPr>
            <w:tcW w:type="dxa" w:w="1872"/>
            <w:shd w:fill="0F3460" w:val="clear"/>
          </w:tcPr>
          <w:p>
            <w:r>
              <w:rPr>
                <w:b/>
                <w:color w:val="FFFFFF"/>
                <w:sz w:val="14"/>
              </w:rPr>
              <w:t>Classification</w:t>
            </w:r>
          </w:p>
        </w:tc>
        <w:tc>
          <w:tcPr>
            <w:tcW w:type="dxa" w:w="1872"/>
            <w:shd w:fill="0F3460" w:val="clear"/>
          </w:tcPr>
          <w:p>
            <w:r>
              <w:rPr>
                <w:b/>
                <w:color w:val="FFFFFF"/>
                <w:sz w:val="14"/>
              </w:rPr>
              <w:t>Database Table(s)</w:t>
            </w:r>
          </w:p>
        </w:tc>
        <w:tc>
          <w:tcPr>
            <w:tcW w:type="dxa" w:w="1872"/>
            <w:shd w:fill="0F3460" w:val="clear"/>
          </w:tcPr>
          <w:p>
            <w:r>
              <w:rPr>
                <w:b/>
                <w:color w:val="FFFFFF"/>
                <w:sz w:val="14"/>
              </w:rPr>
              <w:t>Retention Period</w:t>
            </w:r>
          </w:p>
        </w:tc>
        <w:tc>
          <w:tcPr>
            <w:tcW w:type="dxa" w:w="1872"/>
            <w:shd w:fill="0F3460" w:val="clear"/>
          </w:tcPr>
          <w:p>
            <w:r>
              <w:rPr>
                <w:b/>
                <w:color w:val="FFFFFF"/>
                <w:sz w:val="14"/>
              </w:rPr>
              <w:t>Deletion Trigger</w:t>
            </w:r>
          </w:p>
        </w:tc>
      </w:tr>
      <w:tr>
        <w:tc>
          <w:tcPr>
            <w:tcW w:type="dxa" w:w="1872"/>
          </w:tcPr>
          <w:p>
            <w:r>
              <w:rPr>
                <w:sz w:val="14"/>
              </w:rPr>
              <w:t>User accounts</w:t>
            </w:r>
          </w:p>
        </w:tc>
        <w:tc>
          <w:tcPr>
            <w:tcW w:type="dxa" w:w="1872"/>
          </w:tcPr>
          <w:p>
            <w:r>
              <w:rPr>
                <w:sz w:val="14"/>
              </w:rPr>
              <w:t>Confidential — PII</w:t>
            </w:r>
          </w:p>
        </w:tc>
        <w:tc>
          <w:tcPr>
            <w:tcW w:type="dxa" w:w="1872"/>
          </w:tcPr>
          <w:p>
            <w:r>
              <w:rPr>
                <w:sz w:val="14"/>
              </w:rPr>
              <w:t>User</w:t>
            </w:r>
          </w:p>
        </w:tc>
        <w:tc>
          <w:tcPr>
            <w:tcW w:type="dxa" w:w="1872"/>
          </w:tcPr>
          <w:p>
            <w:r>
              <w:rPr>
                <w:sz w:val="14"/>
              </w:rPr>
              <w:t>Account lifetime + 30 days</w:t>
            </w:r>
          </w:p>
        </w:tc>
        <w:tc>
          <w:tcPr>
            <w:tcW w:type="dxa" w:w="1872"/>
          </w:tcPr>
          <w:p>
            <w:r>
              <w:rPr>
                <w:sz w:val="14"/>
              </w:rPr>
              <w:t>Account termination or deletion request</w:t>
            </w:r>
          </w:p>
        </w:tc>
      </w:tr>
      <w:tr>
        <w:tc>
          <w:tcPr>
            <w:tcW w:type="dxa" w:w="1872"/>
            <w:shd w:fill="F5F7FA" w:val="clear"/>
          </w:tcPr>
          <w:p>
            <w:r>
              <w:rPr>
                <w:sz w:val="14"/>
              </w:rPr>
              <w:t>Customer records</w:t>
            </w:r>
          </w:p>
        </w:tc>
        <w:tc>
          <w:tcPr>
            <w:tcW w:type="dxa" w:w="1872"/>
            <w:shd w:fill="F5F7FA" w:val="clear"/>
          </w:tcPr>
          <w:p>
            <w:r>
              <w:rPr>
                <w:sz w:val="14"/>
              </w:rPr>
              <w:t>Confidential — PII</w:t>
            </w:r>
          </w:p>
        </w:tc>
        <w:tc>
          <w:tcPr>
            <w:tcW w:type="dxa" w:w="1872"/>
            <w:shd w:fill="F5F7FA" w:val="clear"/>
          </w:tcPr>
          <w:p>
            <w:r>
              <w:rPr>
                <w:sz w:val="14"/>
              </w:rPr>
              <w:t>Customer, Contact</w:t>
            </w:r>
          </w:p>
        </w:tc>
        <w:tc>
          <w:tcPr>
            <w:tcW w:type="dxa" w:w="1872"/>
            <w:shd w:fill="F5F7FA" w:val="clear"/>
          </w:tcPr>
          <w:p>
            <w:r>
              <w:rPr>
                <w:sz w:val="14"/>
              </w:rPr>
              <w:t>Account lifetime</w:t>
            </w:r>
          </w:p>
        </w:tc>
        <w:tc>
          <w:tcPr>
            <w:tcW w:type="dxa" w:w="1872"/>
            <w:shd w:fill="F5F7FA" w:val="clear"/>
          </w:tcPr>
          <w:p>
            <w:r>
              <w:rPr>
                <w:sz w:val="14"/>
              </w:rPr>
              <w:t>Organization termination or deletion request</w:t>
            </w:r>
          </w:p>
        </w:tc>
      </w:tr>
      <w:tr>
        <w:tc>
          <w:tcPr>
            <w:tcW w:type="dxa" w:w="1872"/>
          </w:tcPr>
          <w:p>
            <w:r>
              <w:rPr>
                <w:sz w:val="14"/>
              </w:rPr>
              <w:t>Financial data (ARR, MRR)</w:t>
            </w:r>
          </w:p>
        </w:tc>
        <w:tc>
          <w:tcPr>
            <w:tcW w:type="dxa" w:w="1872"/>
          </w:tcPr>
          <w:p>
            <w:r>
              <w:rPr>
                <w:sz w:val="14"/>
              </w:rPr>
              <w:t>Restricted — Financial</w:t>
            </w:r>
          </w:p>
        </w:tc>
        <w:tc>
          <w:tcPr>
            <w:tcW w:type="dxa" w:w="1872"/>
          </w:tcPr>
          <w:p>
            <w:r>
              <w:rPr>
                <w:sz w:val="14"/>
              </w:rPr>
              <w:t>Customer</w:t>
            </w:r>
          </w:p>
        </w:tc>
        <w:tc>
          <w:tcPr>
            <w:tcW w:type="dxa" w:w="1872"/>
          </w:tcPr>
          <w:p>
            <w:r>
              <w:rPr>
                <w:sz w:val="14"/>
              </w:rPr>
              <w:t>Account lifetime</w:t>
            </w:r>
          </w:p>
        </w:tc>
        <w:tc>
          <w:tcPr>
            <w:tcW w:type="dxa" w:w="1872"/>
          </w:tcPr>
          <w:p>
            <w:r>
              <w:rPr>
                <w:sz w:val="14"/>
              </w:rPr>
              <w:t>Organization termination</w:t>
            </w:r>
          </w:p>
        </w:tc>
      </w:tr>
      <w:tr>
        <w:tc>
          <w:tcPr>
            <w:tcW w:type="dxa" w:w="1872"/>
            <w:shd w:fill="F5F7FA" w:val="clear"/>
          </w:tcPr>
          <w:p>
            <w:r>
              <w:rPr>
                <w:sz w:val="14"/>
              </w:rPr>
              <w:t>Tasks, Notes, Risks</w:t>
            </w:r>
          </w:p>
        </w:tc>
        <w:tc>
          <w:tcPr>
            <w:tcW w:type="dxa" w:w="1872"/>
            <w:shd w:fill="F5F7FA" w:val="clear"/>
          </w:tcPr>
          <w:p>
            <w:r>
              <w:rPr>
                <w:sz w:val="14"/>
              </w:rPr>
              <w:t>Confidential</w:t>
            </w:r>
          </w:p>
        </w:tc>
        <w:tc>
          <w:tcPr>
            <w:tcW w:type="dxa" w:w="1872"/>
            <w:shd w:fill="F5F7FA" w:val="clear"/>
          </w:tcPr>
          <w:p>
            <w:r>
              <w:rPr>
                <w:sz w:val="14"/>
              </w:rPr>
              <w:t>Task, Note, Risk</w:t>
            </w:r>
          </w:p>
        </w:tc>
        <w:tc>
          <w:tcPr>
            <w:tcW w:type="dxa" w:w="1872"/>
            <w:shd w:fill="F5F7FA" w:val="clear"/>
          </w:tcPr>
          <w:p>
            <w:r>
              <w:rPr>
                <w:sz w:val="14"/>
              </w:rPr>
              <w:t>Account lifetime</w:t>
            </w:r>
          </w:p>
        </w:tc>
        <w:tc>
          <w:tcPr>
            <w:tcW w:type="dxa" w:w="1872"/>
            <w:shd w:fill="F5F7FA" w:val="clear"/>
          </w:tcPr>
          <w:p>
            <w:r>
              <w:rPr>
                <w:sz w:val="14"/>
              </w:rPr>
              <w:t>Organization termination</w:t>
            </w:r>
          </w:p>
        </w:tc>
      </w:tr>
      <w:tr>
        <w:tc>
          <w:tcPr>
            <w:tcW w:type="dxa" w:w="1872"/>
          </w:tcPr>
          <w:p>
            <w:r>
              <w:rPr>
                <w:sz w:val="14"/>
              </w:rPr>
              <w:t>Health scores</w:t>
            </w:r>
          </w:p>
        </w:tc>
        <w:tc>
          <w:tcPr>
            <w:tcW w:type="dxa" w:w="1872"/>
          </w:tcPr>
          <w:p>
            <w:r>
              <w:rPr>
                <w:sz w:val="14"/>
              </w:rPr>
              <w:t>Confidential — Derived</w:t>
            </w:r>
          </w:p>
        </w:tc>
        <w:tc>
          <w:tcPr>
            <w:tcW w:type="dxa" w:w="1872"/>
          </w:tcPr>
          <w:p>
            <w:r>
              <w:rPr>
                <w:sz w:val="14"/>
              </w:rPr>
              <w:t>HealthScore</w:t>
            </w:r>
          </w:p>
        </w:tc>
        <w:tc>
          <w:tcPr>
            <w:tcW w:type="dxa" w:w="1872"/>
          </w:tcPr>
          <w:p>
            <w:r>
              <w:rPr>
                <w:sz w:val="14"/>
              </w:rPr>
              <w:t>Account lifetime</w:t>
            </w:r>
          </w:p>
        </w:tc>
        <w:tc>
          <w:tcPr>
            <w:tcW w:type="dxa" w:w="1872"/>
          </w:tcPr>
          <w:p>
            <w:r>
              <w:rPr>
                <w:sz w:val="14"/>
              </w:rPr>
              <w:t>Organization termination</w:t>
            </w:r>
          </w:p>
        </w:tc>
      </w:tr>
      <w:tr>
        <w:tc>
          <w:tcPr>
            <w:tcW w:type="dxa" w:w="1872"/>
            <w:shd w:fill="F5F7FA" w:val="clear"/>
          </w:tcPr>
          <w:p>
            <w:r>
              <w:rPr>
                <w:sz w:val="14"/>
              </w:rPr>
              <w:t>Email cache</w:t>
            </w:r>
          </w:p>
        </w:tc>
        <w:tc>
          <w:tcPr>
            <w:tcW w:type="dxa" w:w="1872"/>
            <w:shd w:fill="F5F7FA" w:val="clear"/>
          </w:tcPr>
          <w:p>
            <w:r>
              <w:rPr>
                <w:sz w:val="14"/>
              </w:rPr>
              <w:t>Confidential — Comms</w:t>
            </w:r>
          </w:p>
        </w:tc>
        <w:tc>
          <w:tcPr>
            <w:tcW w:type="dxa" w:w="1872"/>
            <w:shd w:fill="F5F7FA" w:val="clear"/>
          </w:tcPr>
          <w:p>
            <w:r>
              <w:rPr>
                <w:sz w:val="14"/>
              </w:rPr>
              <w:t>CachedEmail, EmailSentiment</w:t>
            </w:r>
          </w:p>
        </w:tc>
        <w:tc>
          <w:tcPr>
            <w:tcW w:type="dxa" w:w="1872"/>
            <w:shd w:fill="F5F7FA" w:val="clear"/>
          </w:tcPr>
          <w:p>
            <w:r>
              <w:rPr>
                <w:sz w:val="14"/>
              </w:rPr>
              <w:t>90 days</w:t>
            </w:r>
          </w:p>
        </w:tc>
        <w:tc>
          <w:tcPr>
            <w:tcW w:type="dxa" w:w="1872"/>
            <w:shd w:fill="F5F7FA" w:val="clear"/>
          </w:tcPr>
          <w:p>
            <w:r>
              <w:rPr>
                <w:sz w:val="14"/>
              </w:rPr>
              <w:t>Auto-purge or integration disconnect</w:t>
            </w:r>
          </w:p>
        </w:tc>
      </w:tr>
      <w:tr>
        <w:tc>
          <w:tcPr>
            <w:tcW w:type="dxa" w:w="1872"/>
          </w:tcPr>
          <w:p>
            <w:r>
              <w:rPr>
                <w:sz w:val="14"/>
              </w:rPr>
              <w:t>Meeting recordings</w:t>
            </w:r>
          </w:p>
        </w:tc>
        <w:tc>
          <w:tcPr>
            <w:tcW w:type="dxa" w:w="1872"/>
          </w:tcPr>
          <w:p>
            <w:r>
              <w:rPr>
                <w:sz w:val="14"/>
              </w:rPr>
              <w:t>Confidential — Comms</w:t>
            </w:r>
          </w:p>
        </w:tc>
        <w:tc>
          <w:tcPr>
            <w:tcW w:type="dxa" w:w="1872"/>
          </w:tcPr>
          <w:p>
            <w:r>
              <w:rPr>
                <w:sz w:val="14"/>
              </w:rPr>
              <w:t>ZoomMeeting</w:t>
            </w:r>
          </w:p>
        </w:tc>
        <w:tc>
          <w:tcPr>
            <w:tcW w:type="dxa" w:w="1872"/>
          </w:tcPr>
          <w:p>
            <w:r>
              <w:rPr>
                <w:sz w:val="14"/>
              </w:rPr>
              <w:t>90 days</w:t>
            </w:r>
          </w:p>
        </w:tc>
        <w:tc>
          <w:tcPr>
            <w:tcW w:type="dxa" w:w="1872"/>
          </w:tcPr>
          <w:p>
            <w:r>
              <w:rPr>
                <w:sz w:val="14"/>
              </w:rPr>
              <w:t>Auto-purge or integration disconnect</w:t>
            </w:r>
          </w:p>
        </w:tc>
      </w:tr>
      <w:tr>
        <w:tc>
          <w:tcPr>
            <w:tcW w:type="dxa" w:w="1872"/>
            <w:shd w:fill="F5F7FA" w:val="clear"/>
          </w:tcPr>
          <w:p>
            <w:r>
              <w:rPr>
                <w:sz w:val="14"/>
              </w:rPr>
              <w:t>OAuth tokens</w:t>
            </w:r>
          </w:p>
        </w:tc>
        <w:tc>
          <w:tcPr>
            <w:tcW w:type="dxa" w:w="1872"/>
            <w:shd w:fill="F5F7FA" w:val="clear"/>
          </w:tcPr>
          <w:p>
            <w:r>
              <w:rPr>
                <w:sz w:val="14"/>
              </w:rPr>
              <w:t>Restricted — Credentials</w:t>
            </w:r>
          </w:p>
        </w:tc>
        <w:tc>
          <w:tcPr>
            <w:tcW w:type="dxa" w:w="1872"/>
            <w:shd w:fill="F5F7FA" w:val="clear"/>
          </w:tcPr>
          <w:p>
            <w:r>
              <w:rPr>
                <w:sz w:val="14"/>
              </w:rPr>
              <w:t>User (token fields)</w:t>
            </w:r>
          </w:p>
        </w:tc>
        <w:tc>
          <w:tcPr>
            <w:tcW w:type="dxa" w:w="1872"/>
            <w:shd w:fill="F5F7FA" w:val="clear"/>
          </w:tcPr>
          <w:p>
            <w:r>
              <w:rPr>
                <w:sz w:val="14"/>
              </w:rPr>
              <w:t>Until disconnected</w:t>
            </w:r>
          </w:p>
        </w:tc>
        <w:tc>
          <w:tcPr>
            <w:tcW w:type="dxa" w:w="1872"/>
            <w:shd w:fill="F5F7FA" w:val="clear"/>
          </w:tcPr>
          <w:p>
            <w:r>
              <w:rPr>
                <w:sz w:val="14"/>
              </w:rPr>
              <w:t>Integration disconnect by user</w:t>
            </w:r>
          </w:p>
        </w:tc>
      </w:tr>
      <w:tr>
        <w:tc>
          <w:tcPr>
            <w:tcW w:type="dxa" w:w="1872"/>
          </w:tcPr>
          <w:p>
            <w:r>
              <w:rPr>
                <w:sz w:val="14"/>
              </w:rPr>
              <w:t>Audit logs</w:t>
            </w:r>
          </w:p>
        </w:tc>
        <w:tc>
          <w:tcPr>
            <w:tcW w:type="dxa" w:w="1872"/>
          </w:tcPr>
          <w:p>
            <w:r>
              <w:rPr>
                <w:sz w:val="14"/>
              </w:rPr>
              <w:t>Internal</w:t>
            </w:r>
          </w:p>
        </w:tc>
        <w:tc>
          <w:tcPr>
            <w:tcW w:type="dxa" w:w="1872"/>
          </w:tcPr>
          <w:p>
            <w:r>
              <w:rPr>
                <w:sz w:val="14"/>
              </w:rPr>
              <w:t>AuditLog</w:t>
            </w:r>
          </w:p>
        </w:tc>
        <w:tc>
          <w:tcPr>
            <w:tcW w:type="dxa" w:w="1872"/>
          </w:tcPr>
          <w:p>
            <w:r>
              <w:rPr>
                <w:sz w:val="14"/>
              </w:rPr>
              <w:t>1 year</w:t>
            </w:r>
          </w:p>
        </w:tc>
        <w:tc>
          <w:tcPr>
            <w:tcW w:type="dxa" w:w="1872"/>
          </w:tcPr>
          <w:p>
            <w:r>
              <w:rPr>
                <w:sz w:val="14"/>
              </w:rPr>
              <w:t>Auto-purge after retention period</w:t>
            </w:r>
          </w:p>
        </w:tc>
      </w:tr>
      <w:tr>
        <w:tc>
          <w:tcPr>
            <w:tcW w:type="dxa" w:w="1872"/>
            <w:shd w:fill="F5F7FA" w:val="clear"/>
          </w:tcPr>
          <w:p>
            <w:r>
              <w:rPr>
                <w:sz w:val="14"/>
              </w:rPr>
              <w:t>AI agent history</w:t>
            </w:r>
          </w:p>
        </w:tc>
        <w:tc>
          <w:tcPr>
            <w:tcW w:type="dxa" w:w="1872"/>
            <w:shd w:fill="F5F7FA" w:val="clear"/>
          </w:tcPr>
          <w:p>
            <w:r>
              <w:rPr>
                <w:sz w:val="14"/>
              </w:rPr>
              <w:t>Internal</w:t>
            </w:r>
          </w:p>
        </w:tc>
        <w:tc>
          <w:tcPr>
            <w:tcW w:type="dxa" w:w="1872"/>
            <w:shd w:fill="F5F7FA" w:val="clear"/>
          </w:tcPr>
          <w:p>
            <w:r>
              <w:rPr>
                <w:sz w:val="14"/>
              </w:rPr>
              <w:t>AgentAction, AgentExecution</w:t>
            </w:r>
          </w:p>
        </w:tc>
        <w:tc>
          <w:tcPr>
            <w:tcW w:type="dxa" w:w="1872"/>
            <w:shd w:fill="F5F7FA" w:val="clear"/>
          </w:tcPr>
          <w:p>
            <w:r>
              <w:rPr>
                <w:sz w:val="14"/>
              </w:rPr>
              <w:t>1 year</w:t>
            </w:r>
          </w:p>
        </w:tc>
        <w:tc>
          <w:tcPr>
            <w:tcW w:type="dxa" w:w="1872"/>
            <w:shd w:fill="F5F7FA" w:val="clear"/>
          </w:tcPr>
          <w:p>
            <w:r>
              <w:rPr>
                <w:sz w:val="14"/>
              </w:rPr>
              <w:t>Auto-purge after retention period</w:t>
            </w:r>
          </w:p>
        </w:tc>
      </w:tr>
      <w:tr>
        <w:tc>
          <w:tcPr>
            <w:tcW w:type="dxa" w:w="1872"/>
          </w:tcPr>
          <w:p>
            <w:r>
              <w:rPr>
                <w:sz w:val="14"/>
              </w:rPr>
              <w:t>Session data</w:t>
            </w:r>
          </w:p>
        </w:tc>
        <w:tc>
          <w:tcPr>
            <w:tcW w:type="dxa" w:w="1872"/>
          </w:tcPr>
          <w:p>
            <w:r>
              <w:rPr>
                <w:sz w:val="14"/>
              </w:rPr>
              <w:t>Internal</w:t>
            </w:r>
          </w:p>
        </w:tc>
        <w:tc>
          <w:tcPr>
            <w:tcW w:type="dxa" w:w="1872"/>
          </w:tcPr>
          <w:p>
            <w:r>
              <w:rPr>
                <w:sz w:val="14"/>
              </w:rPr>
              <w:t>JWT cookies</w:t>
            </w:r>
          </w:p>
        </w:tc>
        <w:tc>
          <w:tcPr>
            <w:tcW w:type="dxa" w:w="1872"/>
          </w:tcPr>
          <w:p>
            <w:r>
              <w:rPr>
                <w:sz w:val="14"/>
              </w:rPr>
              <w:t>Token expiration</w:t>
            </w:r>
          </w:p>
        </w:tc>
        <w:tc>
          <w:tcPr>
            <w:tcW w:type="dxa" w:w="1872"/>
          </w:tcPr>
          <w:p>
            <w:r>
              <w:rPr>
                <w:sz w:val="14"/>
              </w:rPr>
              <w:t>Auto-expire (short-lived access + refresh rotation)</w:t>
            </w:r>
          </w:p>
        </w:tc>
      </w:tr>
      <w:tr>
        <w:tc>
          <w:tcPr>
            <w:tcW w:type="dxa" w:w="1872"/>
            <w:shd w:fill="F5F7FA" w:val="clear"/>
          </w:tcPr>
          <w:p>
            <w:r>
              <w:rPr>
                <w:sz w:val="14"/>
              </w:rPr>
              <w:t>Database backups</w:t>
            </w:r>
          </w:p>
        </w:tc>
        <w:tc>
          <w:tcPr>
            <w:tcW w:type="dxa" w:w="1872"/>
            <w:shd w:fill="F5F7FA" w:val="clear"/>
          </w:tcPr>
          <w:p>
            <w:r>
              <w:rPr>
                <w:sz w:val="14"/>
              </w:rPr>
              <w:t>Restricted</w:t>
            </w:r>
          </w:p>
        </w:tc>
        <w:tc>
          <w:tcPr>
            <w:tcW w:type="dxa" w:w="1872"/>
            <w:shd w:fill="F5F7FA" w:val="clear"/>
          </w:tcPr>
          <w:p>
            <w:r>
              <w:rPr>
                <w:sz w:val="14"/>
              </w:rPr>
              <w:t>Render PITR + OneDrive exports</w:t>
            </w:r>
          </w:p>
        </w:tc>
        <w:tc>
          <w:tcPr>
            <w:tcW w:type="dxa" w:w="1872"/>
            <w:shd w:fill="F5F7FA" w:val="clear"/>
          </w:tcPr>
          <w:p>
            <w:r>
              <w:rPr>
                <w:sz w:val="14"/>
              </w:rPr>
              <w:t>PITR: 7 days. Exports: 90 days (quarterly permanent)</w:t>
            </w:r>
          </w:p>
        </w:tc>
        <w:tc>
          <w:tcPr>
            <w:tcW w:type="dxa" w:w="1872"/>
            <w:shd w:fill="F5F7FA" w:val="clear"/>
          </w:tcPr>
          <w:p>
            <w:r>
              <w:rPr>
                <w:sz w:val="14"/>
              </w:rPr>
              <w:t>Auto-expire (PITR) or manual cleanup (exports)</w:t>
            </w:r>
          </w:p>
        </w:tc>
      </w:tr>
    </w:tbl>
    <w:p>
      <w:pPr>
        <w:pStyle w:val="Heading1"/>
      </w:pPr>
      <w:r>
        <w:t>3. Deletion Procedures</w:t>
      </w:r>
    </w:p>
    <w:p>
      <w:pPr>
        <w:pStyle w:val="Heading2"/>
      </w:pPr>
      <w:r>
        <w:t>3.1 Organization Termination (Customer Offboarding)</w:t>
      </w:r>
    </w:p>
    <w:p>
      <w:r>
        <w:t>When a customer organization terminates their CCOPilot account:</w:t>
      </w:r>
    </w:p>
    <w:p>
      <w:pPr>
        <w:pStyle w:val="ListNumber"/>
      </w:pPr>
      <w:r>
        <w:t>Admin or Super Admin initiates account termination via the platform.</w:t>
      </w:r>
    </w:p>
    <w:p>
      <w:pPr>
        <w:pStyle w:val="ListNumber"/>
      </w:pPr>
      <w:r>
        <w:t>Customer is notified and given 30 days to export their data if needed.</w:t>
      </w:r>
    </w:p>
    <w:p>
      <w:pPr>
        <w:pStyle w:val="ListNumber"/>
      </w:pPr>
      <w:r>
        <w:t>After the 30-day grace period, all customer data is permanently deleted:</w:t>
      </w:r>
    </w:p>
    <w:p>
      <w:pPr>
        <w:pStyle w:val="ListBullet"/>
      </w:pPr>
      <w:r>
        <w:t>All Customer, Contact, Task, Note, Risk, HealthScore, SuccessPlan, CSQL, Review, and Activity records for the organization</w:t>
      </w:r>
    </w:p>
    <w:p>
      <w:pPr>
        <w:pStyle w:val="ListBullet"/>
      </w:pPr>
      <w:r>
        <w:t>All Agent actions, Call Prep sessions, and AI-generated content</w:t>
      </w:r>
    </w:p>
    <w:p>
      <w:pPr>
        <w:pStyle w:val="ListBullet"/>
      </w:pPr>
      <w:r>
        <w:t>All integration tokens (Gmail, Outlook, Zoom, Slack) for users in the organization</w:t>
      </w:r>
    </w:p>
    <w:p>
      <w:pPr>
        <w:pStyle w:val="ListBullet"/>
      </w:pPr>
      <w:r>
        <w:t>All user accounts in the organization</w:t>
      </w:r>
    </w:p>
    <w:p>
      <w:pPr>
        <w:pStyle w:val="ListNumber"/>
      </w:pPr>
      <w:r>
        <w:t>Audit logs for the organization are retained for 1 year per compliance requirements, then purged.</w:t>
      </w:r>
    </w:p>
    <w:p>
      <w:pPr>
        <w:pStyle w:val="ListNumber"/>
      </w:pPr>
      <w:r>
        <w:t>The deletion is logged in the platform audit trail.</w:t>
      </w:r>
    </w:p>
    <w:p>
      <w:pPr>
        <w:pStyle w:val="ListNumber"/>
      </w:pPr>
      <w:r>
        <w:t>A deletion confirmation is sent to the customer's last known contact email.</w:t>
      </w:r>
    </w:p>
    <w:p>
      <w:pPr>
        <w:pStyle w:val="Heading2"/>
      </w:pPr>
      <w:r>
        <w:t>3.2 Individual User Deletion (Data Subject Request)</w:t>
      </w:r>
    </w:p>
    <w:p>
      <w:r>
        <w:t>When an individual requests deletion of their personal data (GDPR Article 17, CCPA):</w:t>
      </w:r>
    </w:p>
    <w:p>
      <w:pPr>
        <w:pStyle w:val="ListNumber"/>
      </w:pPr>
      <w:r>
        <w:t>Verify the identity of the requesting individual.</w:t>
      </w:r>
    </w:p>
    <w:p>
      <w:pPr>
        <w:pStyle w:val="ListNumber"/>
      </w:pPr>
      <w:r>
        <w:t>Identify all records containing the individual's personal data (User record, Contact records, email addresses in activity logs).</w:t>
      </w:r>
    </w:p>
    <w:p>
      <w:pPr>
        <w:pStyle w:val="ListNumber"/>
      </w:pPr>
      <w:r>
        <w:t>Delete or anonymize the identified records within 30 days.</w:t>
      </w:r>
    </w:p>
    <w:p>
      <w:pPr>
        <w:pStyle w:val="ListNumber"/>
      </w:pPr>
      <w:r>
        <w:t>If the individual is a User (team member), deactivate their account and remove PII. Retain anonymized audit logs.</w:t>
      </w:r>
    </w:p>
    <w:p>
      <w:pPr>
        <w:pStyle w:val="ListNumber"/>
      </w:pPr>
      <w:r>
        <w:t>If the individual is a Contact (customer stakeholder), remove their Contact record and PII from associated records.</w:t>
      </w:r>
    </w:p>
    <w:p>
      <w:pPr>
        <w:pStyle w:val="ListNumber"/>
      </w:pPr>
      <w:r>
        <w:t>Confirm deletion to the requesting individual in writing.</w:t>
      </w:r>
    </w:p>
    <w:p>
      <w:pPr>
        <w:pStyle w:val="ListNumber"/>
      </w:pPr>
      <w:r>
        <w:t>Log the request and completion in the Data Subject Request Log (Section 5).</w:t>
      </w:r>
    </w:p>
    <w:p>
      <w:pPr>
        <w:pStyle w:val="Heading2"/>
      </w:pPr>
      <w:r>
        <w:t>3.3 Integration Disconnect</w:t>
      </w:r>
    </w:p>
    <w:p>
      <w:r>
        <w:t>When a user disconnects an integration (Gmail, Outlook, Zoom, Slack):</w:t>
      </w:r>
    </w:p>
    <w:p>
      <w:pPr>
        <w:pStyle w:val="ListNumber"/>
      </w:pPr>
      <w:r>
        <w:t>OAuth tokens for the integration are immediately deleted from the User record.</w:t>
      </w:r>
    </w:p>
    <w:p>
      <w:pPr>
        <w:pStyle w:val="ListNumber"/>
      </w:pPr>
      <w:r>
        <w:t>Cached email data (CachedEmail, EmailSentiment) is purged within 24 hours.</w:t>
      </w:r>
    </w:p>
    <w:p>
      <w:pPr>
        <w:pStyle w:val="ListNumber"/>
      </w:pPr>
      <w:r>
        <w:t>Calendar events and meeting data synced from the integration are retained (they are part of the customer record) but no new data is synced.</w:t>
      </w:r>
    </w:p>
    <w:p>
      <w:pPr>
        <w:pStyle w:val="ListNumber"/>
      </w:pPr>
      <w:r>
        <w:t>The user must re-authenticate to reconnect the integration.</w:t>
      </w:r>
    </w:p>
    <w:p>
      <w:pPr>
        <w:pStyle w:val="Heading2"/>
      </w:pPr>
      <w:r>
        <w:t>3.4 Automated Retention Enforcement</w:t>
      </w:r>
    </w:p>
    <w:p>
      <w:r>
        <w:t>The following automated processes enforce retention schedules:</w:t>
      </w:r>
    </w:p>
    <w:p>
      <w:pPr>
        <w:pStyle w:val="ListBullet"/>
      </w:pPr>
      <w:r>
        <w:t>Email cache purge: A scheduled job should purge CachedEmail records older than 90 days. (Status: NOT YET IMPLEMENTED — manual cleanup required until automated.)</w:t>
      </w:r>
    </w:p>
    <w:p>
      <w:pPr>
        <w:pStyle w:val="ListBullet"/>
      </w:pPr>
      <w:r>
        <w:t>Audit log purge: A scheduled job should purge AuditLog records older than 1 year. (Status: NOT YET IMPLEMENTED — logs currently retained indefinitely.)</w:t>
      </w:r>
    </w:p>
    <w:p>
      <w:pPr>
        <w:pStyle w:val="ListBullet"/>
      </w:pPr>
      <w:r>
        <w:t>Backup rotation: Weekly database exports older than 90 days are manually deleted from OneDrive during the monthly maintenance window, except quarterly snapshots which are retained permanently.</w:t>
      </w:r>
    </w:p>
    <w:p>
      <w:pPr>
        <w:pStyle w:val="Heading1"/>
      </w:pPr>
      <w:r>
        <w:t>4. Data Export (Portability)</w:t>
      </w:r>
    </w:p>
    <w:p>
      <w:r>
        <w:t>Customers and data subjects have the right to receive their data in a portable format:</w:t>
      </w:r>
    </w:p>
    <w:p>
      <w:pPr>
        <w:pStyle w:val="ListBullet"/>
      </w:pPr>
      <w:r>
        <w:t>Customer data export: Admin users can export customer records, contacts, tasks, notes, and health scores via the platform. (Status: Available through the API. Bulk export UI not yet built.)</w:t>
      </w:r>
    </w:p>
    <w:p>
      <w:pPr>
        <w:pStyle w:val="ListBullet"/>
      </w:pPr>
      <w:r>
        <w:t>Individual data export: Data subject access requests are fulfilled manually within 30 days. The platform operator queries the database for all records containing the individual's PII and provides the results in JSON or CSV format.</w:t>
      </w:r>
    </w:p>
    <w:p>
      <w:pPr>
        <w:pStyle w:val="Heading1"/>
      </w:pPr>
      <w:r>
        <w:t>5. Data Subject Request Log</w:t>
      </w:r>
    </w:p>
    <w:p>
      <w:r>
        <w:t>All data subject requests (access, deletion, portability) are tracked in this log. This log is retained as SOC 2 evidence.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0F3460" w:val="clear"/>
          </w:tcPr>
          <w:p>
            <w:r>
              <w:rPr>
                <w:b/>
                <w:color w:val="FFFFFF"/>
                <w:sz w:val="16"/>
              </w:rPr>
              <w:t>Date Received</w:t>
            </w:r>
          </w:p>
        </w:tc>
        <w:tc>
          <w:tcPr>
            <w:tcW w:type="dxa" w:w="1560"/>
            <w:shd w:fill="0F3460" w:val="clear"/>
          </w:tcPr>
          <w:p>
            <w:r>
              <w:rPr>
                <w:b/>
                <w:color w:val="FFFFFF"/>
                <w:sz w:val="16"/>
              </w:rPr>
              <w:t>Requestor</w:t>
            </w:r>
          </w:p>
        </w:tc>
        <w:tc>
          <w:tcPr>
            <w:tcW w:type="dxa" w:w="1560"/>
            <w:shd w:fill="0F3460" w:val="clear"/>
          </w:tcPr>
          <w:p>
            <w:r>
              <w:rPr>
                <w:b/>
                <w:color w:val="FFFFFF"/>
                <w:sz w:val="16"/>
              </w:rPr>
              <w:t>Request Type</w:t>
            </w:r>
          </w:p>
        </w:tc>
        <w:tc>
          <w:tcPr>
            <w:tcW w:type="dxa" w:w="1560"/>
            <w:shd w:fill="0F3460" w:val="clear"/>
          </w:tcPr>
          <w:p>
            <w:r>
              <w:rPr>
                <w:b/>
                <w:color w:val="FFFFFF"/>
                <w:sz w:val="16"/>
              </w:rPr>
              <w:t>Status</w:t>
            </w:r>
          </w:p>
        </w:tc>
        <w:tc>
          <w:tcPr>
            <w:tcW w:type="dxa" w:w="1560"/>
            <w:shd w:fill="0F3460" w:val="clear"/>
          </w:tcPr>
          <w:p>
            <w:r>
              <w:rPr>
                <w:b/>
                <w:color w:val="FFFFFF"/>
                <w:sz w:val="16"/>
              </w:rPr>
              <w:t>Completed Date</w:t>
            </w:r>
          </w:p>
        </w:tc>
        <w:tc>
          <w:tcPr>
            <w:tcW w:type="dxa" w:w="1560"/>
            <w:shd w:fill="0F3460" w:val="clear"/>
          </w:tcPr>
          <w:p>
            <w:r>
              <w:rPr>
                <w:b/>
                <w:color w:val="FFFFFF"/>
                <w:sz w:val="16"/>
              </w:rPr>
              <w:t>Notes</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
      <w:r>
        <w:t>Add a row for each data subject request received. Track through to completion within 30 days.</w:t>
      </w:r>
    </w:p>
    <w:p>
      <w:pPr>
        <w:pStyle w:val="Heading1"/>
      </w:pPr>
      <w:r>
        <w:t>6. Implementation Status</w:t>
      </w:r>
    </w:p>
    <w:p>
      <w:r>
        <w:t>The following table tracks the implementation status of automated retention enforcement:</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6"/>
              </w:rPr>
              <w:t>Capability</w:t>
            </w:r>
          </w:p>
        </w:tc>
        <w:tc>
          <w:tcPr>
            <w:tcW w:type="dxa" w:w="2340"/>
            <w:shd w:fill="0F3460" w:val="clear"/>
          </w:tcPr>
          <w:p>
            <w:r>
              <w:rPr>
                <w:b/>
                <w:color w:val="FFFFFF"/>
                <w:sz w:val="16"/>
              </w:rPr>
              <w:t>Status</w:t>
            </w:r>
          </w:p>
        </w:tc>
        <w:tc>
          <w:tcPr>
            <w:tcW w:type="dxa" w:w="2340"/>
            <w:shd w:fill="0F3460" w:val="clear"/>
          </w:tcPr>
          <w:p>
            <w:r>
              <w:rPr>
                <w:b/>
                <w:color w:val="FFFFFF"/>
                <w:sz w:val="16"/>
              </w:rPr>
              <w:t>Target Date</w:t>
            </w:r>
          </w:p>
        </w:tc>
        <w:tc>
          <w:tcPr>
            <w:tcW w:type="dxa" w:w="2340"/>
            <w:shd w:fill="0F3460" w:val="clear"/>
          </w:tcPr>
          <w:p>
            <w:r>
              <w:rPr>
                <w:b/>
                <w:color w:val="FFFFFF"/>
                <w:sz w:val="16"/>
              </w:rPr>
              <w:t>Notes</w:t>
            </w:r>
          </w:p>
        </w:tc>
      </w:tr>
      <w:tr>
        <w:tc>
          <w:tcPr>
            <w:tcW w:type="dxa" w:w="2340"/>
          </w:tcPr>
          <w:p>
            <w:r>
              <w:rPr>
                <w:sz w:val="16"/>
              </w:rPr>
              <w:t>Data retention schedule documented</w:t>
            </w:r>
          </w:p>
        </w:tc>
        <w:tc>
          <w:tcPr>
            <w:tcW w:type="dxa" w:w="2340"/>
          </w:tcPr>
          <w:p>
            <w:r>
              <w:rPr>
                <w:sz w:val="16"/>
              </w:rPr>
              <w:t>✅ Complete</w:t>
            </w:r>
          </w:p>
        </w:tc>
        <w:tc>
          <w:tcPr>
            <w:tcW w:type="dxa" w:w="2340"/>
          </w:tcPr>
          <w:p>
            <w:r>
              <w:rPr>
                <w:sz w:val="16"/>
              </w:rPr>
              <w:t>March 2026</w:t>
            </w:r>
          </w:p>
        </w:tc>
        <w:tc>
          <w:tcPr>
            <w:tcW w:type="dxa" w:w="2340"/>
          </w:tcPr>
          <w:p>
            <w:r>
              <w:rPr>
                <w:sz w:val="16"/>
              </w:rPr>
              <w:t>This document</w:t>
            </w:r>
          </w:p>
        </w:tc>
      </w:tr>
      <w:tr>
        <w:tc>
          <w:tcPr>
            <w:tcW w:type="dxa" w:w="2340"/>
          </w:tcPr>
          <w:p>
            <w:r>
              <w:rPr>
                <w:sz w:val="16"/>
              </w:rPr>
              <w:t>Deletion procedures documented</w:t>
            </w:r>
          </w:p>
        </w:tc>
        <w:tc>
          <w:tcPr>
            <w:tcW w:type="dxa" w:w="2340"/>
          </w:tcPr>
          <w:p>
            <w:r>
              <w:rPr>
                <w:sz w:val="16"/>
              </w:rPr>
              <w:t>✅ Complete</w:t>
            </w:r>
          </w:p>
        </w:tc>
        <w:tc>
          <w:tcPr>
            <w:tcW w:type="dxa" w:w="2340"/>
          </w:tcPr>
          <w:p>
            <w:r>
              <w:rPr>
                <w:sz w:val="16"/>
              </w:rPr>
              <w:t>March 2026</w:t>
            </w:r>
          </w:p>
        </w:tc>
        <w:tc>
          <w:tcPr>
            <w:tcW w:type="dxa" w:w="2340"/>
          </w:tcPr>
          <w:p>
            <w:r>
              <w:rPr>
                <w:sz w:val="16"/>
              </w:rPr>
              <w:t>This document</w:t>
            </w:r>
          </w:p>
        </w:tc>
      </w:tr>
      <w:tr>
        <w:tc>
          <w:tcPr>
            <w:tcW w:type="dxa" w:w="2340"/>
          </w:tcPr>
          <w:p>
            <w:r>
              <w:rPr>
                <w:sz w:val="16"/>
              </w:rPr>
              <w:t>Automated email cache purge (90-day)</w:t>
            </w:r>
          </w:p>
        </w:tc>
        <w:tc>
          <w:tcPr>
            <w:tcW w:type="dxa" w:w="2340"/>
          </w:tcPr>
          <w:p>
            <w:r>
              <w:rPr>
                <w:sz w:val="16"/>
              </w:rPr>
              <w:t>⬜ Not started</w:t>
            </w:r>
          </w:p>
        </w:tc>
        <w:tc>
          <w:tcPr>
            <w:tcW w:type="dxa" w:w="2340"/>
          </w:tcPr>
          <w:p>
            <w:r>
              <w:rPr>
                <w:sz w:val="16"/>
              </w:rPr>
              <w:t>Q2 2026</w:t>
            </w:r>
          </w:p>
        </w:tc>
        <w:tc>
          <w:tcPr>
            <w:tcW w:type="dxa" w:w="2340"/>
          </w:tcPr>
          <w:p>
            <w:r>
              <w:rPr>
                <w:sz w:val="16"/>
              </w:rPr>
              <w:t>Scheduled job needed</w:t>
            </w:r>
          </w:p>
        </w:tc>
      </w:tr>
      <w:tr>
        <w:tc>
          <w:tcPr>
            <w:tcW w:type="dxa" w:w="2340"/>
          </w:tcPr>
          <w:p>
            <w:r>
              <w:rPr>
                <w:sz w:val="16"/>
              </w:rPr>
              <w:t>Automated audit log purge (1-year)</w:t>
            </w:r>
          </w:p>
        </w:tc>
        <w:tc>
          <w:tcPr>
            <w:tcW w:type="dxa" w:w="2340"/>
          </w:tcPr>
          <w:p>
            <w:r>
              <w:rPr>
                <w:sz w:val="16"/>
              </w:rPr>
              <w:t>⬜ Not started</w:t>
            </w:r>
          </w:p>
        </w:tc>
        <w:tc>
          <w:tcPr>
            <w:tcW w:type="dxa" w:w="2340"/>
          </w:tcPr>
          <w:p>
            <w:r>
              <w:rPr>
                <w:sz w:val="16"/>
              </w:rPr>
              <w:t>Q2 2026</w:t>
            </w:r>
          </w:p>
        </w:tc>
        <w:tc>
          <w:tcPr>
            <w:tcW w:type="dxa" w:w="2340"/>
          </w:tcPr>
          <w:p>
            <w:r>
              <w:rPr>
                <w:sz w:val="16"/>
              </w:rPr>
              <w:t>Scheduled job needed</w:t>
            </w:r>
          </w:p>
        </w:tc>
      </w:tr>
    </w:tbl>
    <w:p/>
    <w:p>
      <w:pPr>
        <w:jc w:val="center"/>
      </w:pPr>
      <w:r>
        <w:rPr>
          <w:color w:val="4A5668"/>
          <w:sz w:val="16"/>
        </w:rPr>
        <w:t>Data Retention &amp; Deletion Procedures (PRO-DRD-001)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