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F3460"/>
          <w:sz w:val="48"/>
        </w:rPr>
        <w:t>CCOPilot.ai</w:t>
      </w:r>
    </w:p>
    <w:p>
      <w:pPr>
        <w:jc w:val="center"/>
      </w:pPr>
      <w:r>
        <w:rPr>
          <w:color w:val="4A5668"/>
          <w:sz w:val="32"/>
        </w:rPr>
        <w:t>Security Awareness Training Program</w:t>
      </w:r>
    </w:p>
    <w:p>
      <w:pPr>
        <w:jc w:val="center"/>
      </w:pPr>
      <w:r>
        <w:rPr>
          <w:color w:val="1687A7"/>
          <w:sz w:val="22"/>
        </w:rPr>
        <w:t>Policy ID: TRN-SAT-001</w:t>
      </w:r>
    </w:p>
    <w:p>
      <w:pPr>
        <w:jc w:val="center"/>
      </w:pPr>
      <w:r>
        <w:rPr>
          <w:color w:val="4A5668"/>
          <w:sz w:val="20"/>
        </w:rPr>
        <w:t>Version 1.0 | March 25, 2026</w:t>
      </w:r>
    </w:p>
    <w:p>
      <w:pPr>
        <w:jc w:val="center"/>
      </w:pPr>
      <w:r>
        <w:rPr>
          <w:b/>
          <w:color w:val="CC0000"/>
          <w:sz w:val="20"/>
        </w:rPr>
        <w:t>Classification: INTERNAL</w:t>
      </w:r>
    </w:p>
    <w:p/>
    <w:p/>
    <w:p/>
    <w:p/>
    <w:p>
      <w:pPr>
        <w:jc w:val="center"/>
      </w:pPr>
      <w:r>
        <w:rPr>
          <w:color w:val="4A5668"/>
          <w:sz w:val="18"/>
        </w:rPr>
        <w:t>CCO2go.ai | Powered by CCOPilot.ai</w:t>
      </w:r>
    </w:p>
    <w:p>
      <w:r>
        <w:br w:type="page"/>
      </w:r>
    </w:p>
    <w:p>
      <w:pPr>
        <w:pStyle w:val="Heading1"/>
      </w:pPr>
      <w:r>
        <w:t>Document Control</w:t>
      </w:r>
    </w:p>
    <w:tbl>
      <w:tblPr>
        <w:tblW w:type="auto" w:w="0"/>
        <w:tblLook w:firstColumn="1" w:firstRow="1" w:lastColumn="0" w:lastRow="0" w:noHBand="0" w:noVBand="1" w:val="04A0"/>
      </w:tblPr>
      <w:tblGrid>
        <w:gridCol w:w="4680"/>
        <w:gridCol w:w="4680"/>
      </w:tblGrid>
      <w:tr>
        <w:tc>
          <w:tcPr>
            <w:tcW w:type="dxa" w:w="4680"/>
            <w:shd w:fill="E8F4F8" w:val="clear"/>
          </w:tcPr>
          <w:p>
            <w:r>
              <w:rPr>
                <w:b/>
                <w:sz w:val="18"/>
              </w:rPr>
              <w:t>Policy ID</w:t>
            </w:r>
          </w:p>
        </w:tc>
        <w:tc>
          <w:tcPr>
            <w:tcW w:type="dxa" w:w="4680"/>
            <w:shd w:fill="E8F4F8" w:val="clear"/>
          </w:tcPr>
          <w:p>
            <w:r>
              <w:rPr>
                <w:sz w:val="18"/>
              </w:rPr>
              <w:t>TRN-SAT-001</w:t>
            </w:r>
          </w:p>
        </w:tc>
      </w:tr>
      <w:tr>
        <w:tc>
          <w:tcPr>
            <w:tcW w:type="dxa" w:w="4680"/>
          </w:tcPr>
          <w:p>
            <w:r>
              <w:rPr>
                <w:b/>
                <w:sz w:val="18"/>
              </w:rPr>
              <w:t>Policy Name</w:t>
            </w:r>
          </w:p>
        </w:tc>
        <w:tc>
          <w:tcPr>
            <w:tcW w:type="dxa" w:w="4680"/>
          </w:tcPr>
          <w:p>
            <w:r>
              <w:rPr>
                <w:sz w:val="18"/>
              </w:rPr>
              <w:t>Security Awareness Training Program</w:t>
            </w:r>
          </w:p>
        </w:tc>
      </w:tr>
      <w:tr>
        <w:tc>
          <w:tcPr>
            <w:tcW w:type="dxa" w:w="4680"/>
          </w:tcPr>
          <w:p>
            <w:r>
              <w:rPr>
                <w:b/>
                <w:sz w:val="18"/>
              </w:rPr>
              <w:t>Version</w:t>
            </w:r>
          </w:p>
        </w:tc>
        <w:tc>
          <w:tcPr>
            <w:tcW w:type="dxa" w:w="4680"/>
          </w:tcPr>
          <w:p>
            <w:r>
              <w:rPr>
                <w:sz w:val="18"/>
              </w:rPr>
              <w:t>1.0</w:t>
            </w:r>
          </w:p>
        </w:tc>
      </w:tr>
      <w:tr>
        <w:tc>
          <w:tcPr>
            <w:tcW w:type="dxa" w:w="4680"/>
          </w:tcPr>
          <w:p>
            <w:r>
              <w:rPr>
                <w:b/>
                <w:sz w:val="18"/>
              </w:rPr>
              <w:t>Effective Date</w:t>
            </w:r>
          </w:p>
        </w:tc>
        <w:tc>
          <w:tcPr>
            <w:tcW w:type="dxa" w:w="4680"/>
          </w:tcPr>
          <w:p>
            <w:r>
              <w:rPr>
                <w:sz w:val="18"/>
              </w:rPr>
              <w:t>March 25, 2026</w:t>
            </w:r>
          </w:p>
        </w:tc>
      </w:tr>
      <w:tr>
        <w:tc>
          <w:tcPr>
            <w:tcW w:type="dxa" w:w="4680"/>
          </w:tcPr>
          <w:p>
            <w:r>
              <w:rPr>
                <w:b/>
                <w:sz w:val="18"/>
              </w:rPr>
              <w:t>Last Review</w:t>
            </w:r>
          </w:p>
        </w:tc>
        <w:tc>
          <w:tcPr>
            <w:tcW w:type="dxa" w:w="4680"/>
          </w:tcPr>
          <w:p>
            <w:r>
              <w:rPr>
                <w:sz w:val="18"/>
              </w:rPr>
              <w:t>March 25, 2026</w:t>
            </w:r>
          </w:p>
        </w:tc>
      </w:tr>
      <w:tr>
        <w:tc>
          <w:tcPr>
            <w:tcW w:type="dxa" w:w="4680"/>
          </w:tcPr>
          <w:p>
            <w:r>
              <w:rPr>
                <w:b/>
                <w:sz w:val="18"/>
              </w:rPr>
              <w:t>Next Review</w:t>
            </w:r>
          </w:p>
        </w:tc>
        <w:tc>
          <w:tcPr>
            <w:tcW w:type="dxa" w:w="4680"/>
          </w:tcPr>
          <w:p>
            <w:r>
              <w:rPr>
                <w:sz w:val="18"/>
              </w:rPr>
              <w:t>June 25, 2026 (Quarterly)</w:t>
            </w:r>
          </w:p>
        </w:tc>
      </w:tr>
      <w:tr>
        <w:tc>
          <w:tcPr>
            <w:tcW w:type="dxa" w:w="4680"/>
          </w:tcPr>
          <w:p>
            <w:r>
              <w:rPr>
                <w:b/>
                <w:sz w:val="18"/>
              </w:rPr>
              <w:t>Owner</w:t>
            </w:r>
          </w:p>
        </w:tc>
        <w:tc>
          <w:tcPr>
            <w:tcW w:type="dxa" w:w="4680"/>
          </w:tcPr>
          <w:p>
            <w:r>
              <w:rPr>
                <w:sz w:val="18"/>
              </w:rPr>
              <w:t>Shane James, CEO</w:t>
            </w:r>
          </w:p>
        </w:tc>
      </w:tr>
      <w:tr>
        <w:tc>
          <w:tcPr>
            <w:tcW w:type="dxa" w:w="4680"/>
          </w:tcPr>
          <w:p>
            <w:r>
              <w:rPr>
                <w:b/>
                <w:sz w:val="18"/>
              </w:rPr>
              <w:t>Approved By</w:t>
            </w:r>
          </w:p>
        </w:tc>
        <w:tc>
          <w:tcPr>
            <w:tcW w:type="dxa" w:w="4680"/>
          </w:tcPr>
          <w:p>
            <w:r>
              <w:rPr>
                <w:sz w:val="18"/>
              </w:rPr>
              <w:t>_______________________ (Signature &amp; Date)</w:t>
            </w:r>
          </w:p>
        </w:tc>
      </w:tr>
    </w:tbl>
    <w:p/>
    <w:p>
      <w:pPr>
        <w:pStyle w:val="Heading2"/>
      </w:pPr>
      <w:r>
        <w:t>Revision History</w:t>
      </w:r>
    </w:p>
    <w:tbl>
      <w:tblPr>
        <w:tblW w:type="auto" w:w="0"/>
        <w:tblLook w:firstColumn="1" w:firstRow="1" w:lastColumn="0" w:lastRow="0" w:noHBand="0" w:noVBand="1" w:val="04A0"/>
      </w:tblPr>
      <w:tblGrid>
        <w:gridCol w:w="2340"/>
        <w:gridCol w:w="2340"/>
        <w:gridCol w:w="2340"/>
        <w:gridCol w:w="2340"/>
      </w:tblGrid>
      <w:tr>
        <w:tc>
          <w:tcPr>
            <w:tcW w:type="dxa" w:w="2340"/>
            <w:shd w:fill="0F3460" w:val="clear"/>
          </w:tcPr>
          <w:p>
            <w:r>
              <w:rPr>
                <w:b/>
                <w:color w:val="FFFFFF"/>
                <w:sz w:val="18"/>
              </w:rPr>
              <w:t>Version</w:t>
            </w:r>
          </w:p>
        </w:tc>
        <w:tc>
          <w:tcPr>
            <w:tcW w:type="dxa" w:w="2340"/>
            <w:shd w:fill="0F3460" w:val="clear"/>
          </w:tcPr>
          <w:p>
            <w:r>
              <w:rPr>
                <w:b/>
                <w:color w:val="FFFFFF"/>
                <w:sz w:val="18"/>
              </w:rPr>
              <w:t>Date</w:t>
            </w:r>
          </w:p>
        </w:tc>
        <w:tc>
          <w:tcPr>
            <w:tcW w:type="dxa" w:w="2340"/>
            <w:shd w:fill="0F3460" w:val="clear"/>
          </w:tcPr>
          <w:p>
            <w:r>
              <w:rPr>
                <w:b/>
                <w:color w:val="FFFFFF"/>
                <w:sz w:val="18"/>
              </w:rPr>
              <w:t>Author</w:t>
            </w:r>
          </w:p>
        </w:tc>
        <w:tc>
          <w:tcPr>
            <w:tcW w:type="dxa" w:w="2340"/>
            <w:shd w:fill="0F3460" w:val="clear"/>
          </w:tcPr>
          <w:p>
            <w:r>
              <w:rPr>
                <w:b/>
                <w:color w:val="FFFFFF"/>
                <w:sz w:val="18"/>
              </w:rPr>
              <w:t>Changes</w:t>
            </w:r>
          </w:p>
        </w:tc>
      </w:tr>
      <w:tr>
        <w:tc>
          <w:tcPr>
            <w:tcW w:type="dxa" w:w="2340"/>
          </w:tcPr>
          <w:p>
            <w:r>
              <w:rPr>
                <w:sz w:val="18"/>
              </w:rPr>
              <w:t>1.0</w:t>
            </w:r>
          </w:p>
        </w:tc>
        <w:tc>
          <w:tcPr>
            <w:tcW w:type="dxa" w:w="2340"/>
          </w:tcPr>
          <w:p>
            <w:r>
              <w:rPr>
                <w:sz w:val="18"/>
              </w:rPr>
              <w:t>March 25, 2026</w:t>
            </w:r>
          </w:p>
        </w:tc>
        <w:tc>
          <w:tcPr>
            <w:tcW w:type="dxa" w:w="2340"/>
          </w:tcPr>
          <w:p>
            <w:r>
              <w:rPr>
                <w:sz w:val="18"/>
              </w:rPr>
              <w:t>Shane James</w:t>
            </w:r>
          </w:p>
        </w:tc>
        <w:tc>
          <w:tcPr>
            <w:tcW w:type="dxa" w:w="2340"/>
          </w:tcPr>
          <w:p>
            <w:r>
              <w:rPr>
                <w:sz w:val="18"/>
              </w:rPr>
              <w:t>Initial policy creation</w:t>
            </w:r>
          </w:p>
        </w:tc>
      </w:tr>
    </w:tbl>
    <w:p/>
    <w:p>
      <w:pPr>
        <w:pStyle w:val="Heading1"/>
      </w:pPr>
      <w:r>
        <w:t>1. Purpose</w:t>
      </w:r>
    </w:p>
    <w:p>
      <w:r>
        <w:t>This document defines the security awareness training requirements for all personnel with access to CCOPilot.ai systems. It covers the topics that must be understood, the training schedule, and provides the training content itself. Completion of this training is required within 30 days of onboarding and annually thereafter. This program addresses SOC 2 finding ORG-004.</w:t>
      </w:r>
    </w:p>
    <w:p>
      <w:pPr>
        <w:pStyle w:val="Heading1"/>
      </w:pPr>
      <w:r>
        <w:t>2. Training Requirements</w:t>
      </w:r>
    </w:p>
    <w:p>
      <w:pPr>
        <w:pStyle w:val="ListBullet"/>
      </w:pPr>
      <w:r>
        <w:t>All personnel must complete this training within 30 days of receiving system access.</w:t>
      </w:r>
    </w:p>
    <w:p>
      <w:pPr>
        <w:pStyle w:val="ListBullet"/>
      </w:pPr>
      <w:r>
        <w:t>Annual refresher training is required. Next scheduled: March 2027.</w:t>
      </w:r>
    </w:p>
    <w:p>
      <w:pPr>
        <w:pStyle w:val="ListBullet"/>
      </w:pPr>
      <w:r>
        <w:t>Training completion must be documented in the Training Completion Log (Section 8).</w:t>
      </w:r>
    </w:p>
    <w:p>
      <w:pPr>
        <w:pStyle w:val="ListBullet"/>
      </w:pPr>
      <w:r>
        <w:t>Personnel who fail to complete training within the required window will have system access suspended until training is completed.</w:t>
      </w:r>
    </w:p>
    <w:p>
      <w:pPr>
        <w:pStyle w:val="Heading1"/>
      </w:pPr>
      <w:r>
        <w:t>3. Phishing and Social Engineering</w:t>
      </w:r>
    </w:p>
    <w:p>
      <w:r>
        <w:t>Phishing is the most common attack vector against SaaS companies. Attackers impersonate trusted services (Google, Render, Stripe, GitHub) to steal credentials or install malware.</w:t>
      </w:r>
    </w:p>
    <w:p>
      <w:pPr>
        <w:pStyle w:val="Heading2"/>
      </w:pPr>
      <w:r>
        <w:t>3.1 How to Identify Phishing</w:t>
      </w:r>
    </w:p>
    <w:p>
      <w:pPr>
        <w:pStyle w:val="ListBullet"/>
      </w:pPr>
      <w:r>
        <w:t>Check the sender email address carefully — not just the display name. "Render Support &lt;render-support@gmail.com&gt;" is fake.</w:t>
      </w:r>
    </w:p>
    <w:p>
      <w:pPr>
        <w:pStyle w:val="ListBullet"/>
      </w:pPr>
      <w:r>
        <w:t>Hover over links before clicking — does the URL match the expected domain?</w:t>
      </w:r>
    </w:p>
    <w:p>
      <w:pPr>
        <w:pStyle w:val="ListBullet"/>
      </w:pPr>
      <w:r>
        <w:t>Be suspicious of urgency — "Your account will be locked in 24 hours" is a common pressure tactic.</w:t>
      </w:r>
    </w:p>
    <w:p>
      <w:pPr>
        <w:pStyle w:val="ListBullet"/>
      </w:pPr>
      <w:r>
        <w:t>Never enter credentials on a page you reached from an email link. Navigate directly to the service instead.</w:t>
      </w:r>
    </w:p>
    <w:p>
      <w:pPr>
        <w:pStyle w:val="ListBullet"/>
      </w:pPr>
      <w:r>
        <w:t>Unexpected attachments from known contacts may indicate their account was compromised.</w:t>
      </w:r>
    </w:p>
    <w:p>
      <w:pPr>
        <w:pStyle w:val="Heading2"/>
      </w:pPr>
      <w:r>
        <w:t>3.2 What To Do If You Suspect Phishing</w:t>
      </w:r>
    </w:p>
    <w:p>
      <w:pPr>
        <w:pStyle w:val="ListNumber"/>
      </w:pPr>
      <w:r>
        <w:t>Do NOT click any links or open any attachments.</w:t>
      </w:r>
    </w:p>
    <w:p>
      <w:pPr>
        <w:pStyle w:val="ListNumber"/>
      </w:pPr>
      <w:r>
        <w:t>Report the email to the CEO (shane.james@cco2go.ai) immediately.</w:t>
      </w:r>
    </w:p>
    <w:p>
      <w:pPr>
        <w:pStyle w:val="ListNumber"/>
      </w:pPr>
      <w:r>
        <w:t>If you already clicked a link or entered credentials, report it immediately — do not wait. Change your password on the affected service right away.</w:t>
      </w:r>
    </w:p>
    <w:p>
      <w:pPr>
        <w:pStyle w:val="ListNumber"/>
      </w:pPr>
      <w:r>
        <w:t>Forward the suspicious email as an attachment (not inline) to preserve headers for analysis.</w:t>
      </w:r>
    </w:p>
    <w:p>
      <w:pPr>
        <w:pStyle w:val="Heading1"/>
      </w:pPr>
      <w:r>
        <w:t>4. Credential Hygiene</w:t>
      </w:r>
    </w:p>
    <w:p>
      <w:pPr>
        <w:pStyle w:val="Heading2"/>
      </w:pPr>
      <w:r>
        <w:t>4.1 Password Requirements</w:t>
      </w:r>
    </w:p>
    <w:p>
      <w:pPr>
        <w:pStyle w:val="ListBullet"/>
      </w:pPr>
      <w:r>
        <w:t>Use unique passwords for every service. Never reuse passwords across CCOPilot systems, Render, Doppler, GitHub, or personal accounts.</w:t>
      </w:r>
    </w:p>
    <w:p>
      <w:pPr>
        <w:pStyle w:val="ListBullet"/>
      </w:pPr>
      <w:r>
        <w:t>Use a password manager (1Password, Bitwarden, or similar) to generate and store strong, unique passwords.</w:t>
      </w:r>
    </w:p>
    <w:p>
      <w:pPr>
        <w:pStyle w:val="ListBullet"/>
      </w:pPr>
      <w:r>
        <w:t>Minimum 12 characters for infrastructure accounts (Render, Doppler, GitHub).</w:t>
      </w:r>
    </w:p>
    <w:p>
      <w:pPr>
        <w:pStyle w:val="ListBullet"/>
      </w:pPr>
      <w:r>
        <w:t>Enable multi-factor authentication (MFA) on all accounts that support it — especially Render, Doppler, GitHub, Google, and Microsoft.</w:t>
      </w:r>
    </w:p>
    <w:p>
      <w:pPr>
        <w:pStyle w:val="Heading2"/>
      </w:pPr>
      <w:r>
        <w:t>4.2 Things You Must Never Do</w:t>
      </w:r>
    </w:p>
    <w:p>
      <w:pPr>
        <w:pStyle w:val="ListBullet"/>
      </w:pPr>
      <w:r>
        <w:t>Never share passwords, API keys, or access tokens via email, Slack, text, or any messaging platform.</w:t>
      </w:r>
    </w:p>
    <w:p>
      <w:pPr>
        <w:pStyle w:val="ListBullet"/>
      </w:pPr>
      <w:r>
        <w:t>Never store credentials in source code, documents, notes, or browser autofill.</w:t>
      </w:r>
    </w:p>
    <w:p>
      <w:pPr>
        <w:pStyle w:val="ListBullet"/>
      </w:pPr>
      <w:r>
        <w:t>Never use "Remember me" on shared or public computers.</w:t>
      </w:r>
    </w:p>
    <w:p>
      <w:pPr>
        <w:pStyle w:val="ListBullet"/>
      </w:pPr>
      <w:r>
        <w:t>Never write passwords on paper or sticky notes.</w:t>
      </w:r>
    </w:p>
    <w:p>
      <w:pPr>
        <w:pStyle w:val="ListBullet"/>
      </w:pPr>
      <w:r>
        <w:t>If you suspect a credential has been compromised, rotate it immediately via Doppler and notify the CEO.</w:t>
      </w:r>
    </w:p>
    <w:p>
      <w:pPr>
        <w:pStyle w:val="Heading1"/>
      </w:pPr>
      <w:r>
        <w:t>5. Secure Coding Practices (For Developers)</w:t>
      </w:r>
    </w:p>
    <w:p>
      <w:pPr>
        <w:pStyle w:val="Heading2"/>
      </w:pPr>
      <w:r>
        <w:t>5.1 Data Access</w:t>
      </w:r>
    </w:p>
    <w:p>
      <w:pPr>
        <w:pStyle w:val="ListBullet"/>
      </w:pPr>
      <w:r>
        <w:t>Every database query MUST be scoped to the current tenant (teamId). The tenant isolation middleware enforces this, but never bypass it.</w:t>
      </w:r>
    </w:p>
    <w:p>
      <w:pPr>
        <w:pStyle w:val="ListBullet"/>
      </w:pPr>
      <w:r>
        <w:t>Use Prisma ORM for all database access — never write raw SQL unless absolutely necessary and approved.</w:t>
      </w:r>
    </w:p>
    <w:p>
      <w:pPr>
        <w:pStyle w:val="ListBullet"/>
      </w:pPr>
      <w:r>
        <w:t>Never log sensitive data (passwords, tokens, API keys, PII) to console or application logs.</w:t>
      </w:r>
    </w:p>
    <w:p>
      <w:pPr>
        <w:pStyle w:val="Heading2"/>
      </w:pPr>
      <w:r>
        <w:t>5.2 Authentication and Authorization</w:t>
      </w:r>
    </w:p>
    <w:p>
      <w:pPr>
        <w:pStyle w:val="ListBullet"/>
      </w:pPr>
      <w:r>
        <w:t>Authentication tokens are stored in httpOnly cookies. Never access or manipulate tokens in client-side JavaScript.</w:t>
      </w:r>
    </w:p>
    <w:p>
      <w:pPr>
        <w:pStyle w:val="ListBullet"/>
      </w:pPr>
      <w:r>
        <w:t>Always check user role before performing admin operations. Never trust client-side role checks alone.</w:t>
      </w:r>
    </w:p>
    <w:p>
      <w:pPr>
        <w:pStyle w:val="ListBullet"/>
      </w:pPr>
      <w:r>
        <w:t>CSRF protection is enforced on all state-changing requests. Do not disable or bypass it.</w:t>
      </w:r>
    </w:p>
    <w:p>
      <w:pPr>
        <w:pStyle w:val="Heading2"/>
      </w:pPr>
      <w:r>
        <w:t>5.3 Dependencies</w:t>
      </w:r>
    </w:p>
    <w:p>
      <w:pPr>
        <w:pStyle w:val="ListBullet"/>
      </w:pPr>
      <w:r>
        <w:t>Review Dependabot alerts promptly. Critical vulnerability alerts should be addressed within 48 hours.</w:t>
      </w:r>
    </w:p>
    <w:p>
      <w:pPr>
        <w:pStyle w:val="ListBullet"/>
      </w:pPr>
      <w:r>
        <w:t>Do not add new dependencies without evaluating their security posture (check npm audit, GitHub stars, maintenance status).</w:t>
      </w:r>
    </w:p>
    <w:p>
      <w:pPr>
        <w:pStyle w:val="ListBullet"/>
      </w:pPr>
      <w:r>
        <w:t>Keep dependencies up to date. Outdated packages are a primary attack vector.</w:t>
      </w:r>
    </w:p>
    <w:p>
      <w:pPr>
        <w:pStyle w:val="Heading2"/>
      </w:pPr>
      <w:r>
        <w:t>5.4 Change Management</w:t>
      </w:r>
    </w:p>
    <w:p>
      <w:pPr>
        <w:pStyle w:val="ListBullet"/>
      </w:pPr>
      <w:r>
        <w:t>Follow the Change Management Policy (POL-CMP-003) for all production changes.</w:t>
      </w:r>
    </w:p>
    <w:p>
      <w:pPr>
        <w:pStyle w:val="ListBullet"/>
      </w:pPr>
      <w:r>
        <w:t>Test changes before deploying to production. Use Render rollback if a deployment causes issues.</w:t>
      </w:r>
    </w:p>
    <w:p>
      <w:pPr>
        <w:pStyle w:val="ListBullet"/>
      </w:pPr>
      <w:r>
        <w:t>Tag stable releases in GitHub so you always have a known-good restoration point.</w:t>
      </w:r>
    </w:p>
    <w:p>
      <w:pPr>
        <w:pStyle w:val="Heading1"/>
      </w:pPr>
      <w:r>
        <w:t>6. Incident Reporting</w:t>
      </w:r>
    </w:p>
    <w:p>
      <w:r>
        <w:t>Every team member is responsible for reporting security incidents. There is no penalty for good-faith reporting of suspected incidents — even if it turns out to be a false alarm.</w:t>
      </w:r>
    </w:p>
    <w:p>
      <w:pPr>
        <w:pStyle w:val="Heading2"/>
      </w:pPr>
      <w:r>
        <w:t>6.1 What To Report</w:t>
      </w:r>
    </w:p>
    <w:p>
      <w:pPr>
        <w:pStyle w:val="ListBullet"/>
      </w:pPr>
      <w:r>
        <w:t>Suspected phishing emails or social engineering attempts</w:t>
      </w:r>
    </w:p>
    <w:p>
      <w:pPr>
        <w:pStyle w:val="ListBullet"/>
      </w:pPr>
      <w:r>
        <w:t>Unusual system behavior (unexpected errors, strange data, unauthorized changes)</w:t>
      </w:r>
    </w:p>
    <w:p>
      <w:pPr>
        <w:pStyle w:val="ListBullet"/>
      </w:pPr>
      <w:r>
        <w:t>Lost or stolen devices that had access to CCOPilot systems</w:t>
      </w:r>
    </w:p>
    <w:p>
      <w:pPr>
        <w:pStyle w:val="ListBullet"/>
      </w:pPr>
      <w:r>
        <w:t>Suspected unauthorized access to customer data</w:t>
      </w:r>
    </w:p>
    <w:p>
      <w:pPr>
        <w:pStyle w:val="ListBullet"/>
      </w:pPr>
      <w:r>
        <w:t>Any situation where you think data may have been exposed or compromised</w:t>
      </w:r>
    </w:p>
    <w:p>
      <w:pPr>
        <w:pStyle w:val="ListBullet"/>
      </w:pPr>
      <w:r>
        <w:t>Violations of security policies by any team member (including yourself)</w:t>
      </w:r>
    </w:p>
    <w:p>
      <w:pPr>
        <w:pStyle w:val="Heading2"/>
      </w:pPr>
      <w:r>
        <w:t>6.2 How To Report</w:t>
      </w:r>
    </w:p>
    <w:p>
      <w:pPr>
        <w:pStyle w:val="ListNumber"/>
      </w:pPr>
      <w:r>
        <w:t>Email shane.james@cco2go.ai immediately with subject line: "SECURITY INCIDENT — [brief description]"</w:t>
      </w:r>
    </w:p>
    <w:p>
      <w:pPr>
        <w:pStyle w:val="ListNumber"/>
      </w:pPr>
      <w:r>
        <w:t>Call (813) 666-8427 if the incident is urgent (suspected active breach, data exfiltration)</w:t>
      </w:r>
    </w:p>
    <w:p>
      <w:pPr>
        <w:pStyle w:val="ListNumber"/>
      </w:pPr>
      <w:r>
        <w:t>Do NOT attempt to investigate or fix the issue yourself unless instructed — you may destroy evidence</w:t>
      </w:r>
    </w:p>
    <w:p>
      <w:pPr>
        <w:pStyle w:val="ListNumber"/>
      </w:pPr>
      <w:r>
        <w:t>Document what you observed: what happened, when, what systems were affected, and any actions you took</w:t>
      </w:r>
    </w:p>
    <w:p>
      <w:pPr>
        <w:pStyle w:val="Heading1"/>
      </w:pPr>
      <w:r>
        <w:t>7. Data Handling Responsibilities</w:t>
      </w:r>
    </w:p>
    <w:p>
      <w:pPr>
        <w:pStyle w:val="Heading2"/>
      </w:pPr>
      <w:r>
        <w:t>7.1 Customer Data</w:t>
      </w:r>
    </w:p>
    <w:p>
      <w:pPr>
        <w:pStyle w:val="ListBullet"/>
      </w:pPr>
      <w:r>
        <w:t>Customer data is classified as Confidential or Restricted per the Data Classification Policy (POL-DCH-007).</w:t>
      </w:r>
    </w:p>
    <w:p>
      <w:pPr>
        <w:pStyle w:val="ListBullet"/>
      </w:pPr>
      <w:r>
        <w:t>Access customer data only when you have a legitimate business need.</w:t>
      </w:r>
    </w:p>
    <w:p>
      <w:pPr>
        <w:pStyle w:val="ListBullet"/>
      </w:pPr>
      <w:r>
        <w:t>Never copy customer data to personal devices, personal cloud storage, or unauthorized systems.</w:t>
      </w:r>
    </w:p>
    <w:p>
      <w:pPr>
        <w:pStyle w:val="ListBullet"/>
      </w:pPr>
      <w:r>
        <w:t>Never share customer data with anyone outside the organization without explicit authorization.</w:t>
      </w:r>
    </w:p>
    <w:p>
      <w:pPr>
        <w:pStyle w:val="ListBullet"/>
      </w:pPr>
      <w:r>
        <w:t>When discussing customer data in meetings or messages, use the minimum information necessary.</w:t>
      </w:r>
    </w:p>
    <w:p>
      <w:pPr>
        <w:pStyle w:val="Heading2"/>
      </w:pPr>
      <w:r>
        <w:t>7.2 AI and Customer Data</w:t>
      </w:r>
    </w:p>
    <w:p>
      <w:pPr>
        <w:pStyle w:val="ListBullet"/>
      </w:pPr>
      <w:r>
        <w:t>All AI agent actions that affect customers require human approval through the Agent Queue.</w:t>
      </w:r>
    </w:p>
    <w:p>
      <w:pPr>
        <w:pStyle w:val="ListBullet"/>
      </w:pPr>
      <w:r>
        <w:t>Never disable the Agent Queue approval workflow.</w:t>
      </w:r>
    </w:p>
    <w:p>
      <w:pPr>
        <w:pStyle w:val="ListBullet"/>
      </w:pPr>
      <w:r>
        <w:t>Never use customer data to train external AI models without explicit customer consent.</w:t>
      </w:r>
    </w:p>
    <w:p>
      <w:pPr>
        <w:pStyle w:val="ListBullet"/>
      </w:pPr>
      <w:r>
        <w:t>AI-generated content (emails, briefings, reviews) must be reviewed by a human before being sent to customers.</w:t>
      </w:r>
    </w:p>
    <w:p>
      <w:pPr>
        <w:pStyle w:val="Heading2"/>
      </w:pPr>
      <w:r>
        <w:t>7.3 Personal Devices</w:t>
      </w:r>
    </w:p>
    <w:p>
      <w:pPr>
        <w:pStyle w:val="ListBullet"/>
      </w:pPr>
      <w:r>
        <w:t>If you access CCOPilot systems from a personal device, it must have: screen lock with PIN/password/biometric, encrypted storage (FileVault or BitLocker), and up-to-date OS and security patches.</w:t>
      </w:r>
    </w:p>
    <w:p>
      <w:pPr>
        <w:pStyle w:val="ListBullet"/>
      </w:pPr>
      <w:r>
        <w:t>Do not access production systems on public Wi-Fi without a VPN.</w:t>
      </w:r>
    </w:p>
    <w:p>
      <w:pPr>
        <w:pStyle w:val="ListBullet"/>
      </w:pPr>
      <w:r>
        <w:t>If a personal device with CCOPilot access is lost or stolen, report it immediately.</w:t>
      </w:r>
    </w:p>
    <w:p>
      <w:pPr>
        <w:pStyle w:val="Heading1"/>
      </w:pPr>
      <w:r>
        <w:t>8. Training Completion Log</w:t>
      </w:r>
    </w:p>
    <w:p>
      <w:r>
        <w:t>All personnel must sign below upon completing this training. This log is retained as SOC 2 evidence.</w:t>
      </w:r>
    </w:p>
    <w:tbl>
      <w:tblPr>
        <w:tblW w:type="auto" w:w="0"/>
        <w:tblLook w:firstColumn="1" w:firstRow="1" w:lastColumn="0" w:lastRow="0" w:noHBand="0" w:noVBand="1" w:val="04A0"/>
      </w:tblPr>
      <w:tblGrid>
        <w:gridCol w:w="2340"/>
        <w:gridCol w:w="2340"/>
        <w:gridCol w:w="2340"/>
        <w:gridCol w:w="2340"/>
      </w:tblGrid>
      <w:tr>
        <w:tc>
          <w:tcPr>
            <w:tcW w:type="dxa" w:w="2340"/>
            <w:shd w:fill="0F3460" w:val="clear"/>
          </w:tcPr>
          <w:p>
            <w:r>
              <w:rPr>
                <w:b/>
                <w:color w:val="FFFFFF"/>
                <w:sz w:val="18"/>
              </w:rPr>
              <w:t>Name</w:t>
            </w:r>
          </w:p>
        </w:tc>
        <w:tc>
          <w:tcPr>
            <w:tcW w:type="dxa" w:w="2340"/>
            <w:shd w:fill="0F3460" w:val="clear"/>
          </w:tcPr>
          <w:p>
            <w:r>
              <w:rPr>
                <w:b/>
                <w:color w:val="FFFFFF"/>
                <w:sz w:val="18"/>
              </w:rPr>
              <w:t>Role</w:t>
            </w:r>
          </w:p>
        </w:tc>
        <w:tc>
          <w:tcPr>
            <w:tcW w:type="dxa" w:w="2340"/>
            <w:shd w:fill="0F3460" w:val="clear"/>
          </w:tcPr>
          <w:p>
            <w:r>
              <w:rPr>
                <w:b/>
                <w:color w:val="FFFFFF"/>
                <w:sz w:val="18"/>
              </w:rPr>
              <w:t>Date Completed</w:t>
            </w:r>
          </w:p>
        </w:tc>
        <w:tc>
          <w:tcPr>
            <w:tcW w:type="dxa" w:w="2340"/>
            <w:shd w:fill="0F3460" w:val="clear"/>
          </w:tcPr>
          <w:p>
            <w:r>
              <w:rPr>
                <w:b/>
                <w:color w:val="FFFFFF"/>
                <w:sz w:val="18"/>
              </w:rPr>
              <w:t>Signature</w:t>
            </w:r>
          </w:p>
        </w:tc>
      </w:tr>
      <w:tr>
        <w:tc>
          <w:tcPr>
            <w:tcW w:type="dxa" w:w="2340"/>
          </w:tcPr>
          <w:p>
            <w:r>
              <w:rPr>
                <w:sz w:val="18"/>
              </w:rPr>
              <w:t>Shane James</w:t>
            </w:r>
          </w:p>
        </w:tc>
        <w:tc>
          <w:tcPr>
            <w:tcW w:type="dxa" w:w="2340"/>
          </w:tcPr>
          <w:p>
            <w:r>
              <w:rPr>
                <w:sz w:val="18"/>
              </w:rPr>
              <w:t>CEO / Platform Operator</w:t>
            </w:r>
          </w:p>
        </w:tc>
        <w:tc>
          <w:tcPr>
            <w:tcW w:type="dxa" w:w="2340"/>
          </w:tcPr>
          <w:p>
            <w:r>
              <w:rPr>
                <w:sz w:val="18"/>
              </w:rPr>
              <w:t>March 25, 2026</w:t>
            </w:r>
          </w:p>
        </w:tc>
        <w:tc>
          <w:tcPr>
            <w:tcW w:type="dxa" w:w="2340"/>
          </w:tcPr>
          <w:p>
            <w:r>
              <w:rPr>
                <w:sz w:val="18"/>
              </w:rPr>
              <w:t>________________________</w:t>
            </w:r>
          </w:p>
        </w:tc>
      </w:tr>
      <w:tr>
        <w:tc>
          <w:tcPr>
            <w:tcW w:type="dxa" w:w="2340"/>
          </w:tcPr>
          <w:p>
            <w:r/>
          </w:p>
        </w:tc>
        <w:tc>
          <w:tcPr>
            <w:tcW w:type="dxa" w:w="2340"/>
          </w:tcPr>
          <w:p>
            <w:r/>
          </w:p>
        </w:tc>
        <w:tc>
          <w:tcPr>
            <w:tcW w:type="dxa" w:w="2340"/>
          </w:tcPr>
          <w:p>
            <w:r/>
          </w:p>
        </w:tc>
        <w:tc>
          <w:tcPr>
            <w:tcW w:type="dxa" w:w="2340"/>
          </w:tcPr>
          <w:p>
            <w:r/>
          </w:p>
        </w:tc>
      </w:tr>
      <w:tr>
        <w:tc>
          <w:tcPr>
            <w:tcW w:type="dxa" w:w="2340"/>
          </w:tcPr>
          <w:p>
            <w:r/>
          </w:p>
        </w:tc>
        <w:tc>
          <w:tcPr>
            <w:tcW w:type="dxa" w:w="2340"/>
          </w:tcPr>
          <w:p>
            <w:r/>
          </w:p>
        </w:tc>
        <w:tc>
          <w:tcPr>
            <w:tcW w:type="dxa" w:w="2340"/>
          </w:tcPr>
          <w:p>
            <w:r/>
          </w:p>
        </w:tc>
        <w:tc>
          <w:tcPr>
            <w:tcW w:type="dxa" w:w="2340"/>
          </w:tcPr>
          <w:p>
            <w:r/>
          </w:p>
        </w:tc>
      </w:tr>
      <w:tr>
        <w:tc>
          <w:tcPr>
            <w:tcW w:type="dxa" w:w="2340"/>
          </w:tcPr>
          <w:p>
            <w:r/>
          </w:p>
        </w:tc>
        <w:tc>
          <w:tcPr>
            <w:tcW w:type="dxa" w:w="2340"/>
          </w:tcPr>
          <w:p>
            <w:r/>
          </w:p>
        </w:tc>
        <w:tc>
          <w:tcPr>
            <w:tcW w:type="dxa" w:w="2340"/>
          </w:tcPr>
          <w:p>
            <w:r/>
          </w:p>
        </w:tc>
        <w:tc>
          <w:tcPr>
            <w:tcW w:type="dxa" w:w="2340"/>
          </w:tcPr>
          <w:p>
            <w:r/>
          </w:p>
        </w:tc>
      </w:tr>
      <w:tr>
        <w:tc>
          <w:tcPr>
            <w:tcW w:type="dxa" w:w="2340"/>
          </w:tcPr>
          <w:p>
            <w:r/>
          </w:p>
        </w:tc>
        <w:tc>
          <w:tcPr>
            <w:tcW w:type="dxa" w:w="2340"/>
          </w:tcPr>
          <w:p>
            <w:r/>
          </w:p>
        </w:tc>
        <w:tc>
          <w:tcPr>
            <w:tcW w:type="dxa" w:w="2340"/>
          </w:tcPr>
          <w:p>
            <w:r/>
          </w:p>
        </w:tc>
        <w:tc>
          <w:tcPr>
            <w:tcW w:type="dxa" w:w="2340"/>
          </w:tcPr>
          <w:p>
            <w:r/>
          </w:p>
        </w:tc>
      </w:tr>
    </w:tbl>
    <w:p/>
    <w:p>
      <w:r>
        <w:t>Annual Refresher Schedule:</w:t>
      </w:r>
    </w:p>
    <w:p>
      <w:pPr>
        <w:pStyle w:val="ListBullet"/>
      </w:pPr>
      <w:r>
        <w:t>Next refresher due: March 2027</w:t>
      </w:r>
    </w:p>
    <w:p>
      <w:pPr>
        <w:pStyle w:val="ListBullet"/>
      </w:pPr>
      <w:r>
        <w:t>Refresher covers: updated threats, policy changes, lessons learned from any incidents</w:t>
      </w:r>
    </w:p>
    <w:p>
      <w:pPr>
        <w:pStyle w:val="ListBullet"/>
      </w:pPr>
      <w:r>
        <w:t>Add new rows to this log for each annual completion</w:t>
      </w:r>
    </w:p>
    <w:p/>
    <w:p>
      <w:pPr>
        <w:jc w:val="center"/>
      </w:pPr>
      <w:r>
        <w:rPr>
          <w:color w:val="4A5668"/>
          <w:sz w:val="16"/>
        </w:rPr>
        <w:t>Security Awareness Training Program (TRN-SAT-001) v1.0</w:t>
        <w:br/>
        <w:t>© 2026 CCO2go.ai | CCOPilot.ai</w:t>
        <w:br/>
        <w:t>shane.james@cco2go.ai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0F346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1687A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