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a6cd0"/>
          <w:sz w:val="56"/>
          <w:szCs w:val="56"/>
        </w:rPr>
        <w:t xml:space="preserve">CCO2go.ai</w:t>
      </w:r>
    </w:p>
    <w:p>
      <w:pPr>
        <w:pBdr>
          <w:bottom w:val="single" w:color="1a6cd0" w:sz="8" w:space="6"/>
        </w:pBdr>
        <w:spacing w:before="0" w:after="160"/>
      </w:pPr>
      <w:r>
        <w:rPr>
          <w:rFonts w:ascii="Arial" w:cs="Arial" w:eastAsia="Arial" w:hAnsi="Arial"/>
          <w:b/>
          <w:bCs/>
          <w:color w:val="1a1a2e"/>
          <w:sz w:val="32"/>
          <w:szCs w:val="32"/>
        </w:rPr>
        <w:t xml:space="preserve">STATEMENT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1a6cd0"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SOW Number</w:t>
            </w:r>
          </w:p>
        </w:tc>
        <w:tc>
          <w:tcPr>
            <w:tcW w:type="dxa" w:w="2340"/>
            <w:tcBorders>
              <w:top w:val="single" w:color="e2e8f0" w:sz="1"/>
              <w:left w:val="single" w:color="e2e8f0" w:sz="1"/>
              <w:bottom w:val="single" w:color="e2e8f0" w:sz="1"/>
              <w:right w:val="single" w:color="e2e8f0" w:sz="1"/>
            </w:tcBorders>
            <w:shd w:fill="1a6cd0"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Effective Date</w:t>
            </w:r>
          </w:p>
        </w:tc>
        <w:tc>
          <w:tcPr>
            <w:tcW w:type="dxa" w:w="2340"/>
            <w:tcBorders>
              <w:top w:val="single" w:color="e2e8f0" w:sz="1"/>
              <w:left w:val="single" w:color="e2e8f0" w:sz="1"/>
              <w:bottom w:val="single" w:color="e2e8f0" w:sz="1"/>
              <w:right w:val="single" w:color="e2e8f0" w:sz="1"/>
            </w:tcBorders>
            <w:shd w:fill="1a6cd0"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Package Tier</w:t>
            </w:r>
          </w:p>
        </w:tc>
        <w:tc>
          <w:tcPr>
            <w:tcW w:type="dxa" w:w="2340"/>
            <w:tcBorders>
              <w:top w:val="single" w:color="e2e8f0" w:sz="1"/>
              <w:left w:val="single" w:color="e2e8f0" w:sz="1"/>
              <w:bottom w:val="single" w:color="e2e8f0" w:sz="1"/>
              <w:right w:val="single" w:color="e2e8f0" w:sz="1"/>
            </w:tcBorders>
            <w:shd w:fill="1a6cd0"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Prepared By</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20"/>
                <w:szCs w:val="20"/>
              </w:rPr>
              <w:t xml:space="preserve">SOW-________</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20"/>
                <w:szCs w:val="20"/>
              </w:rPr>
              <w:t xml:space="preserve">________________</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20"/>
                <w:szCs w:val="20"/>
              </w:rPr>
              <w:t xml:space="preserve">☐ Platform  ☐ Accelerator  ☐ Full Stack</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20"/>
                <w:szCs w:val="20"/>
              </w:rPr>
              <w:t xml:space="preserve">Shane James / CCO2go.ai</w:t>
            </w:r>
          </w:p>
        </w:tc>
      </w:tr>
    </w:tbl>
    <w:p>
      <w:pPr>
        <w:spacing w:before="40" w:after="40"/>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a6cd0"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Client</w:t>
            </w:r>
          </w:p>
        </w:tc>
        <w:tc>
          <w:tcPr>
            <w:tcW w:type="dxa" w:w="4680"/>
            <w:tcBorders>
              <w:top w:val="single" w:color="e2e8f0" w:sz="1"/>
              <w:left w:val="single" w:color="e2e8f0" w:sz="1"/>
              <w:bottom w:val="single" w:color="e2e8f0" w:sz="1"/>
              <w:right w:val="single" w:color="e2e8f0" w:sz="1"/>
            </w:tcBorders>
            <w:shd w:fill="1a6cd0"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Consultant</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80"/>
            </w:pPr>
            <w:r>
              <w:rPr>
                <w:rFonts w:ascii="Arial" w:cs="Arial" w:eastAsia="Arial" w:hAnsi="Arial"/>
                <w:b w:val="false"/>
                <w:bCs w:val="false"/>
                <w:i w:val="false"/>
                <w:iCs w:val="false"/>
                <w:color w:val="1a1a2e"/>
                <w:sz w:val="20"/>
                <w:szCs w:val="20"/>
              </w:rPr>
              <w:t xml:space="preserve">Company Name: ________________________________</w:t>
            </w:r>
          </w:p>
          <w:p>
            <w:pPr>
              <w:spacing w:before="0" w:after="80"/>
            </w:pPr>
            <w:r>
              <w:rPr>
                <w:rFonts w:ascii="Arial" w:cs="Arial" w:eastAsia="Arial" w:hAnsi="Arial"/>
                <w:b w:val="false"/>
                <w:bCs w:val="false"/>
                <w:i w:val="false"/>
                <w:iCs w:val="false"/>
                <w:color w:val="1a1a2e"/>
                <w:sz w:val="20"/>
                <w:szCs w:val="20"/>
              </w:rPr>
              <w:t xml:space="preserve">Primary Contact: _____________________________</w:t>
            </w:r>
          </w:p>
          <w:p>
            <w:pPr>
              <w:spacing w:before="0" w:after="80"/>
            </w:pPr>
            <w:r>
              <w:rPr>
                <w:rFonts w:ascii="Arial" w:cs="Arial" w:eastAsia="Arial" w:hAnsi="Arial"/>
                <w:b w:val="false"/>
                <w:bCs w:val="false"/>
                <w:i w:val="false"/>
                <w:iCs w:val="false"/>
                <w:color w:val="1a1a2e"/>
                <w:sz w:val="20"/>
                <w:szCs w:val="20"/>
              </w:rPr>
              <w:t xml:space="preserve">Title: ______________________________________</w:t>
            </w:r>
          </w:p>
          <w:p>
            <w:pPr>
              <w:spacing w:before="0" w:after="60"/>
            </w:pPr>
            <w:r>
              <w:rPr>
                <w:rFonts w:ascii="Arial" w:cs="Arial" w:eastAsia="Arial" w:hAnsi="Arial"/>
                <w:b w:val="false"/>
                <w:bCs w:val="false"/>
                <w:i w:val="false"/>
                <w:iCs w:val="false"/>
                <w:color w:val="1a1a2e"/>
                <w:sz w:val="20"/>
                <w:szCs w:val="20"/>
              </w:rPr>
              <w:t xml:space="preserve">Email: ______________________________________</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80"/>
            </w:pPr>
            <w:r>
              <w:rPr>
                <w:rFonts w:ascii="Arial" w:cs="Arial" w:eastAsia="Arial" w:hAnsi="Arial"/>
                <w:b w:val="false"/>
                <w:bCs w:val="false"/>
                <w:i w:val="false"/>
                <w:iCs w:val="false"/>
                <w:color w:val="1a1a2e"/>
                <w:sz w:val="20"/>
                <w:szCs w:val="20"/>
              </w:rPr>
              <w:t xml:space="preserve">CCO2go.ai  ·  Apollo Beach, FL</w:t>
            </w:r>
          </w:p>
          <w:p>
            <w:pPr>
              <w:spacing w:before="0" w:after="80"/>
            </w:pPr>
            <w:r>
              <w:rPr>
                <w:rFonts w:ascii="Arial" w:cs="Arial" w:eastAsia="Arial" w:hAnsi="Arial"/>
                <w:b w:val="false"/>
                <w:bCs w:val="false"/>
                <w:i w:val="false"/>
                <w:iCs w:val="false"/>
                <w:color w:val="1a1a2e"/>
                <w:sz w:val="20"/>
                <w:szCs w:val="20"/>
              </w:rPr>
              <w:t xml:space="preserve">Shane James, Fractional CCO</w:t>
            </w:r>
          </w:p>
          <w:p>
            <w:pPr>
              <w:spacing w:before="0" w:after="80"/>
            </w:pPr>
            <w:r>
              <w:rPr>
                <w:rFonts w:ascii="Arial" w:cs="Arial" w:eastAsia="Arial" w:hAnsi="Arial"/>
                <w:b w:val="false"/>
                <w:bCs w:val="false"/>
                <w:i w:val="false"/>
                <w:iCs w:val="false"/>
                <w:color w:val="1a1a2e"/>
                <w:sz w:val="20"/>
                <w:szCs w:val="20"/>
              </w:rPr>
              <w:t xml:space="preserve">shane.james@cco2go.ai</w:t>
            </w:r>
          </w:p>
          <w:p>
            <w:pPr>
              <w:spacing w:before="0" w:after="60"/>
            </w:pPr>
            <w:r>
              <w:rPr>
                <w:rFonts w:ascii="Arial" w:cs="Arial" w:eastAsia="Arial" w:hAnsi="Arial"/>
                <w:b w:val="false"/>
                <w:bCs w:val="false"/>
                <w:i w:val="false"/>
                <w:iCs w:val="false"/>
                <w:color w:val="1a1a2e"/>
                <w:sz w:val="20"/>
                <w:szCs w:val="20"/>
              </w:rPr>
              <w:t xml:space="preserve">(813) 666-8427  ·  www.cco2go.ai</w:t>
            </w:r>
          </w:p>
        </w:tc>
      </w:tr>
    </w:tbl>
    <w:p>
      <w:pPr>
        <w:spacing w:before="40" w:after="40"/>
      </w:pPr>
      <w:r>
        <w:rPr>
          <w:rFonts w:ascii="Arial" w:cs="Arial" w:eastAsia="Arial" w:hAnsi="Arial"/>
          <w:b w:val="false"/>
          <w:bCs w:val="false"/>
          <w:i w:val="false"/>
          <w:iCs w:val="false"/>
          <w:color w:val="1a1a2e"/>
          <w:sz w:val="20"/>
          <w:szCs w:val="20"/>
        </w:rPr>
        <w:t xml:space="preserve"/>
      </w:r>
    </w:p>
    <w:p>
      <w:pPr>
        <w:pBdr>
          <w:bottom w:val="single" w:color="1a6cd0" w:sz="6" w:space="4"/>
        </w:pBdr>
        <w:spacing w:before="280" w:after="120"/>
      </w:pPr>
      <w:r>
        <w:rPr>
          <w:rFonts w:ascii="Arial" w:cs="Arial" w:eastAsia="Arial" w:hAnsi="Arial"/>
          <w:b/>
          <w:bCs/>
          <w:color w:val="1a6cd0"/>
          <w:sz w:val="28"/>
          <w:szCs w:val="28"/>
        </w:rPr>
        <w:t xml:space="preserve">1. Package &amp; Scope Selection</w:t>
      </w:r>
    </w:p>
    <w:p>
      <w:pPr>
        <w:spacing w:before="60" w:after="60"/>
      </w:pPr>
      <w:r>
        <w:rPr>
          <w:rFonts w:ascii="Arial" w:cs="Arial" w:eastAsia="Arial" w:hAnsi="Arial"/>
          <w:b w:val="false"/>
          <w:bCs w:val="false"/>
          <w:i/>
          <w:iCs/>
          <w:color w:val="1a1a2e"/>
          <w:sz w:val="20"/>
          <w:szCs w:val="20"/>
        </w:rPr>
        <w:t xml:space="preserve">Select the package tier that governs this engagement. Each tier is described below. The selected tier determines all deliverables, fees, and terms. Custom scope variations must be documented in Section 4.</w:t>
      </w:r>
    </w:p>
    <w:p>
      <w:pPr>
        <w:spacing w:before="40" w:after="40"/>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e2e8f0" w:sz="1"/>
              <w:left w:val="single" w:color="e2e8f0" w:sz="1"/>
              <w:bottom w:val="single" w:color="e2e8f0" w:sz="1"/>
              <w:right w:val="single" w:color="e2e8f0" w:sz="1"/>
            </w:tcBorders>
            <w:shd w:fill="e2e8f0" w:val="clear"/>
            <w:tcMar>
              <w:top w:type="dxa" w:w="100"/>
              <w:left w:type="dxa" w:w="140"/>
              <w:bottom w:type="dxa" w:w="100"/>
              <w:right w:type="dxa" w:w="140"/>
            </w:tcMar>
            <w:vAlign w:val="top"/>
          </w:tcPr>
          <w:p>
            <w:pPr>
              <w:jc w:val="left"/>
            </w:pPr>
            <w:r>
              <w:rPr>
                <w:rFonts w:ascii="Arial" w:cs="Arial" w:eastAsia="Arial" w:hAnsi="Arial"/>
                <w:b/>
                <w:bCs/>
                <w:color w:val="1a1a2e"/>
                <w:sz w:val="20"/>
                <w:szCs w:val="20"/>
              </w:rPr>
              <w:t xml:space="preserve"/>
            </w:r>
          </w:p>
        </w:tc>
        <w:tc>
          <w:tcPr>
            <w:tcW w:type="dxa" w:w="2320"/>
            <w:tcBorders>
              <w:top w:val="single" w:color="e2e8f0" w:sz="1"/>
              <w:left w:val="single" w:color="e2e8f0" w:sz="1"/>
              <w:bottom w:val="single" w:color="e2e8f0" w:sz="1"/>
              <w:right w:val="single" w:color="e2e8f0" w:sz="1"/>
            </w:tcBorders>
            <w:shd w:fill="1a6cd0"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  Platform
$4,000/mo</w:t>
            </w:r>
          </w:p>
        </w:tc>
        <w:tc>
          <w:tcPr>
            <w:tcW w:type="dxa" w:w="2320"/>
            <w:tcBorders>
              <w:top w:val="single" w:color="e2e8f0" w:sz="1"/>
              <w:left w:val="single" w:color="e2e8f0" w:sz="1"/>
              <w:bottom w:val="single" w:color="e2e8f0" w:sz="1"/>
              <w:right w:val="single" w:color="e2e8f0" w:sz="1"/>
            </w:tcBorders>
            <w:shd w:fill="0f4c8a"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  Accelerator
$6,500/mo</w:t>
            </w:r>
          </w:p>
        </w:tc>
        <w:tc>
          <w:tcPr>
            <w:tcW w:type="dxa" w:w="2320"/>
            <w:tcBorders>
              <w:top w:val="single" w:color="e2e8f0" w:sz="1"/>
              <w:left w:val="single" w:color="e2e8f0" w:sz="1"/>
              <w:bottom w:val="single" w:color="e2e8f0" w:sz="1"/>
              <w:right w:val="single" w:color="e2e8f0" w:sz="1"/>
            </w:tcBorders>
            <w:shd w:fill="1a6cd0"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  Full Stack
$9,500/mo</w:t>
            </w:r>
          </w:p>
        </w:tc>
      </w:tr>
      <w:tr>
        <w:tc>
          <w:tcPr>
            <w:tcW w:type="dxa" w:w="2400"/>
            <w:tcBorders>
              <w:top w:val="single" w:color="e2e8f0" w:sz="1"/>
              <w:left w:val="single" w:color="e2e8f0" w:sz="1"/>
              <w:bottom w:val="single" w:color="e2e8f0" w:sz="1"/>
              <w:right w:val="single" w:color="e2e8f0" w:sz="1"/>
            </w:tcBorders>
            <w:shd w:fill="f5f7fa"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a1a2e"/>
                <w:sz w:val="19"/>
                <w:szCs w:val="19"/>
              </w:rPr>
              <w:t xml:space="preserve">Best for</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Teams with CS leadership; need AI infrastructure</w:t>
            </w:r>
          </w:p>
        </w:tc>
        <w:tc>
          <w:tcPr>
            <w:tcW w:type="dxa" w:w="2320"/>
            <w:tcBorders>
              <w:top w:val="single" w:color="e2e8f0" w:sz="1"/>
              <w:left w:val="single" w:color="e2e8f0" w:sz="1"/>
              <w:bottom w:val="single" w:color="e2e8f0" w:sz="1"/>
              <w:right w:val="single" w:color="e2e8f0" w:sz="1"/>
            </w:tcBorders>
            <w:shd w:fill="dce8f9"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Founders/VPs who need strategic CCO + platform</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Series B+ building a full CS org or pre-exit</w:t>
            </w:r>
          </w:p>
        </w:tc>
      </w:tr>
      <w:tr>
        <w:tc>
          <w:tcPr>
            <w:tcW w:type="dxa" w:w="2400"/>
            <w:tcBorders>
              <w:top w:val="single" w:color="e2e8f0" w:sz="1"/>
              <w:left w:val="single" w:color="e2e8f0" w:sz="1"/>
              <w:bottom w:val="single" w:color="e2e8f0" w:sz="1"/>
              <w:right w:val="single" w:color="e2e8f0" w:sz="1"/>
            </w:tcBorders>
            <w:shd w:fill="f5f7fa"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a1a2e"/>
                <w:sz w:val="19"/>
                <w:szCs w:val="19"/>
              </w:rPr>
              <w:t xml:space="preserve">Minimum commitment</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Monthly (cancel anytime)</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6 months</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12 months</w:t>
            </w:r>
          </w:p>
        </w:tc>
      </w:tr>
      <w:tr>
        <w:tc>
          <w:tcPr>
            <w:tcW w:type="dxa" w:w="2400"/>
            <w:tcBorders>
              <w:top w:val="single" w:color="e2e8f0" w:sz="1"/>
              <w:left w:val="single" w:color="e2e8f0" w:sz="1"/>
              <w:bottom w:val="single" w:color="e2e8f0" w:sz="1"/>
              <w:right w:val="single" w:color="e2e8f0" w:sz="1"/>
            </w:tcBorders>
            <w:shd w:fill="f5f7fa"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a1a2e"/>
                <w:sz w:val="19"/>
                <w:szCs w:val="19"/>
              </w:rPr>
              <w:t xml:space="preserve">CCOPilot platform</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 Full access</w:t>
            </w:r>
          </w:p>
        </w:tc>
        <w:tc>
          <w:tcPr>
            <w:tcW w:type="dxa" w:w="2320"/>
            <w:tcBorders>
              <w:top w:val="single" w:color="e2e8f0" w:sz="1"/>
              <w:left w:val="single" w:color="e2e8f0" w:sz="1"/>
              <w:bottom w:val="single" w:color="e2e8f0" w:sz="1"/>
              <w:right w:val="single" w:color="e2e8f0" w:sz="1"/>
            </w:tcBorders>
            <w:shd w:fill="dce8f9"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 Full access</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 Full access</w:t>
            </w:r>
          </w:p>
        </w:tc>
      </w:tr>
      <w:tr>
        <w:tc>
          <w:tcPr>
            <w:tcW w:type="dxa" w:w="2400"/>
            <w:tcBorders>
              <w:top w:val="single" w:color="e2e8f0" w:sz="1"/>
              <w:left w:val="single" w:color="e2e8f0" w:sz="1"/>
              <w:bottom w:val="single" w:color="e2e8f0" w:sz="1"/>
              <w:right w:val="single" w:color="e2e8f0" w:sz="1"/>
            </w:tcBorders>
            <w:shd w:fill="f5f7fa"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a1a2e"/>
                <w:sz w:val="19"/>
                <w:szCs w:val="19"/>
              </w:rPr>
              <w:t xml:space="preserve">15 AI agents</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w:t>
            </w:r>
          </w:p>
        </w:tc>
      </w:tr>
      <w:tr>
        <w:tc>
          <w:tcPr>
            <w:tcW w:type="dxa" w:w="2400"/>
            <w:tcBorders>
              <w:top w:val="single" w:color="e2e8f0" w:sz="1"/>
              <w:left w:val="single" w:color="e2e8f0" w:sz="1"/>
              <w:bottom w:val="single" w:color="e2e8f0" w:sz="1"/>
              <w:right w:val="single" w:color="e2e8f0" w:sz="1"/>
            </w:tcBorders>
            <w:shd w:fill="f5f7fa"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a1a2e"/>
                <w:sz w:val="19"/>
                <w:szCs w:val="19"/>
              </w:rPr>
              <w:t xml:space="preserve">Fractional CCO hours</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w:t>
            </w:r>
          </w:p>
        </w:tc>
        <w:tc>
          <w:tcPr>
            <w:tcW w:type="dxa" w:w="2320"/>
            <w:tcBorders>
              <w:top w:val="single" w:color="e2e8f0" w:sz="1"/>
              <w:left w:val="single" w:color="e2e8f0" w:sz="1"/>
              <w:bottom w:val="single" w:color="e2e8f0" w:sz="1"/>
              <w:right w:val="single" w:color="e2e8f0" w:sz="1"/>
            </w:tcBorders>
            <w:shd w:fill="dce8f9"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 Included</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 Included</w:t>
            </w:r>
          </w:p>
        </w:tc>
      </w:tr>
      <w:tr>
        <w:tc>
          <w:tcPr>
            <w:tcW w:type="dxa" w:w="2400"/>
            <w:tcBorders>
              <w:top w:val="single" w:color="e2e8f0" w:sz="1"/>
              <w:left w:val="single" w:color="e2e8f0" w:sz="1"/>
              <w:bottom w:val="single" w:color="e2e8f0" w:sz="1"/>
              <w:right w:val="single" w:color="e2e8f0" w:sz="1"/>
            </w:tcBorders>
            <w:shd w:fill="f5f7fa"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a1a2e"/>
                <w:sz w:val="19"/>
                <w:szCs w:val="19"/>
              </w:rPr>
              <w:t xml:space="preserve">30/60/90 day plan</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w:t>
            </w:r>
          </w:p>
        </w:tc>
      </w:tr>
      <w:tr>
        <w:tc>
          <w:tcPr>
            <w:tcW w:type="dxa" w:w="2400"/>
            <w:tcBorders>
              <w:top w:val="single" w:color="e2e8f0" w:sz="1"/>
              <w:left w:val="single" w:color="e2e8f0" w:sz="1"/>
              <w:bottom w:val="single" w:color="e2e8f0" w:sz="1"/>
              <w:right w:val="single" w:color="e2e8f0" w:sz="1"/>
            </w:tcBorders>
            <w:shd w:fill="f5f7fa"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a1a2e"/>
                <w:sz w:val="19"/>
                <w:szCs w:val="19"/>
              </w:rPr>
              <w:t xml:space="preserve">Customer interviews</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w:t>
            </w:r>
          </w:p>
        </w:tc>
        <w:tc>
          <w:tcPr>
            <w:tcW w:type="dxa" w:w="2320"/>
            <w:tcBorders>
              <w:top w:val="single" w:color="e2e8f0" w:sz="1"/>
              <w:left w:val="single" w:color="e2e8f0" w:sz="1"/>
              <w:bottom w:val="single" w:color="e2e8f0" w:sz="1"/>
              <w:right w:val="single" w:color="e2e8f0" w:sz="1"/>
            </w:tcBorders>
            <w:shd w:fill="dce8f9"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 10 active + 5 churned</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 10 active + 5 churned</w:t>
            </w:r>
          </w:p>
        </w:tc>
      </w:tr>
      <w:tr>
        <w:tc>
          <w:tcPr>
            <w:tcW w:type="dxa" w:w="2400"/>
            <w:tcBorders>
              <w:top w:val="single" w:color="e2e8f0" w:sz="1"/>
              <w:left w:val="single" w:color="e2e8f0" w:sz="1"/>
              <w:bottom w:val="single" w:color="e2e8f0" w:sz="1"/>
              <w:right w:val="single" w:color="e2e8f0" w:sz="1"/>
            </w:tcBorders>
            <w:shd w:fill="f5f7fa"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a1a2e"/>
                <w:sz w:val="19"/>
                <w:szCs w:val="19"/>
              </w:rPr>
              <w:t xml:space="preserve">Board meeting support</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 On request</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 Included</w:t>
            </w:r>
          </w:p>
        </w:tc>
      </w:tr>
      <w:tr>
        <w:tc>
          <w:tcPr>
            <w:tcW w:type="dxa" w:w="2400"/>
            <w:tcBorders>
              <w:top w:val="single" w:color="e2e8f0" w:sz="1"/>
              <w:left w:val="single" w:color="e2e8f0" w:sz="1"/>
              <w:bottom w:val="single" w:color="e2e8f0" w:sz="1"/>
              <w:right w:val="single" w:color="e2e8f0" w:sz="1"/>
            </w:tcBorders>
            <w:shd w:fill="f5f7fa"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a1a2e"/>
                <w:sz w:val="19"/>
                <w:szCs w:val="19"/>
              </w:rPr>
              <w:t xml:space="preserve">CSM Team Training</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w:t>
            </w:r>
          </w:p>
        </w:tc>
        <w:tc>
          <w:tcPr>
            <w:tcW w:type="dxa" w:w="2320"/>
            <w:tcBorders>
              <w:top w:val="single" w:color="e2e8f0" w:sz="1"/>
              <w:left w:val="single" w:color="e2e8f0" w:sz="1"/>
              <w:bottom w:val="single" w:color="e2e8f0" w:sz="1"/>
              <w:right w:val="single" w:color="e2e8f0" w:sz="1"/>
            </w:tcBorders>
            <w:shd w:fill="dce8f9"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 9-week program</w:t>
            </w:r>
          </w:p>
        </w:tc>
      </w:tr>
      <w:tr>
        <w:tc>
          <w:tcPr>
            <w:tcW w:type="dxa" w:w="2400"/>
            <w:tcBorders>
              <w:top w:val="single" w:color="e2e8f0" w:sz="1"/>
              <w:left w:val="single" w:color="e2e8f0" w:sz="1"/>
              <w:bottom w:val="single" w:color="e2e8f0" w:sz="1"/>
              <w:right w:val="single" w:color="e2e8f0" w:sz="1"/>
            </w:tcBorders>
            <w:shd w:fill="f5f7fa"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a1a2e"/>
                <w:sz w:val="19"/>
                <w:szCs w:val="19"/>
              </w:rPr>
              <w:t xml:space="preserve">Mgmt Reporting</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 Monthly board-ready</w:t>
            </w:r>
          </w:p>
        </w:tc>
      </w:tr>
      <w:tr>
        <w:tc>
          <w:tcPr>
            <w:tcW w:type="dxa" w:w="2400"/>
            <w:tcBorders>
              <w:top w:val="single" w:color="e2e8f0" w:sz="1"/>
              <w:left w:val="single" w:color="e2e8f0" w:sz="1"/>
              <w:bottom w:val="single" w:color="e2e8f0" w:sz="1"/>
              <w:right w:val="single" w:color="e2e8f0" w:sz="1"/>
            </w:tcBorders>
            <w:shd w:fill="f5f7fa"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a1a2e"/>
                <w:sz w:val="19"/>
                <w:szCs w:val="19"/>
              </w:rPr>
              <w:t xml:space="preserve">CS Org Design</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w:t>
            </w:r>
          </w:p>
        </w:tc>
        <w:tc>
          <w:tcPr>
            <w:tcW w:type="dxa" w:w="2320"/>
            <w:tcBorders>
              <w:top w:val="single" w:color="e2e8f0" w:sz="1"/>
              <w:left w:val="single" w:color="e2e8f0" w:sz="1"/>
              <w:bottom w:val="single" w:color="e2e8f0" w:sz="1"/>
              <w:right w:val="single" w:color="e2e8f0" w:sz="1"/>
            </w:tcBorders>
            <w:shd w:fill="dce8f9"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 Roles, hiring, playbooks</w:t>
            </w:r>
          </w:p>
        </w:tc>
      </w:tr>
    </w:tbl>
    <w:p>
      <w:pPr>
        <w:spacing w:before="40" w:after="40"/>
      </w:pPr>
      <w:r>
        <w:rPr>
          <w:rFonts w:ascii="Arial" w:cs="Arial" w:eastAsia="Arial" w:hAnsi="Arial"/>
          <w:b w:val="false"/>
          <w:bCs w:val="false"/>
          <w:i w:val="false"/>
          <w:iCs w:val="false"/>
          <w:color w:val="1a1a2e"/>
          <w:sz w:val="20"/>
          <w:szCs w:val="20"/>
        </w:rPr>
        <w:t xml:space="preserve"/>
      </w:r>
    </w:p>
    <w:p>
      <w:pPr>
        <w:spacing w:before="60" w:after="60"/>
      </w:pPr>
      <w:r>
        <w:rPr>
          <w:rFonts w:ascii="Arial" w:cs="Arial" w:eastAsia="Arial" w:hAnsi="Arial"/>
          <w:b w:val="false"/>
          <w:bCs w:val="false"/>
          <w:i/>
          <w:iCs/>
          <w:color w:val="666666"/>
          <w:sz w:val="18"/>
          <w:szCs w:val="18"/>
        </w:rPr>
        <w:t xml:space="preserve">Note: Outcome-based pricing is available for the Accelerator and Full Stack tiers. Under this structure, fees are reduced in the first engagement period and increase upon achievement of jointly defined targets. Contact Shane James for details.</w:t>
      </w:r>
    </w:p>
    <w:p>
      <w:pPr>
        <w:spacing w:before="40" w:after="40"/>
      </w:pPr>
      <w:r>
        <w:rPr>
          <w:rFonts w:ascii="Arial" w:cs="Arial" w:eastAsia="Arial" w:hAnsi="Arial"/>
          <w:b w:val="false"/>
          <w:bCs w:val="false"/>
          <w:i w:val="false"/>
          <w:iCs w:val="false"/>
          <w:color w:val="1a1a2e"/>
          <w:sz w:val="20"/>
          <w:szCs w:val="20"/>
        </w:rPr>
        <w:t xml:space="preserve"/>
      </w:r>
    </w:p>
    <w:p>
      <w:pPr>
        <w:pBdr>
          <w:bottom w:val="single" w:color="1a6cd0" w:sz="6" w:space="4"/>
        </w:pBdr>
        <w:spacing w:before="280" w:after="120"/>
      </w:pPr>
      <w:r>
        <w:rPr>
          <w:rFonts w:ascii="Arial" w:cs="Arial" w:eastAsia="Arial" w:hAnsi="Arial"/>
          <w:b/>
          <w:bCs/>
          <w:color w:val="1a6cd0"/>
          <w:sz w:val="28"/>
          <w:szCs w:val="28"/>
        </w:rPr>
        <w:t xml:space="preserve">2. Deliverables &amp; Timeline</w:t>
      </w:r>
    </w:p>
    <w:p>
      <w:pPr>
        <w:spacing w:before="60" w:after="60"/>
      </w:pPr>
      <w:r>
        <w:rPr>
          <w:rFonts w:ascii="Arial" w:cs="Arial" w:eastAsia="Arial" w:hAnsi="Arial"/>
          <w:b w:val="false"/>
          <w:bCs w:val="false"/>
          <w:i w:val="false"/>
          <w:iCs w:val="false"/>
          <w:color w:val="1a1a2e"/>
          <w:sz w:val="20"/>
          <w:szCs w:val="20"/>
        </w:rPr>
        <w:t xml:space="preserve">The following deliverables apply to the selected tier. Items marked with a tier name apply only to that tier and above.</w:t>
      </w:r>
    </w:p>
    <w:p>
      <w:pPr>
        <w:spacing w:before="40" w:after="40"/>
      </w:pPr>
      <w:r>
        <w:rPr>
          <w:rFonts w:ascii="Arial" w:cs="Arial" w:eastAsia="Arial" w:hAnsi="Arial"/>
          <w:b w:val="false"/>
          <w:bCs w:val="false"/>
          <w:i w:val="false"/>
          <w:iCs w:val="false"/>
          <w:color w:val="1a1a2e"/>
          <w:sz w:val="20"/>
          <w:szCs w:val="20"/>
        </w:rPr>
        <w:t xml:space="preserve"/>
      </w:r>
    </w:p>
    <w:p>
      <w:pPr>
        <w:spacing w:before="240" w:after="80"/>
      </w:pPr>
      <w:r>
        <w:rPr>
          <w:rFonts w:ascii="Arial" w:cs="Arial" w:eastAsia="Arial" w:hAnsi="Arial"/>
          <w:b/>
          <w:bCs/>
          <w:color w:val="1a1a2e"/>
          <w:sz w:val="22"/>
          <w:szCs w:val="22"/>
        </w:rPr>
        <w:t xml:space="preserve">Phase 1: Diagnosis (Days 1–30)</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Kickoff session — business context, current CS state, priority alignment</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Customer interviews — 10 strategic accounts + 5 most recent churns (Accelerator / Full Stack)</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CCOPilot platform deployment — data import, agent configuration, health score calibration</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Day-30 leadership readout — root cause analysis of churn, radical candor findings</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Written diagnosis report with priority action recommendations</w:t>
      </w:r>
    </w:p>
    <w:p>
      <w:pPr>
        <w:spacing w:before="40" w:after="40"/>
      </w:pPr>
      <w:r>
        <w:rPr>
          <w:rFonts w:ascii="Arial" w:cs="Arial" w:eastAsia="Arial" w:hAnsi="Arial"/>
          <w:b w:val="false"/>
          <w:bCs w:val="false"/>
          <w:i w:val="false"/>
          <w:iCs w:val="false"/>
          <w:color w:val="1a1a2e"/>
          <w:sz w:val="20"/>
          <w:szCs w:val="20"/>
        </w:rPr>
        <w:t xml:space="preserve"/>
      </w:r>
    </w:p>
    <w:p>
      <w:pPr>
        <w:spacing w:before="240" w:after="80"/>
      </w:pPr>
      <w:r>
        <w:rPr>
          <w:rFonts w:ascii="Arial" w:cs="Arial" w:eastAsia="Arial" w:hAnsi="Arial"/>
          <w:b/>
          <w:bCs/>
          <w:color w:val="1a1a2e"/>
          <w:sz w:val="22"/>
          <w:szCs w:val="22"/>
        </w:rPr>
        <w:t xml:space="preserve">Phase 2: Activation (Days 31–60)</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CCOPilot live for full CS team — daily workflow adoption with Shane's direct support</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At-risk account identification + intervention playbooks for top 20% at-risk customers</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Voice of Customer program launch — email, call, chat, and web mention unified feed</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Churn root cause classification — product, support, fit, or adoption-driven</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First EBR/QBR execution using CCOPilot EBR builder (Accelerator / Full Stack)</w:t>
      </w:r>
    </w:p>
    <w:p>
      <w:pPr>
        <w:spacing w:before="40" w:after="40"/>
      </w:pPr>
      <w:r>
        <w:rPr>
          <w:rFonts w:ascii="Arial" w:cs="Arial" w:eastAsia="Arial" w:hAnsi="Arial"/>
          <w:b w:val="false"/>
          <w:bCs w:val="false"/>
          <w:i w:val="false"/>
          <w:iCs w:val="false"/>
          <w:color w:val="1a1a2e"/>
          <w:sz w:val="20"/>
          <w:szCs w:val="20"/>
        </w:rPr>
        <w:t xml:space="preserve"/>
      </w:r>
    </w:p>
    <w:p>
      <w:pPr>
        <w:spacing w:before="240" w:after="80"/>
      </w:pPr>
      <w:r>
        <w:rPr>
          <w:rFonts w:ascii="Arial" w:cs="Arial" w:eastAsia="Arial" w:hAnsi="Arial"/>
          <w:b/>
          <w:bCs/>
          <w:color w:val="1a1a2e"/>
          <w:sz w:val="22"/>
          <w:szCs w:val="22"/>
        </w:rPr>
        <w:t xml:space="preserve">Phase 3: Momentum (Days 61–90)</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Board-ready CS report — health score distribution, NRR trajectory, churn forecast</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Expansion signal dashboard — AI-identified upsell and cross-sell opportunities</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90-day retrospective and updated 90-day forward plan</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CSM Team training program launch (Full Stack only)</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CS Org design documentation — role definitions, hiring scorecard, onboarding plan (Full Stack only)</w:t>
      </w:r>
    </w:p>
    <w:p>
      <w:pPr>
        <w:spacing w:before="40" w:after="40"/>
      </w:pPr>
      <w:r>
        <w:rPr>
          <w:rFonts w:ascii="Arial" w:cs="Arial" w:eastAsia="Arial" w:hAnsi="Arial"/>
          <w:b w:val="false"/>
          <w:bCs w:val="false"/>
          <w:i w:val="false"/>
          <w:iCs w:val="false"/>
          <w:color w:val="1a1a2e"/>
          <w:sz w:val="20"/>
          <w:szCs w:val="20"/>
        </w:rPr>
        <w:t xml:space="preserve"/>
      </w:r>
    </w:p>
    <w:p>
      <w:pPr>
        <w:spacing w:before="240" w:after="80"/>
      </w:pPr>
      <w:r>
        <w:rPr>
          <w:rFonts w:ascii="Arial" w:cs="Arial" w:eastAsia="Arial" w:hAnsi="Arial"/>
          <w:b/>
          <w:bCs/>
          <w:color w:val="1a1a2e"/>
          <w:sz w:val="22"/>
          <w:szCs w:val="22"/>
        </w:rPr>
        <w:t xml:space="preserve">Ongoing (Month 4+)</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Monthly executive reporting — board-ready metrics narrative (Full Stack only)</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Quarterly business reviews — facilitated with top 20% of ARR</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Continuous CCOPilot optimization — agent tuning based on live data</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Renewal and expansion pipeline management — tracked in CCOPilot</w:t>
      </w:r>
    </w:p>
    <w:p>
      <w:pPr>
        <w:spacing w:before="40" w:after="40"/>
      </w:pPr>
      <w:r>
        <w:rPr>
          <w:rFonts w:ascii="Arial" w:cs="Arial" w:eastAsia="Arial" w:hAnsi="Arial"/>
          <w:b w:val="false"/>
          <w:bCs w:val="false"/>
          <w:i w:val="false"/>
          <w:iCs w:val="false"/>
          <w:color w:val="1a1a2e"/>
          <w:sz w:val="20"/>
          <w:szCs w:val="20"/>
        </w:rPr>
        <w:t xml:space="preserve"/>
      </w:r>
    </w:p>
    <w:p>
      <w:pPr>
        <w:pBdr>
          <w:bottom w:val="single" w:color="1a6cd0" w:sz="6" w:space="4"/>
        </w:pBdr>
        <w:spacing w:before="280" w:after="120"/>
      </w:pPr>
      <w:r>
        <w:rPr>
          <w:rFonts w:ascii="Arial" w:cs="Arial" w:eastAsia="Arial" w:hAnsi="Arial"/>
          <w:b/>
          <w:bCs/>
          <w:color w:val="1a6cd0"/>
          <w:sz w:val="28"/>
          <w:szCs w:val="28"/>
        </w:rPr>
        <w:t xml:space="preserve">3. Fees &amp; Payment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e2e8f0" w:sz="1"/>
              <w:left w:val="single" w:color="e2e8f0" w:sz="1"/>
              <w:bottom w:val="single" w:color="e2e8f0" w:sz="1"/>
              <w:right w:val="single" w:color="e2e8f0" w:sz="1"/>
            </w:tcBorders>
            <w:shd w:fill="1a6cd0"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Fee Item</w:t>
            </w:r>
          </w:p>
        </w:tc>
        <w:tc>
          <w:tcPr>
            <w:tcW w:type="dxa" w:w="2080"/>
            <w:tcBorders>
              <w:top w:val="single" w:color="e2e8f0" w:sz="1"/>
              <w:left w:val="single" w:color="e2e8f0" w:sz="1"/>
              <w:bottom w:val="single" w:color="e2e8f0" w:sz="1"/>
              <w:right w:val="single" w:color="e2e8f0" w:sz="1"/>
            </w:tcBorders>
            <w:shd w:fill="1a6cd0"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Platform
$4,000/mo</w:t>
            </w:r>
          </w:p>
        </w:tc>
        <w:tc>
          <w:tcPr>
            <w:tcW w:type="dxa" w:w="2080"/>
            <w:tcBorders>
              <w:top w:val="single" w:color="e2e8f0" w:sz="1"/>
              <w:left w:val="single" w:color="e2e8f0" w:sz="1"/>
              <w:bottom w:val="single" w:color="e2e8f0" w:sz="1"/>
              <w:right w:val="single" w:color="e2e8f0" w:sz="1"/>
            </w:tcBorders>
            <w:shd w:fill="0f4c8a"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Accelerator
$6,500/mo</w:t>
            </w:r>
          </w:p>
        </w:tc>
        <w:tc>
          <w:tcPr>
            <w:tcW w:type="dxa" w:w="2080"/>
            <w:tcBorders>
              <w:top w:val="single" w:color="e2e8f0" w:sz="1"/>
              <w:left w:val="single" w:color="e2e8f0" w:sz="1"/>
              <w:bottom w:val="single" w:color="e2e8f0" w:sz="1"/>
              <w:right w:val="single" w:color="e2e8f0" w:sz="1"/>
            </w:tcBorders>
            <w:shd w:fill="1a6cd0"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Full Stack
$9,500/mo</w:t>
            </w:r>
          </w:p>
        </w:tc>
      </w:tr>
      <w:tr>
        <w:tc>
          <w:tcPr>
            <w:tcW w:type="dxa" w:w="3120"/>
            <w:tcBorders>
              <w:top w:val="single" w:color="e2e8f0" w:sz="1"/>
              <w:left w:val="single" w:color="e2e8f0" w:sz="1"/>
              <w:bottom w:val="single" w:color="e2e8f0" w:sz="1"/>
              <w:right w:val="single" w:color="e2e8f0" w:sz="1"/>
            </w:tcBorders>
            <w:shd w:fill="f5f7fa"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9"/>
                <w:szCs w:val="19"/>
              </w:rPr>
              <w:t xml:space="preserve">Monthly retainer</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9"/>
                <w:szCs w:val="19"/>
              </w:rPr>
              <w:t xml:space="preserve">$4,000</w:t>
            </w:r>
          </w:p>
        </w:tc>
        <w:tc>
          <w:tcPr>
            <w:tcW w:type="dxa" w:w="2080"/>
            <w:tcBorders>
              <w:top w:val="single" w:color="e2e8f0" w:sz="1"/>
              <w:left w:val="single" w:color="e2e8f0" w:sz="1"/>
              <w:bottom w:val="single" w:color="e2e8f0" w:sz="1"/>
              <w:right w:val="single" w:color="e2e8f0" w:sz="1"/>
            </w:tcBorders>
            <w:shd w:fill="dce8f9"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9"/>
                <w:szCs w:val="19"/>
              </w:rPr>
              <w:t xml:space="preserve">$6,500</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9"/>
                <w:szCs w:val="19"/>
              </w:rPr>
              <w:t xml:space="preserve">$9,500</w:t>
            </w:r>
          </w:p>
        </w:tc>
      </w:tr>
      <w:tr>
        <w:tc>
          <w:tcPr>
            <w:tcW w:type="dxa" w:w="3120"/>
            <w:tcBorders>
              <w:top w:val="single" w:color="e2e8f0" w:sz="1"/>
              <w:left w:val="single" w:color="e2e8f0" w:sz="1"/>
              <w:bottom w:val="single" w:color="e2e8f0" w:sz="1"/>
              <w:right w:val="single" w:color="e2e8f0" w:sz="1"/>
            </w:tcBorders>
            <w:shd w:fill="f5f7fa"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9"/>
                <w:szCs w:val="19"/>
              </w:rPr>
              <w:t xml:space="preserve">Minimum commitment</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9"/>
                <w:szCs w:val="19"/>
              </w:rPr>
              <w:t xml:space="preserve">1 month</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9"/>
                <w:szCs w:val="19"/>
              </w:rPr>
              <w:t xml:space="preserve">6 months</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9"/>
                <w:szCs w:val="19"/>
              </w:rPr>
              <w:t xml:space="preserve">12 months</w:t>
            </w:r>
          </w:p>
        </w:tc>
      </w:tr>
      <w:tr>
        <w:tc>
          <w:tcPr>
            <w:tcW w:type="dxa" w:w="3120"/>
            <w:tcBorders>
              <w:top w:val="single" w:color="e2e8f0" w:sz="1"/>
              <w:left w:val="single" w:color="e2e8f0" w:sz="1"/>
              <w:bottom w:val="single" w:color="e2e8f0" w:sz="1"/>
              <w:right w:val="single" w:color="e2e8f0" w:sz="1"/>
            </w:tcBorders>
            <w:shd w:fill="f5f7fa"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9"/>
                <w:szCs w:val="19"/>
              </w:rPr>
              <w:t xml:space="preserve">Total minimum investment</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9"/>
                <w:szCs w:val="19"/>
              </w:rPr>
              <w:t xml:space="preserve">$4,000</w:t>
            </w:r>
          </w:p>
        </w:tc>
        <w:tc>
          <w:tcPr>
            <w:tcW w:type="dxa" w:w="2080"/>
            <w:tcBorders>
              <w:top w:val="single" w:color="e2e8f0" w:sz="1"/>
              <w:left w:val="single" w:color="e2e8f0" w:sz="1"/>
              <w:bottom w:val="single" w:color="e2e8f0" w:sz="1"/>
              <w:right w:val="single" w:color="e2e8f0" w:sz="1"/>
            </w:tcBorders>
            <w:shd w:fill="dce8f9"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a1a2e"/>
                <w:sz w:val="19"/>
                <w:szCs w:val="19"/>
              </w:rPr>
              <w:t xml:space="preserve">$39,000</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9"/>
                <w:szCs w:val="19"/>
              </w:rPr>
              <w:t xml:space="preserve">$114,000</w:t>
            </w:r>
          </w:p>
        </w:tc>
      </w:tr>
      <w:tr>
        <w:tc>
          <w:tcPr>
            <w:tcW w:type="dxa" w:w="3120"/>
            <w:tcBorders>
              <w:top w:val="single" w:color="e2e8f0" w:sz="1"/>
              <w:left w:val="single" w:color="e2e8f0" w:sz="1"/>
              <w:bottom w:val="single" w:color="e2e8f0" w:sz="1"/>
              <w:right w:val="single" w:color="e2e8f0" w:sz="1"/>
            </w:tcBorders>
            <w:shd w:fill="f5f7fa"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a1a2e"/>
                <w:sz w:val="19"/>
                <w:szCs w:val="19"/>
              </w:rPr>
              <w:t xml:space="preserve">vs. Full-time CCO (annual)</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9"/>
                <w:szCs w:val="19"/>
              </w:rPr>
              <w:t xml:space="preserve">—</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a1a2e"/>
                <w:sz w:val="19"/>
                <w:szCs w:val="19"/>
              </w:rPr>
              <w:t xml:space="preserve">$84K saved</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a1a2e"/>
                <w:sz w:val="19"/>
                <w:szCs w:val="19"/>
              </w:rPr>
              <w:t xml:space="preserve">$228K+ saved</w:t>
            </w:r>
          </w:p>
        </w:tc>
      </w:tr>
    </w:tbl>
    <w:p>
      <w:pPr>
        <w:spacing w:before="40" w:after="40"/>
      </w:pPr>
      <w:r>
        <w:rPr>
          <w:rFonts w:ascii="Arial" w:cs="Arial" w:eastAsia="Arial" w:hAnsi="Arial"/>
          <w:b w:val="false"/>
          <w:bCs w:val="false"/>
          <w:i w:val="false"/>
          <w:iCs w:val="false"/>
          <w:color w:val="1a1a2e"/>
          <w:sz w:val="20"/>
          <w:szCs w:val="20"/>
        </w:rPr>
        <w:t xml:space="preserve"/>
      </w:r>
    </w:p>
    <w:p>
      <w:pPr>
        <w:spacing w:before="60" w:after="60"/>
      </w:pPr>
      <w:r>
        <w:rPr>
          <w:rFonts w:ascii="Arial" w:cs="Arial" w:eastAsia="Arial" w:hAnsi="Arial"/>
          <w:b/>
          <w:bCs/>
          <w:i w:val="false"/>
          <w:iCs w:val="false"/>
          <w:color w:val="1a1a2e"/>
          <w:sz w:val="20"/>
          <w:szCs w:val="20"/>
        </w:rPr>
        <w:t xml:space="preserve">Payment Terms:</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Invoiced monthly in advance on the 1st of each month</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Payment due within 15 days of invoice</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Late payments accrue interest at 1.5% per month</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Expenses (travel, materials) billed separately with prior written approval</w:t>
      </w:r>
    </w:p>
    <w:p>
      <w:pPr>
        <w:spacing w:before="40" w:after="40"/>
      </w:pPr>
      <w:r>
        <w:rPr>
          <w:rFonts w:ascii="Arial" w:cs="Arial" w:eastAsia="Arial" w:hAnsi="Arial"/>
          <w:b w:val="false"/>
          <w:bCs w:val="false"/>
          <w:i w:val="false"/>
          <w:iCs w:val="false"/>
          <w:color w:val="1a1a2e"/>
          <w:sz w:val="20"/>
          <w:szCs w:val="20"/>
        </w:rPr>
        <w:t xml:space="preserve"/>
      </w:r>
    </w:p>
    <w:p>
      <w:pPr>
        <w:pBdr>
          <w:bottom w:val="single" w:color="1a6cd0" w:sz="6" w:space="4"/>
        </w:pBdr>
        <w:spacing w:before="280" w:after="120"/>
      </w:pPr>
      <w:r>
        <w:rPr>
          <w:rFonts w:ascii="Arial" w:cs="Arial" w:eastAsia="Arial" w:hAnsi="Arial"/>
          <w:b/>
          <w:bCs/>
          <w:color w:val="1a6cd0"/>
          <w:sz w:val="28"/>
          <w:szCs w:val="28"/>
        </w:rPr>
        <w:t xml:space="preserve">4. Custom Terms &amp; Additions</w:t>
      </w:r>
    </w:p>
    <w:p>
      <w:pPr>
        <w:spacing w:before="60" w:after="60"/>
      </w:pPr>
      <w:r>
        <w:rPr>
          <w:rFonts w:ascii="Arial" w:cs="Arial" w:eastAsia="Arial" w:hAnsi="Arial"/>
          <w:b w:val="false"/>
          <w:bCs w:val="false"/>
          <w:i w:val="false"/>
          <w:iCs w:val="false"/>
          <w:color w:val="1a1a2e"/>
          <w:sz w:val="20"/>
          <w:szCs w:val="20"/>
        </w:rPr>
        <w:t xml:space="preserve">Any deviations from standard package scope, outcome-based pricing structures, or add-on services are documented here. This section supersedes the standard package description for items listed.</w:t>
      </w:r>
    </w:p>
    <w:p>
      <w:pPr>
        <w:spacing w:before="40" w:after="40"/>
      </w:pPr>
      <w:r>
        <w:rPr>
          <w:rFonts w:ascii="Arial" w:cs="Arial" w:eastAsia="Arial" w:hAnsi="Arial"/>
          <w:b w:val="false"/>
          <w:bCs w:val="false"/>
          <w:i w:val="false"/>
          <w:iCs w:val="false"/>
          <w:color w:val="1a1a2e"/>
          <w:sz w:val="20"/>
          <w:szCs w:val="20"/>
        </w:rPr>
        <w:t xml:space="preserve"/>
      </w:r>
    </w:p>
    <w:p>
      <w:pPr>
        <w:spacing w:before="60" w:after="60"/>
      </w:pPr>
      <w:r>
        <w:rPr>
          <w:rFonts w:ascii="Arial" w:cs="Arial" w:eastAsia="Arial" w:hAnsi="Arial"/>
          <w:b w:val="false"/>
          <w:bCs w:val="false"/>
          <w:i w:val="false"/>
          <w:iCs w:val="false"/>
          <w:color w:val="1a1a2e"/>
          <w:sz w:val="20"/>
          <w:szCs w:val="20"/>
        </w:rPr>
        <w:t xml:space="preserve">Hourly rate for advisory beyond retainer:  $250/hr — billed in 1-hour increments with prior approval</w:t>
      </w:r>
    </w:p>
    <w:p>
      <w:pPr>
        <w:spacing w:before="40" w:after="40"/>
      </w:pPr>
      <w:r>
        <w:rPr>
          <w:rFonts w:ascii="Arial" w:cs="Arial" w:eastAsia="Arial" w:hAnsi="Arial"/>
          <w:b w:val="false"/>
          <w:bCs w:val="false"/>
          <w:i w:val="false"/>
          <w:iCs w:val="false"/>
          <w:color w:val="1a1a2e"/>
          <w:sz w:val="20"/>
          <w:szCs w:val="20"/>
        </w:rPr>
        <w:t xml:space="preserve"/>
      </w:r>
    </w:p>
    <w:p>
      <w:pPr>
        <w:spacing w:before="60" w:after="60"/>
      </w:pPr>
      <w:r>
        <w:rPr>
          <w:rFonts w:ascii="Arial" w:cs="Arial" w:eastAsia="Arial" w:hAnsi="Arial"/>
          <w:b w:val="false"/>
          <w:bCs w:val="false"/>
          <w:i w:val="false"/>
          <w:iCs w:val="false"/>
          <w:color w:val="1a1a2e"/>
          <w:sz w:val="20"/>
          <w:szCs w:val="20"/>
        </w:rPr>
        <w:t xml:space="preserve">Custom scope notes:</w:t>
      </w:r>
    </w:p>
    <w:p>
      <w:pPr>
        <w:spacing w:before="60" w:after="60"/>
      </w:pPr>
      <w:r>
        <w:rPr>
          <w:rFonts w:ascii="Arial" w:cs="Arial" w:eastAsia="Arial" w:hAnsi="Arial"/>
          <w:b w:val="false"/>
          <w:bCs w:val="false"/>
          <w:i w:val="false"/>
          <w:iCs w:val="false"/>
          <w:color w:val="1a1a2e"/>
          <w:sz w:val="20"/>
          <w:szCs w:val="20"/>
        </w:rPr>
        <w:t xml:space="preserve">_____________________________________________________________</w:t>
      </w:r>
    </w:p>
    <w:p>
      <w:pPr>
        <w:spacing w:before="60" w:after="60"/>
      </w:pPr>
      <w:r>
        <w:rPr>
          <w:rFonts w:ascii="Arial" w:cs="Arial" w:eastAsia="Arial" w:hAnsi="Arial"/>
          <w:b w:val="false"/>
          <w:bCs w:val="false"/>
          <w:i w:val="false"/>
          <w:iCs w:val="false"/>
          <w:color w:val="1a1a2e"/>
          <w:sz w:val="20"/>
          <w:szCs w:val="20"/>
        </w:rPr>
        <w:t xml:space="preserve">_____________________________________________________________</w:t>
      </w:r>
    </w:p>
    <w:p>
      <w:pPr>
        <w:spacing w:before="60" w:after="60"/>
      </w:pPr>
      <w:r>
        <w:rPr>
          <w:rFonts w:ascii="Arial" w:cs="Arial" w:eastAsia="Arial" w:hAnsi="Arial"/>
          <w:b w:val="false"/>
          <w:bCs w:val="false"/>
          <w:i w:val="false"/>
          <w:iCs w:val="false"/>
          <w:color w:val="1a1a2e"/>
          <w:sz w:val="20"/>
          <w:szCs w:val="20"/>
        </w:rPr>
        <w:t xml:space="preserve">_____________________________________________________________</w:t>
      </w:r>
    </w:p>
    <w:p>
      <w:pPr>
        <w:spacing w:before="40" w:after="40"/>
      </w:pPr>
      <w:r>
        <w:rPr>
          <w:rFonts w:ascii="Arial" w:cs="Arial" w:eastAsia="Arial" w:hAnsi="Arial"/>
          <w:b w:val="false"/>
          <w:bCs w:val="false"/>
          <w:i w:val="false"/>
          <w:iCs w:val="false"/>
          <w:color w:val="1a1a2e"/>
          <w:sz w:val="20"/>
          <w:szCs w:val="20"/>
        </w:rPr>
        <w:t xml:space="preserve"/>
      </w:r>
    </w:p>
    <w:p>
      <w:pPr>
        <w:pBdr>
          <w:bottom w:val="single" w:color="1a6cd0" w:sz="6" w:space="4"/>
        </w:pBdr>
        <w:spacing w:before="280" w:after="120"/>
      </w:pPr>
      <w:r>
        <w:rPr>
          <w:rFonts w:ascii="Arial" w:cs="Arial" w:eastAsia="Arial" w:hAnsi="Arial"/>
          <w:b/>
          <w:bCs/>
          <w:color w:val="1a6cd0"/>
          <w:sz w:val="28"/>
          <w:szCs w:val="28"/>
        </w:rPr>
        <w:t xml:space="preserve">5. Client Responsibilities</w:t>
      </w:r>
    </w:p>
    <w:p>
      <w:pPr>
        <w:spacing w:before="60" w:after="60"/>
      </w:pPr>
      <w:r>
        <w:rPr>
          <w:rFonts w:ascii="Arial" w:cs="Arial" w:eastAsia="Arial" w:hAnsi="Arial"/>
          <w:b w:val="false"/>
          <w:bCs w:val="false"/>
          <w:i w:val="false"/>
          <w:iCs w:val="false"/>
          <w:color w:val="1a1a2e"/>
          <w:sz w:val="20"/>
          <w:szCs w:val="20"/>
        </w:rPr>
        <w:t xml:space="preserve">To ensure the engagement delivers results, Client agrees to:</w:t>
      </w:r>
    </w:p>
    <w:p>
      <w:pPr>
        <w:spacing w:before="40" w:after="40"/>
      </w:pPr>
      <w:r>
        <w:rPr>
          <w:rFonts w:ascii="Arial" w:cs="Arial" w:eastAsia="Arial" w:hAnsi="Arial"/>
          <w:b w:val="false"/>
          <w:bCs w:val="false"/>
          <w:i w:val="false"/>
          <w:iCs w:val="false"/>
          <w:color w:val="1a1a2e"/>
          <w:sz w:val="20"/>
          <w:szCs w:val="20"/>
        </w:rPr>
        <w:t xml:space="preserve"/>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Provide access to customer data, CRM, support tools, and communication platforms within 5 business days of Effective Date</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Make key stakeholders (CEO, VP CS, Product) available for the Day-30 readout and quarterly check-ins</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Respond to Shane's questions and requests within 3 business days</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Ensure CSM team attends platform onboarding and, where applicable, training sessions</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Designate an internal point of contact for day-to-day coordination</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Provide access to NPS, CSAT, churn, and ARR data — or confirm that none exists</w:t>
      </w:r>
    </w:p>
    <w:p>
      <w:pPr>
        <w:spacing w:before="40" w:after="40"/>
      </w:pPr>
      <w:r>
        <w:rPr>
          <w:rFonts w:ascii="Arial" w:cs="Arial" w:eastAsia="Arial" w:hAnsi="Arial"/>
          <w:b w:val="false"/>
          <w:bCs w:val="false"/>
          <w:i w:val="false"/>
          <w:iCs w:val="false"/>
          <w:color w:val="1a1a2e"/>
          <w:sz w:val="20"/>
          <w:szCs w:val="20"/>
        </w:rPr>
        <w:t xml:space="preserve"/>
      </w:r>
    </w:p>
    <w:p>
      <w:pPr>
        <w:pBdr>
          <w:bottom w:val="single" w:color="1a6cd0" w:sz="6" w:space="4"/>
        </w:pBdr>
        <w:spacing w:before="280" w:after="120"/>
      </w:pPr>
      <w:r>
        <w:rPr>
          <w:rFonts w:ascii="Arial" w:cs="Arial" w:eastAsia="Arial" w:hAnsi="Arial"/>
          <w:b/>
          <w:bCs/>
          <w:color w:val="1a6cd0"/>
          <w:sz w:val="28"/>
          <w:szCs w:val="28"/>
        </w:rPr>
        <w:t xml:space="preserve">6. Success Criteria</w:t>
      </w:r>
    </w:p>
    <w:p>
      <w:pPr>
        <w:spacing w:before="60" w:after="60"/>
      </w:pPr>
      <w:r>
        <w:rPr>
          <w:rFonts w:ascii="Arial" w:cs="Arial" w:eastAsia="Arial" w:hAnsi="Arial"/>
          <w:b w:val="false"/>
          <w:bCs w:val="false"/>
          <w:i w:val="false"/>
          <w:iCs w:val="false"/>
          <w:color w:val="1a1a2e"/>
          <w:sz w:val="20"/>
          <w:szCs w:val="20"/>
        </w:rPr>
        <w:t xml:space="preserve">The following metrics will be tracked and reported monthly. Baseline values are established at kickoff. Targets below are indicative — final targets will be agreed in the Day-30 readout based on actual baseline data.</w:t>
      </w:r>
    </w:p>
    <w:p>
      <w:pPr>
        <w:spacing w:before="40" w:after="40"/>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e2e8f0" w:sz="1"/>
              <w:left w:val="single" w:color="e2e8f0" w:sz="1"/>
              <w:bottom w:val="single" w:color="e2e8f0" w:sz="1"/>
              <w:right w:val="single" w:color="e2e8f0" w:sz="1"/>
            </w:tcBorders>
            <w:shd w:fill="1a6cd0"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Metric</w:t>
            </w:r>
          </w:p>
        </w:tc>
        <w:tc>
          <w:tcPr>
            <w:tcW w:type="dxa" w:w="2080"/>
            <w:tcBorders>
              <w:top w:val="single" w:color="e2e8f0" w:sz="1"/>
              <w:left w:val="single" w:color="e2e8f0" w:sz="1"/>
              <w:bottom w:val="single" w:color="e2e8f0" w:sz="1"/>
              <w:right w:val="single" w:color="e2e8f0" w:sz="1"/>
            </w:tcBorders>
            <w:shd w:fill="1a6cd0"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Baseline</w:t>
            </w:r>
          </w:p>
        </w:tc>
        <w:tc>
          <w:tcPr>
            <w:tcW w:type="dxa" w:w="2080"/>
            <w:tcBorders>
              <w:top w:val="single" w:color="e2e8f0" w:sz="1"/>
              <w:left w:val="single" w:color="e2e8f0" w:sz="1"/>
              <w:bottom w:val="single" w:color="e2e8f0" w:sz="1"/>
              <w:right w:val="single" w:color="e2e8f0" w:sz="1"/>
            </w:tcBorders>
            <w:shd w:fill="0f4c8a"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6-Month Target</w:t>
            </w:r>
          </w:p>
        </w:tc>
        <w:tc>
          <w:tcPr>
            <w:tcW w:type="dxa" w:w="2080"/>
            <w:tcBorders>
              <w:top w:val="single" w:color="e2e8f0" w:sz="1"/>
              <w:left w:val="single" w:color="e2e8f0" w:sz="1"/>
              <w:bottom w:val="single" w:color="e2e8f0" w:sz="1"/>
              <w:right w:val="single" w:color="e2e8f0" w:sz="1"/>
            </w:tcBorders>
            <w:shd w:fill="1a6cd0"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12-Month Target</w:t>
            </w:r>
          </w:p>
        </w:tc>
      </w:tr>
      <w:tr>
        <w:tc>
          <w:tcPr>
            <w:tcW w:type="dxa" w:w="3120"/>
            <w:tcBorders>
              <w:top w:val="single" w:color="e2e8f0" w:sz="1"/>
              <w:left w:val="single" w:color="e2e8f0" w:sz="1"/>
              <w:bottom w:val="single" w:color="e2e8f0" w:sz="1"/>
              <w:right w:val="single" w:color="e2e8f0" w:sz="1"/>
            </w:tcBorders>
            <w:shd w:fill="f5f7fa"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a1a2e"/>
                <w:sz w:val="18"/>
                <w:szCs w:val="18"/>
              </w:rPr>
              <w:t xml:space="preserve">Monthly/Annual Churn Rate</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TBD at kickoff</w:t>
            </w:r>
          </w:p>
        </w:tc>
        <w:tc>
          <w:tcPr>
            <w:tcW w:type="dxa" w:w="2080"/>
            <w:tcBorders>
              <w:top w:val="single" w:color="e2e8f0" w:sz="1"/>
              <w:left w:val="single" w:color="e2e8f0" w:sz="1"/>
              <w:bottom w:val="single" w:color="e2e8f0" w:sz="1"/>
              <w:right w:val="single" w:color="e2e8f0" w:sz="1"/>
            </w:tcBorders>
            <w:shd w:fill="dce8f9"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Reduce by 30–50%</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&lt; 7% annual</w:t>
            </w:r>
          </w:p>
        </w:tc>
      </w:tr>
      <w:tr>
        <w:tc>
          <w:tcPr>
            <w:tcW w:type="dxa" w:w="3120"/>
            <w:tcBorders>
              <w:top w:val="single" w:color="e2e8f0" w:sz="1"/>
              <w:left w:val="single" w:color="e2e8f0" w:sz="1"/>
              <w:bottom w:val="single" w:color="e2e8f0" w:sz="1"/>
              <w:right w:val="single" w:color="e2e8f0" w:sz="1"/>
            </w:tcBorders>
            <w:shd w:fill="f5f7fa"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a1a2e"/>
                <w:sz w:val="18"/>
                <w:szCs w:val="18"/>
              </w:rPr>
              <w:t xml:space="preserve">Net Revenue Retention (NRR)</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TBD at kickoff</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Move toward 100%</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&gt; 110%</w:t>
            </w:r>
          </w:p>
        </w:tc>
      </w:tr>
      <w:tr>
        <w:tc>
          <w:tcPr>
            <w:tcW w:type="dxa" w:w="3120"/>
            <w:tcBorders>
              <w:top w:val="single" w:color="e2e8f0" w:sz="1"/>
              <w:left w:val="single" w:color="e2e8f0" w:sz="1"/>
              <w:bottom w:val="single" w:color="e2e8f0" w:sz="1"/>
              <w:right w:val="single" w:color="e2e8f0" w:sz="1"/>
            </w:tcBorders>
            <w:shd w:fill="f5f7fa"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a1a2e"/>
                <w:sz w:val="18"/>
                <w:szCs w:val="18"/>
              </w:rPr>
              <w:t xml:space="preserve">Customer Health Score (avg)</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TBD at kickoff</w:t>
            </w:r>
          </w:p>
        </w:tc>
        <w:tc>
          <w:tcPr>
            <w:tcW w:type="dxa" w:w="2080"/>
            <w:tcBorders>
              <w:top w:val="single" w:color="e2e8f0" w:sz="1"/>
              <w:left w:val="single" w:color="e2e8f0" w:sz="1"/>
              <w:bottom w:val="single" w:color="e2e8f0" w:sz="1"/>
              <w:right w:val="single" w:color="e2e8f0" w:sz="1"/>
            </w:tcBorders>
            <w:shd w:fill="dce8f9"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&gt; 70 avg score</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&gt; 80 avg score</w:t>
            </w:r>
          </w:p>
        </w:tc>
      </w:tr>
      <w:tr>
        <w:tc>
          <w:tcPr>
            <w:tcW w:type="dxa" w:w="3120"/>
            <w:tcBorders>
              <w:top w:val="single" w:color="e2e8f0" w:sz="1"/>
              <w:left w:val="single" w:color="e2e8f0" w:sz="1"/>
              <w:bottom w:val="single" w:color="e2e8f0" w:sz="1"/>
              <w:right w:val="single" w:color="e2e8f0" w:sz="1"/>
            </w:tcBorders>
            <w:shd w:fill="f5f7fa"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a1a2e"/>
                <w:sz w:val="18"/>
                <w:szCs w:val="18"/>
              </w:rPr>
              <w:t xml:space="preserve">At-Risk Accounts Identified</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TBD at kickoff</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100% flagged in CCOPilot</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Proactive intervention SLA</w:t>
            </w:r>
          </w:p>
        </w:tc>
      </w:tr>
      <w:tr>
        <w:tc>
          <w:tcPr>
            <w:tcW w:type="dxa" w:w="3120"/>
            <w:tcBorders>
              <w:top w:val="single" w:color="e2e8f0" w:sz="1"/>
              <w:left w:val="single" w:color="e2e8f0" w:sz="1"/>
              <w:bottom w:val="single" w:color="e2e8f0" w:sz="1"/>
              <w:right w:val="single" w:color="e2e8f0" w:sz="1"/>
            </w:tcBorders>
            <w:shd w:fill="f5f7fa"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a1a2e"/>
                <w:sz w:val="18"/>
                <w:szCs w:val="18"/>
              </w:rPr>
              <w:t xml:space="preserve">EBR/QBR Coverage</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TBD at kickoff</w:t>
            </w:r>
          </w:p>
        </w:tc>
        <w:tc>
          <w:tcPr>
            <w:tcW w:type="dxa" w:w="2080"/>
            <w:tcBorders>
              <w:top w:val="single" w:color="e2e8f0" w:sz="1"/>
              <w:left w:val="single" w:color="e2e8f0" w:sz="1"/>
              <w:bottom w:val="single" w:color="e2e8f0" w:sz="1"/>
              <w:right w:val="single" w:color="e2e8f0" w:sz="1"/>
            </w:tcBorders>
            <w:shd w:fill="dce8f9"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Top 20% ARR</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Top 40% ARR</w:t>
            </w:r>
          </w:p>
        </w:tc>
      </w:tr>
      <w:tr>
        <w:tc>
          <w:tcPr>
            <w:tcW w:type="dxa" w:w="3120"/>
            <w:tcBorders>
              <w:top w:val="single" w:color="e2e8f0" w:sz="1"/>
              <w:left w:val="single" w:color="e2e8f0" w:sz="1"/>
              <w:bottom w:val="single" w:color="e2e8f0" w:sz="1"/>
              <w:right w:val="single" w:color="e2e8f0" w:sz="1"/>
            </w:tcBorders>
            <w:shd w:fill="f5f7fa"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a1a2e"/>
                <w:sz w:val="18"/>
                <w:szCs w:val="18"/>
              </w:rPr>
              <w:t xml:space="preserve">Time-to-Value (new customers)</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TBD at kickoff</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Reduce by 20%</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1a1a2e"/>
                <w:sz w:val="18"/>
                <w:szCs w:val="18"/>
              </w:rPr>
              <w:t xml:space="preserve">&lt; 30 days</w:t>
            </w:r>
          </w:p>
        </w:tc>
      </w:tr>
    </w:tbl>
    <w:p>
      <w:pPr>
        <w:spacing w:before="40" w:after="40"/>
      </w:pPr>
      <w:r>
        <w:rPr>
          <w:rFonts w:ascii="Arial" w:cs="Arial" w:eastAsia="Arial" w:hAnsi="Arial"/>
          <w:b w:val="false"/>
          <w:bCs w:val="false"/>
          <w:i w:val="false"/>
          <w:iCs w:val="false"/>
          <w:color w:val="1a1a2e"/>
          <w:sz w:val="20"/>
          <w:szCs w:val="20"/>
        </w:rPr>
        <w:t xml:space="preserve"/>
      </w:r>
    </w:p>
    <w:p>
      <w:pPr>
        <w:pBdr>
          <w:bottom w:val="single" w:color="1a6cd0" w:sz="6" w:space="4"/>
        </w:pBdr>
        <w:spacing w:before="280" w:after="120"/>
      </w:pPr>
      <w:r>
        <w:rPr>
          <w:rFonts w:ascii="Arial" w:cs="Arial" w:eastAsia="Arial" w:hAnsi="Arial"/>
          <w:b/>
          <w:bCs/>
          <w:color w:val="1a6cd0"/>
          <w:sz w:val="28"/>
          <w:szCs w:val="28"/>
        </w:rPr>
        <w:t xml:space="preserve">7. Key Terms</w:t>
      </w:r>
    </w:p>
    <w:p>
      <w:pPr>
        <w:spacing w:before="60" w:after="60"/>
      </w:pPr>
      <w:r>
        <w:rPr>
          <w:rFonts w:ascii="Arial" w:cs="Arial" w:eastAsia="Arial" w:hAnsi="Arial"/>
          <w:b w:val="false"/>
          <w:bCs w:val="false"/>
          <w:i w:val="false"/>
          <w:iCs w:val="false"/>
          <w:color w:val="1a1a2e"/>
          <w:sz w:val="20"/>
          <w:szCs w:val="20"/>
        </w:rPr>
        <w:t xml:space="preserve">This SOW is governed by the CCO2go.ai Master Service Agreement (MSA) and, where applicable, the Data Processing Agreement (DPA). The following terms apply specifically to this engagement:</w:t>
      </w:r>
    </w:p>
    <w:p>
      <w:pPr>
        <w:spacing w:before="40" w:after="40"/>
      </w:pPr>
      <w:r>
        <w:rPr>
          <w:rFonts w:ascii="Arial" w:cs="Arial" w:eastAsia="Arial" w:hAnsi="Arial"/>
          <w:b w:val="false"/>
          <w:bCs w:val="false"/>
          <w:i w:val="false"/>
          <w:iCs w:val="false"/>
          <w:color w:val="1a1a2e"/>
          <w:sz w:val="20"/>
          <w:szCs w:val="20"/>
        </w:rPr>
        <w:t xml:space="preserve"/>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Termination: Either party may terminate with 30 days written notice after the minimum commitment period</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IP: All deliverables, frameworks, and CCOPilot configurations created under this SOW remain the property of CCO2go.ai unless explicitly transferred in writing</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Confidentiality: Both parties are bound by the Mutual NDA executed prior to this SOW</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Amendments: Any changes to scope, fees, or timeline require written agreement from both parties</w:t>
      </w:r>
    </w:p>
    <w:p>
      <w:pPr>
        <w:pStyle w:val="ListParagraph"/>
        <w:numPr>
          <w:ilvl w:val="0"/>
          <w:numId w:val="2"/>
        </w:numPr>
        <w:spacing w:before="40" w:after="40"/>
      </w:pPr>
      <w:r>
        <w:rPr>
          <w:rFonts w:ascii="Arial" w:cs="Arial" w:eastAsia="Arial" w:hAnsi="Arial"/>
          <w:b w:val="false"/>
          <w:bCs w:val="false"/>
          <w:i w:val="false"/>
          <w:iCs w:val="false"/>
          <w:color w:val="1a1a2e"/>
          <w:sz w:val="20"/>
          <w:szCs w:val="20"/>
        </w:rPr>
        <w:t xml:space="preserve">Governing Law: State of Florida</w:t>
      </w:r>
    </w:p>
    <w:p>
      <w:pPr>
        <w:spacing w:before="40" w:after="40"/>
      </w:pPr>
      <w:r>
        <w:rPr>
          <w:rFonts w:ascii="Arial" w:cs="Arial" w:eastAsia="Arial" w:hAnsi="Arial"/>
          <w:b w:val="false"/>
          <w:bCs w:val="false"/>
          <w:i w:val="false"/>
          <w:iCs w:val="false"/>
          <w:color w:val="1a1a2e"/>
          <w:sz w:val="20"/>
          <w:szCs w:val="20"/>
        </w:rPr>
        <w:t xml:space="preserve"/>
      </w:r>
    </w:p>
    <w:p>
      <w:pPr>
        <w:pBdr>
          <w:bottom w:val="single" w:color="1a6cd0" w:sz="6" w:space="4"/>
        </w:pBdr>
        <w:spacing w:before="280" w:after="120"/>
      </w:pPr>
      <w:r>
        <w:rPr>
          <w:rFonts w:ascii="Arial" w:cs="Arial" w:eastAsia="Arial" w:hAnsi="Arial"/>
          <w:b/>
          <w:bCs/>
          <w:color w:val="1a6cd0"/>
          <w:sz w:val="28"/>
          <w:szCs w:val="28"/>
        </w:rPr>
        <w:t xml:space="preserve">8. Approval &amp; Signatures</w:t>
      </w:r>
    </w:p>
    <w:p>
      <w:pPr>
        <w:spacing w:before="60" w:after="60"/>
      </w:pPr>
      <w:r>
        <w:rPr>
          <w:rFonts w:ascii="Arial" w:cs="Arial" w:eastAsia="Arial" w:hAnsi="Arial"/>
          <w:b w:val="false"/>
          <w:bCs w:val="false"/>
          <w:i w:val="false"/>
          <w:iCs w:val="false"/>
          <w:color w:val="1a1a2e"/>
          <w:sz w:val="20"/>
          <w:szCs w:val="20"/>
        </w:rPr>
        <w:t xml:space="preserve">By signing below, both parties agree to the terms of this Statement of Work and the governing Master Service Agreement.</w:t>
      </w:r>
    </w:p>
    <w:p>
      <w:pPr>
        <w:spacing w:before="40" w:after="40"/>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280"/>
            </w:pPr>
            <w:r>
              <w:rPr>
                <w:rFonts w:ascii="Arial" w:cs="Arial" w:eastAsia="Arial" w:hAnsi="Arial"/>
                <w:b/>
                <w:bCs/>
                <w:i w:val="false"/>
                <w:iCs w:val="false"/>
                <w:color w:val="1a1a2e"/>
                <w:sz w:val="19"/>
                <w:szCs w:val="19"/>
              </w:rPr>
              <w:t xml:space="preserve">CLIENT</w:t>
            </w:r>
          </w:p>
          <w:p>
            <w:pPr>
              <w:spacing w:before="0" w:after="80"/>
            </w:pPr>
            <w:r>
              <w:rPr>
                <w:rFonts w:ascii="Arial" w:cs="Arial" w:eastAsia="Arial" w:hAnsi="Arial"/>
                <w:b w:val="false"/>
                <w:bCs w:val="false"/>
                <w:i w:val="false"/>
                <w:iCs w:val="false"/>
                <w:color w:val="1a1a2e"/>
                <w:sz w:val="20"/>
                <w:szCs w:val="20"/>
              </w:rPr>
              <w:t xml:space="preserve">Signature: ___________________________________</w:t>
            </w:r>
          </w:p>
          <w:p>
            <w:pPr>
              <w:spacing w:before="0" w:after="80"/>
            </w:pPr>
            <w:r>
              <w:rPr>
                <w:rFonts w:ascii="Arial" w:cs="Arial" w:eastAsia="Arial" w:hAnsi="Arial"/>
                <w:b w:val="false"/>
                <w:bCs w:val="false"/>
                <w:i w:val="false"/>
                <w:iCs w:val="false"/>
                <w:color w:val="1a1a2e"/>
                <w:sz w:val="20"/>
                <w:szCs w:val="20"/>
              </w:rPr>
              <w:t xml:space="preserve">Name: ___________________________________</w:t>
            </w:r>
          </w:p>
          <w:p>
            <w:pPr>
              <w:spacing w:before="0" w:after="80"/>
            </w:pPr>
            <w:r>
              <w:rPr>
                <w:rFonts w:ascii="Arial" w:cs="Arial" w:eastAsia="Arial" w:hAnsi="Arial"/>
                <w:b w:val="false"/>
                <w:bCs w:val="false"/>
                <w:i w:val="false"/>
                <w:iCs w:val="false"/>
                <w:color w:val="1a1a2e"/>
                <w:sz w:val="20"/>
                <w:szCs w:val="20"/>
              </w:rPr>
              <w:t xml:space="preserve">Title: ___________________________________</w:t>
            </w:r>
          </w:p>
          <w:p>
            <w:pPr>
              <w:spacing w:before="0" w:after="60"/>
            </w:pPr>
            <w:r>
              <w:rPr>
                <w:rFonts w:ascii="Arial" w:cs="Arial" w:eastAsia="Arial" w:hAnsi="Arial"/>
                <w:b w:val="false"/>
                <w:bCs w:val="false"/>
                <w:i w:val="false"/>
                <w:iCs w:val="false"/>
                <w:color w:val="1a1a2e"/>
                <w:sz w:val="20"/>
                <w:szCs w:val="20"/>
              </w:rPr>
              <w:t xml:space="preserve">Date: ___________________________________</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280"/>
            </w:pPr>
            <w:r>
              <w:rPr>
                <w:rFonts w:ascii="Arial" w:cs="Arial" w:eastAsia="Arial" w:hAnsi="Arial"/>
                <w:b/>
                <w:bCs/>
                <w:i w:val="false"/>
                <w:iCs w:val="false"/>
                <w:color w:val="1a1a2e"/>
                <w:sz w:val="19"/>
                <w:szCs w:val="19"/>
              </w:rPr>
              <w:t xml:space="preserve">CCO2go.ai</w:t>
            </w:r>
          </w:p>
          <w:p>
            <w:pPr>
              <w:spacing w:before="0" w:after="80"/>
            </w:pPr>
            <w:r>
              <w:rPr>
                <w:rFonts w:ascii="Arial" w:cs="Arial" w:eastAsia="Arial" w:hAnsi="Arial"/>
                <w:b w:val="false"/>
                <w:bCs w:val="false"/>
                <w:i w:val="false"/>
                <w:iCs w:val="false"/>
                <w:color w:val="1a1a2e"/>
                <w:sz w:val="20"/>
                <w:szCs w:val="20"/>
              </w:rPr>
              <w:t xml:space="preserve">Signature: ___________________________________</w:t>
            </w:r>
          </w:p>
          <w:p>
            <w:pPr>
              <w:spacing w:before="0" w:after="80"/>
            </w:pPr>
            <w:r>
              <w:rPr>
                <w:rFonts w:ascii="Arial" w:cs="Arial" w:eastAsia="Arial" w:hAnsi="Arial"/>
                <w:b w:val="false"/>
                <w:bCs w:val="false"/>
                <w:i w:val="false"/>
                <w:iCs w:val="false"/>
                <w:color w:val="1a1a2e"/>
                <w:sz w:val="20"/>
                <w:szCs w:val="20"/>
              </w:rPr>
              <w:t xml:space="preserve">Name: ___________________________________</w:t>
            </w:r>
          </w:p>
          <w:p>
            <w:pPr>
              <w:spacing w:before="0" w:after="80"/>
            </w:pPr>
            <w:r>
              <w:rPr>
                <w:rFonts w:ascii="Arial" w:cs="Arial" w:eastAsia="Arial" w:hAnsi="Arial"/>
                <w:b w:val="false"/>
                <w:bCs w:val="false"/>
                <w:i w:val="false"/>
                <w:iCs w:val="false"/>
                <w:color w:val="1a1a2e"/>
                <w:sz w:val="20"/>
                <w:szCs w:val="20"/>
              </w:rPr>
              <w:t xml:space="preserve">Title: ___________________________________</w:t>
            </w:r>
          </w:p>
          <w:p>
            <w:pPr>
              <w:spacing w:before="0" w:after="60"/>
            </w:pPr>
            <w:r>
              <w:rPr>
                <w:rFonts w:ascii="Arial" w:cs="Arial" w:eastAsia="Arial" w:hAnsi="Arial"/>
                <w:b w:val="false"/>
                <w:bCs w:val="false"/>
                <w:i w:val="false"/>
                <w:iCs w:val="false"/>
                <w:color w:val="1a1a2e"/>
                <w:sz w:val="20"/>
                <w:szCs w:val="20"/>
              </w:rPr>
              <w:t xml:space="preserve">Date: ___________________________________</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80"/>
    </w:pPr>
    <w:r>
      <w:rPr>
        <w:rFonts w:ascii="Arial" w:cs="Arial" w:eastAsia="Arial" w:hAnsi="Arial"/>
        <w:color w:val="aaaaaa"/>
        <w:sz w:val="16"/>
        <w:szCs w:val="16"/>
      </w:rPr>
      <w:t xml:space="preserve">© 2025–2026 CCO2go.ai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tabs>
        <w:tab w:val="right" w:pos="9026"/>
      </w:tabs>
      <w:spacing w:after="0"/>
    </w:pPr>
    <w:r>
      <w:rPr>
        <w:rFonts w:ascii="Arial" w:cs="Arial" w:eastAsia="Arial" w:hAnsi="Arial"/>
        <w:color w:val="888888"/>
        <w:sz w:val="18"/>
        <w:szCs w:val="18"/>
      </w:rPr>
      <w:t xml:space="preserve">CCO2go.ai  ·  Statement of Work</w:t>
    </w:r>
    <w:r>
      <w:rPr>
        <w:rFonts w:ascii="Arial" w:cs="Arial" w:eastAsia="Arial" w:hAnsi="Arial"/>
      </w:rPr>
      <w:t xml:space="preserve">	</w:t>
    </w:r>
    <w:r>
      <w:rPr>
        <w:rFonts w:ascii="Arial" w:cs="Arial" w:eastAsia="Arial" w:hAnsi="Arial"/>
        <w:i/>
        <w:iCs/>
        <w:color w:val="aaaaa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2026-02-24T16:38:33.152Z</dcterms:created>
  <dcterms:modified xsi:type="dcterms:W3CDTF">2026-02-24T16:38:33.152Z</dcterms:modified>
</cp:coreProperties>
</file>

<file path=docProps/custom.xml><?xml version="1.0" encoding="utf-8"?>
<Properties xmlns="http://schemas.openxmlformats.org/officeDocument/2006/custom-properties" xmlns:vt="http://schemas.openxmlformats.org/officeDocument/2006/docPropsVTypes"/>
</file>