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460"/>
          <w:sz w:val="48"/>
        </w:rPr>
        <w:t>CCOPilot.ai</w:t>
      </w:r>
    </w:p>
    <w:p>
      <w:pPr>
        <w:jc w:val="center"/>
      </w:pPr>
      <w:r>
        <w:rPr>
          <w:color w:val="4A5668"/>
          <w:sz w:val="32"/>
        </w:rPr>
        <w:t>Information Security Policy</w:t>
      </w:r>
    </w:p>
    <w:p>
      <w:pPr>
        <w:jc w:val="center"/>
      </w:pPr>
      <w:r>
        <w:rPr>
          <w:color w:val="1687A7"/>
          <w:sz w:val="22"/>
        </w:rPr>
        <w:t>Policy ID: POL-ISP-001</w:t>
      </w:r>
    </w:p>
    <w:p>
      <w:pPr>
        <w:jc w:val="center"/>
      </w:pPr>
      <w:r>
        <w:rPr>
          <w:color w:val="4A5668"/>
          <w:sz w:val="20"/>
        </w:rPr>
        <w:t>Version 1.0 | March 25, 2026</w:t>
      </w:r>
    </w:p>
    <w:p>
      <w:pPr>
        <w:jc w:val="center"/>
      </w:pPr>
      <w:r>
        <w:rPr>
          <w:b/>
          <w:color w:val="CC0000"/>
          <w:sz w:val="20"/>
        </w:rPr>
        <w:t>Classification: INTERNAL</w:t>
      </w:r>
    </w:p>
    <w:p/>
    <w:p/>
    <w:p/>
    <w:p/>
    <w:p>
      <w:pPr>
        <w:jc w:val="center"/>
      </w:pPr>
      <w:r>
        <w:rPr>
          <w:color w:val="4A5668"/>
          <w:sz w:val="18"/>
        </w:rPr>
        <w:t>CCO2go.ai | Powered by CCOPilot.ai</w:t>
      </w:r>
    </w:p>
    <w:p>
      <w:r>
        <w:br w:type="page"/>
      </w:r>
    </w:p>
    <w:p>
      <w:pPr>
        <w:pStyle w:val="Heading1"/>
      </w:pPr>
      <w:r>
        <w:t>Document Control</w:t>
      </w:r>
    </w:p>
    <w:tbl>
      <w:tblPr>
        <w:tblW w:type="auto" w:w="0"/>
        <w:tblLook w:firstColumn="1" w:firstRow="1" w:lastColumn="0" w:lastRow="0" w:noHBand="0" w:noVBand="1" w:val="04A0"/>
      </w:tblPr>
      <w:tblGrid>
        <w:gridCol w:w="4680"/>
        <w:gridCol w:w="4680"/>
      </w:tblGrid>
      <w:tr>
        <w:tc>
          <w:tcPr>
            <w:tcW w:type="dxa" w:w="4680"/>
            <w:shd w:fill="E8F4F8" w:val="clear"/>
          </w:tcPr>
          <w:p>
            <w:r>
              <w:rPr>
                <w:b/>
                <w:sz w:val="18"/>
              </w:rPr>
              <w:t>Policy ID</w:t>
            </w:r>
          </w:p>
        </w:tc>
        <w:tc>
          <w:tcPr>
            <w:tcW w:type="dxa" w:w="4680"/>
            <w:shd w:fill="E8F4F8" w:val="clear"/>
          </w:tcPr>
          <w:p>
            <w:r>
              <w:rPr>
                <w:sz w:val="18"/>
              </w:rPr>
              <w:t>POL-ISP-001</w:t>
            </w:r>
          </w:p>
        </w:tc>
      </w:tr>
      <w:tr>
        <w:tc>
          <w:tcPr>
            <w:tcW w:type="dxa" w:w="4680"/>
          </w:tcPr>
          <w:p>
            <w:r>
              <w:rPr>
                <w:b/>
                <w:sz w:val="18"/>
              </w:rPr>
              <w:t>Policy Name</w:t>
            </w:r>
          </w:p>
        </w:tc>
        <w:tc>
          <w:tcPr>
            <w:tcW w:type="dxa" w:w="4680"/>
          </w:tcPr>
          <w:p>
            <w:r>
              <w:rPr>
                <w:sz w:val="18"/>
              </w:rPr>
              <w:t>Information Security Policy</w:t>
            </w:r>
          </w:p>
        </w:tc>
      </w:tr>
      <w:tr>
        <w:tc>
          <w:tcPr>
            <w:tcW w:type="dxa" w:w="4680"/>
          </w:tcPr>
          <w:p>
            <w:r>
              <w:rPr>
                <w:b/>
                <w:sz w:val="18"/>
              </w:rPr>
              <w:t>Version</w:t>
            </w:r>
          </w:p>
        </w:tc>
        <w:tc>
          <w:tcPr>
            <w:tcW w:type="dxa" w:w="4680"/>
          </w:tcPr>
          <w:p>
            <w:r>
              <w:rPr>
                <w:sz w:val="18"/>
              </w:rPr>
              <w:t>1.0</w:t>
            </w:r>
          </w:p>
        </w:tc>
      </w:tr>
      <w:tr>
        <w:tc>
          <w:tcPr>
            <w:tcW w:type="dxa" w:w="4680"/>
          </w:tcPr>
          <w:p>
            <w:r>
              <w:rPr>
                <w:b/>
                <w:sz w:val="18"/>
              </w:rPr>
              <w:t>Effective Date</w:t>
            </w:r>
          </w:p>
        </w:tc>
        <w:tc>
          <w:tcPr>
            <w:tcW w:type="dxa" w:w="4680"/>
          </w:tcPr>
          <w:p>
            <w:r>
              <w:rPr>
                <w:sz w:val="18"/>
              </w:rPr>
              <w:t>March 25, 2026</w:t>
            </w:r>
          </w:p>
        </w:tc>
      </w:tr>
      <w:tr>
        <w:tc>
          <w:tcPr>
            <w:tcW w:type="dxa" w:w="4680"/>
          </w:tcPr>
          <w:p>
            <w:r>
              <w:rPr>
                <w:b/>
                <w:sz w:val="18"/>
              </w:rPr>
              <w:t>Last Review</w:t>
            </w:r>
          </w:p>
        </w:tc>
        <w:tc>
          <w:tcPr>
            <w:tcW w:type="dxa" w:w="4680"/>
          </w:tcPr>
          <w:p>
            <w:r>
              <w:rPr>
                <w:sz w:val="18"/>
              </w:rPr>
              <w:t>March 25, 2026</w:t>
            </w:r>
          </w:p>
        </w:tc>
      </w:tr>
      <w:tr>
        <w:tc>
          <w:tcPr>
            <w:tcW w:type="dxa" w:w="4680"/>
          </w:tcPr>
          <w:p>
            <w:r>
              <w:rPr>
                <w:b/>
                <w:sz w:val="18"/>
              </w:rPr>
              <w:t>Next Review</w:t>
            </w:r>
          </w:p>
        </w:tc>
        <w:tc>
          <w:tcPr>
            <w:tcW w:type="dxa" w:w="4680"/>
          </w:tcPr>
          <w:p>
            <w:r>
              <w:rPr>
                <w:sz w:val="18"/>
              </w:rPr>
              <w:t>June 25, 2026 (Quarterly)</w:t>
            </w:r>
          </w:p>
        </w:tc>
      </w:tr>
      <w:tr>
        <w:tc>
          <w:tcPr>
            <w:tcW w:type="dxa" w:w="4680"/>
          </w:tcPr>
          <w:p>
            <w:r>
              <w:rPr>
                <w:b/>
                <w:sz w:val="18"/>
              </w:rPr>
              <w:t>Owner</w:t>
            </w:r>
          </w:p>
        </w:tc>
        <w:tc>
          <w:tcPr>
            <w:tcW w:type="dxa" w:w="4680"/>
          </w:tcPr>
          <w:p>
            <w:r>
              <w:rPr>
                <w:sz w:val="18"/>
              </w:rPr>
              <w:t>Shane James, CEO</w:t>
            </w:r>
          </w:p>
        </w:tc>
      </w:tr>
      <w:tr>
        <w:tc>
          <w:tcPr>
            <w:tcW w:type="dxa" w:w="4680"/>
          </w:tcPr>
          <w:p>
            <w:r>
              <w:rPr>
                <w:b/>
                <w:sz w:val="18"/>
              </w:rPr>
              <w:t>Approved By</w:t>
            </w:r>
          </w:p>
        </w:tc>
        <w:tc>
          <w:tcPr>
            <w:tcW w:type="dxa" w:w="4680"/>
          </w:tcPr>
          <w:p>
            <w:r>
              <w:rPr>
                <w:sz w:val="18"/>
              </w:rPr>
              <w:t>_______________________ (Signature &amp; Date)</w:t>
            </w:r>
          </w:p>
        </w:tc>
      </w:tr>
    </w:tbl>
    <w:p/>
    <w:p>
      <w:pPr>
        <w:pStyle w:val="Heading2"/>
      </w:pPr>
      <w:r>
        <w:t>Revision History</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8"/>
              </w:rPr>
              <w:t>Version</w:t>
            </w:r>
          </w:p>
        </w:tc>
        <w:tc>
          <w:tcPr>
            <w:tcW w:type="dxa" w:w="2340"/>
            <w:shd w:fill="0F3460" w:val="clear"/>
          </w:tcPr>
          <w:p>
            <w:r>
              <w:rPr>
                <w:b/>
                <w:color w:val="FFFFFF"/>
                <w:sz w:val="18"/>
              </w:rPr>
              <w:t>Date</w:t>
            </w:r>
          </w:p>
        </w:tc>
        <w:tc>
          <w:tcPr>
            <w:tcW w:type="dxa" w:w="2340"/>
            <w:shd w:fill="0F3460" w:val="clear"/>
          </w:tcPr>
          <w:p>
            <w:r>
              <w:rPr>
                <w:b/>
                <w:color w:val="FFFFFF"/>
                <w:sz w:val="18"/>
              </w:rPr>
              <w:t>Author</w:t>
            </w:r>
          </w:p>
        </w:tc>
        <w:tc>
          <w:tcPr>
            <w:tcW w:type="dxa" w:w="2340"/>
            <w:shd w:fill="0F3460" w:val="clear"/>
          </w:tcPr>
          <w:p>
            <w:r>
              <w:rPr>
                <w:b/>
                <w:color w:val="FFFFFF"/>
                <w:sz w:val="18"/>
              </w:rPr>
              <w:t>Changes</w:t>
            </w:r>
          </w:p>
        </w:tc>
      </w:tr>
      <w:tr>
        <w:tc>
          <w:tcPr>
            <w:tcW w:type="dxa" w:w="2340"/>
          </w:tcPr>
          <w:p>
            <w:r>
              <w:rPr>
                <w:sz w:val="18"/>
              </w:rPr>
              <w:t>1.0</w:t>
            </w:r>
          </w:p>
        </w:tc>
        <w:tc>
          <w:tcPr>
            <w:tcW w:type="dxa" w:w="2340"/>
          </w:tcPr>
          <w:p>
            <w:r>
              <w:rPr>
                <w:sz w:val="18"/>
              </w:rPr>
              <w:t>March 25, 2026</w:t>
            </w:r>
          </w:p>
        </w:tc>
        <w:tc>
          <w:tcPr>
            <w:tcW w:type="dxa" w:w="2340"/>
          </w:tcPr>
          <w:p>
            <w:r>
              <w:rPr>
                <w:sz w:val="18"/>
              </w:rPr>
              <w:t>Shane James</w:t>
            </w:r>
          </w:p>
        </w:tc>
        <w:tc>
          <w:tcPr>
            <w:tcW w:type="dxa" w:w="2340"/>
          </w:tcPr>
          <w:p>
            <w:r>
              <w:rPr>
                <w:sz w:val="18"/>
              </w:rPr>
              <w:t>Initial policy creation</w:t>
            </w:r>
          </w:p>
        </w:tc>
      </w:tr>
    </w:tbl>
    <w:p/>
    <w:p>
      <w:pPr>
        <w:pStyle w:val="Heading1"/>
      </w:pPr>
      <w:r>
        <w:t>1. Purpose</w:t>
      </w:r>
    </w:p>
    <w:p>
      <w:r>
        <w:t>This policy establishes the information security program for CCOPilot.ai, a multi-tenant Customer Success Management platform operated by CCO2go.ai. It defines the organizational commitment to protecting the confidentiality, integrity, and availability of customer data, platform infrastructure, and business operations.</w:t>
      </w:r>
    </w:p>
    <w:p>
      <w:pPr>
        <w:pStyle w:val="Heading1"/>
      </w:pPr>
      <w:r>
        <w:t>2. Scope</w:t>
      </w:r>
    </w:p>
    <w:p>
      <w:r>
        <w:t>This policy applies to all personnel (employees, contractors, and third parties) who access CCOPilot.ai systems, data, or infrastructure. It covers:</w:t>
      </w:r>
    </w:p>
    <w:p>
      <w:pPr>
        <w:pStyle w:val="ListBullet"/>
      </w:pPr>
      <w:r>
        <w:t>The CCOPilot.ai production platform (frontend, backend API, PostgreSQL database)</w:t>
      </w:r>
    </w:p>
    <w:p>
      <w:pPr>
        <w:pStyle w:val="ListBullet"/>
      </w:pPr>
      <w:r>
        <w:t>All customer data processed and stored by the platform</w:t>
      </w:r>
    </w:p>
    <w:p>
      <w:pPr>
        <w:pStyle w:val="ListBullet"/>
      </w:pPr>
      <w:r>
        <w:t>Development and staging environments</w:t>
      </w:r>
    </w:p>
    <w:p>
      <w:pPr>
        <w:pStyle w:val="ListBullet"/>
      </w:pPr>
      <w:r>
        <w:t>Third-party services and integrations (Render, Doppler, Groq, Google, Microsoft, Stripe, Resend)</w:t>
      </w:r>
    </w:p>
    <w:p>
      <w:pPr>
        <w:pStyle w:val="ListBullet"/>
      </w:pPr>
      <w:r>
        <w:t>Source code repositories (GitHub)</w:t>
      </w:r>
    </w:p>
    <w:p>
      <w:pPr>
        <w:pStyle w:val="ListBullet"/>
      </w:pPr>
      <w:r>
        <w:t>Administrative access to infrastructure and secrets management</w:t>
      </w:r>
    </w:p>
    <w:p>
      <w:pPr>
        <w:pStyle w:val="Heading1"/>
      </w:pPr>
      <w:r>
        <w:t>3. Security Principles</w:t>
      </w:r>
    </w:p>
    <w:p>
      <w:r>
        <w:t>The CCOPilot.ai security program is built on the following principles:</w:t>
      </w:r>
    </w:p>
    <w:p>
      <w:pPr>
        <w:pStyle w:val="ListBullet"/>
      </w:pPr>
      <w:r>
        <w:t>Defense in Depth: Multiple layers of security controls so that no single failure compromises the system. Example: Application-level tenant isolation middleware AND PostgreSQL Row-Level Security policies on all 106 tenant tables.</w:t>
      </w:r>
    </w:p>
    <w:p>
      <w:pPr>
        <w:pStyle w:val="ListBullet"/>
      </w:pPr>
      <w:r>
        <w:t>Least Privilege: Personnel and systems receive only the minimum access necessary to perform their function. Role-based access control (RBAC) with four roles: Admin, Manager, CSM, Viewer.</w:t>
      </w:r>
    </w:p>
    <w:p>
      <w:pPr>
        <w:pStyle w:val="ListBullet"/>
      </w:pPr>
      <w:r>
        <w:t>Separation of Duties: Critical operations require independent verification. AI agent actions require human approval before execution. Secrets are managed in Doppler, separate from application code and deployment infrastructure.</w:t>
      </w:r>
    </w:p>
    <w:p>
      <w:pPr>
        <w:pStyle w:val="ListBullet"/>
      </w:pPr>
      <w:r>
        <w:t>Continuous Monitoring: Automated systems monitor platform health, security posture, and data integrity. UptimeRobot monitors API and frontend availability. AI agents monitor customer data patterns. Audit logging captures all significant actions.</w:t>
      </w:r>
    </w:p>
    <w:p>
      <w:pPr>
        <w:pStyle w:val="Heading1"/>
      </w:pPr>
      <w:r>
        <w:t>4. Security Controls</w:t>
      </w:r>
    </w:p>
    <w:p>
      <w:pPr>
        <w:pStyle w:val="Heading2"/>
      </w:pPr>
      <w:r>
        <w:t>4.1 Authentication and Access Control</w:t>
      </w:r>
    </w:p>
    <w:p>
      <w:pPr>
        <w:pStyle w:val="ListBullet"/>
      </w:pPr>
      <w:r>
        <w:t>Authentication uses JWT tokens stored in httpOnly, Secure, SameSite=Strict cookies. No tokens are exposed to client-side JavaScript.</w:t>
      </w:r>
    </w:p>
    <w:p>
      <w:pPr>
        <w:pStyle w:val="ListBullet"/>
      </w:pPr>
      <w:r>
        <w:t>CSRF protection validates Content-Type and Authorization headers on all state-changing requests.</w:t>
      </w:r>
    </w:p>
    <w:p>
      <w:pPr>
        <w:pStyle w:val="ListBullet"/>
      </w:pPr>
      <w:r>
        <w:t>Passwords are hashed using bcrypt with configurable salt rounds.</w:t>
      </w:r>
    </w:p>
    <w:p>
      <w:pPr>
        <w:pStyle w:val="ListBullet"/>
      </w:pPr>
      <w:r>
        <w:t>Google OAuth 2.0 is supported as an alternative authentication method.</w:t>
      </w:r>
    </w:p>
    <w:p>
      <w:pPr>
        <w:pStyle w:val="ListBullet"/>
      </w:pPr>
      <w:r>
        <w:t>Session tokens expire and are refreshed via refresh token rotation.</w:t>
      </w:r>
    </w:p>
    <w:p>
      <w:pPr>
        <w:pStyle w:val="ListBullet"/>
      </w:pPr>
      <w:r>
        <w:t>Rate limiting is enforced on authentication endpoints (5-10 requests/minute) with progressive lockout after repeated failures.</w:t>
      </w:r>
    </w:p>
    <w:p>
      <w:pPr>
        <w:pStyle w:val="Heading2"/>
      </w:pPr>
      <w:r>
        <w:t>4.2 Data Protection</w:t>
      </w:r>
    </w:p>
    <w:p>
      <w:pPr>
        <w:pStyle w:val="ListBullet"/>
      </w:pPr>
      <w:r>
        <w:t>Data in transit is encrypted via TLS 1.2+ (enforced by Render infrastructure).</w:t>
      </w:r>
    </w:p>
    <w:p>
      <w:pPr>
        <w:pStyle w:val="ListBullet"/>
      </w:pPr>
      <w:r>
        <w:t>Data at rest is encrypted via AES-256 (Render managed PostgreSQL).</w:t>
      </w:r>
    </w:p>
    <w:p>
      <w:pPr>
        <w:pStyle w:val="ListBullet"/>
      </w:pPr>
      <w:r>
        <w:t>Multi-tenant data isolation is enforced at both the application layer (tenant isolation middleware) and database layer (PostgreSQL Row-Level Security on 106 tables).</w:t>
      </w:r>
    </w:p>
    <w:p>
      <w:pPr>
        <w:pStyle w:val="ListBullet"/>
      </w:pPr>
      <w:r>
        <w:t>OAuth tokens for third-party integrations (Gmail, Outlook, Zoom, Slack) are stored in the database with database-level encryption.</w:t>
      </w:r>
    </w:p>
    <w:p>
      <w:pPr>
        <w:pStyle w:val="ListBullet"/>
      </w:pPr>
      <w:r>
        <w:t>All secrets, API keys, and credentials are managed through Doppler (SOC 2 Type II certified) with full audit trail.</w:t>
      </w:r>
    </w:p>
    <w:p>
      <w:pPr>
        <w:pStyle w:val="Heading2"/>
      </w:pPr>
      <w:r>
        <w:t>4.3 Application Security</w:t>
      </w:r>
    </w:p>
    <w:p>
      <w:pPr>
        <w:pStyle w:val="ListBullet"/>
      </w:pPr>
      <w:r>
        <w:t>Security headers are enforced via Helmet.js: Content-Security-Policy, X-Frame-Options: DENY, X-Content-Type-Options: nosniff, Strict-Transport-Security, Referrer-Policy.</w:t>
      </w:r>
    </w:p>
    <w:p>
      <w:pPr>
        <w:pStyle w:val="ListBullet"/>
      </w:pPr>
      <w:r>
        <w:t>CORS policy restricts API access to authorized CCOPilot frontend domains only.</w:t>
      </w:r>
    </w:p>
    <w:p>
      <w:pPr>
        <w:pStyle w:val="ListBullet"/>
      </w:pPr>
      <w:r>
        <w:t>Input validation is handled through Prisma ORM parameterized queries (preventing SQL injection) and React auto-escaping (preventing XSS).</w:t>
      </w:r>
    </w:p>
    <w:p>
      <w:pPr>
        <w:pStyle w:val="ListBullet"/>
      </w:pPr>
      <w:r>
        <w:t>Dependency vulnerability scanning is automated via GitHub Dependabot.</w:t>
      </w:r>
    </w:p>
    <w:p>
      <w:pPr>
        <w:pStyle w:val="ListBullet"/>
      </w:pPr>
      <w:r>
        <w:t>Tiered rate limiting protects against abuse: 100/min general, 20/min AI operations, 5/min heavy AI, 10/min bulk operations.</w:t>
      </w:r>
    </w:p>
    <w:p>
      <w:pPr>
        <w:pStyle w:val="Heading2"/>
      </w:pPr>
      <w:r>
        <w:t>4.4 AI Agent Governance</w:t>
      </w:r>
    </w:p>
    <w:p>
      <w:pPr>
        <w:pStyle w:val="ListBullet"/>
      </w:pPr>
      <w:r>
        <w:t>All 28+ AI agents operate under human-in-the-loop governance. Agent-generated actions require CSM approval before execution.</w:t>
      </w:r>
    </w:p>
    <w:p>
      <w:pPr>
        <w:pStyle w:val="ListBullet"/>
      </w:pPr>
      <w:r>
        <w:t>Agent actions can be approved, rejected, or snoozed. Bulk operations are supported.</w:t>
      </w:r>
    </w:p>
    <w:p>
      <w:pPr>
        <w:pStyle w:val="ListBullet"/>
      </w:pPr>
      <w:r>
        <w:t>The Agent Learning system captures feedback from approved and dismissed actions to improve accuracy over time.</w:t>
      </w:r>
    </w:p>
    <w:p>
      <w:pPr>
        <w:pStyle w:val="ListBullet"/>
      </w:pPr>
      <w:r>
        <w:t>Agent execution history is fully logged with inputs, outputs, timestamps, and outcomes.</w:t>
      </w:r>
    </w:p>
    <w:p>
      <w:pPr>
        <w:pStyle w:val="ListBullet"/>
      </w:pPr>
      <w:r>
        <w:t>AI model providers (Groq, Anthropic) are configurable per organization via LLM Settings.</w:t>
      </w:r>
    </w:p>
    <w:p>
      <w:pPr>
        <w:pStyle w:val="Heading2"/>
      </w:pPr>
      <w:r>
        <w:t>4.5 Monitoring and Logging</w:t>
      </w:r>
    </w:p>
    <w:p>
      <w:pPr>
        <w:pStyle w:val="ListBullet"/>
      </w:pPr>
      <w:r>
        <w:t>External uptime monitoring via UptimeRobot (5-minute intervals) on API health endpoint and frontend.</w:t>
      </w:r>
    </w:p>
    <w:p>
      <w:pPr>
        <w:pStyle w:val="ListBullet"/>
      </w:pPr>
      <w:r>
        <w:t>API health endpoint validates both server availability and database connectivity.</w:t>
      </w:r>
    </w:p>
    <w:p>
      <w:pPr>
        <w:pStyle w:val="ListBullet"/>
      </w:pPr>
      <w:r>
        <w:t>Public status page available at https://stats.uptimerobot.com/j8LMMVikNW.</w:t>
      </w:r>
    </w:p>
    <w:p>
      <w:pPr>
        <w:pStyle w:val="ListBullet"/>
      </w:pPr>
      <w:r>
        <w:t>Audit logging captures authentication events, data modifications, and administrative actions.</w:t>
      </w:r>
    </w:p>
    <w:p>
      <w:pPr>
        <w:pStyle w:val="ListBullet"/>
      </w:pPr>
      <w:r>
        <w:t>Doppler maintains audit trail for all secret access and modifications.</w:t>
      </w:r>
    </w:p>
    <w:p>
      <w:pPr>
        <w:pStyle w:val="ListBullet"/>
      </w:pPr>
      <w:r>
        <w:t>Render provides application logs with configurable retention.</w:t>
      </w:r>
    </w:p>
    <w:p>
      <w:pPr>
        <w:pStyle w:val="Heading1"/>
      </w:pPr>
      <w:r>
        <w:t>5. Roles and Responsibilities</w:t>
      </w:r>
    </w:p>
    <w:p>
      <w:r>
        <w:t>CEO (Shane James): Overall accountability for the security program. Approves security policies. Declares security incidents. Reviews security posture quarterly.</w:t>
      </w:r>
    </w:p>
    <w:p>
      <w:r>
        <w:t>All Personnel: Comply with this policy and all subsidiary security policies. Report security incidents or concerns immediately. Complete security awareness training annually.</w:t>
      </w:r>
    </w:p>
    <w:p>
      <w:pPr>
        <w:pStyle w:val="Heading1"/>
      </w:pPr>
      <w:r>
        <w:t>6. Policy Review</w:t>
      </w:r>
    </w:p>
    <w:p>
      <w:r>
        <w:t>This policy is reviewed quarterly and updated as needed. Reviews are triggered by: scheduled quarterly review, significant security incidents, material changes to infrastructure or operations, regulatory or compliance requirement changes.</w:t>
      </w:r>
    </w:p>
    <w:p>
      <w:pPr>
        <w:pStyle w:val="Heading1"/>
      </w:pPr>
      <w:r>
        <w:t>7. Enforcement</w:t>
      </w:r>
    </w:p>
    <w:p>
      <w:r>
        <w:t>Violation of this policy may result in disciplinary action up to and including termination of employment or contract. Violations involving customer data may also trigger notification obligations under applicable data protection laws and the CCOPilot Data Processing Agreement.</w:t>
      </w:r>
    </w:p>
    <w:p/>
    <w:p>
      <w:pPr>
        <w:jc w:val="center"/>
      </w:pPr>
      <w:r>
        <w:rPr>
          <w:color w:val="4A5668"/>
          <w:sz w:val="16"/>
        </w:rPr>
        <w:t>Information Security Policy (POL-ISP-001) v1.0</w:t>
        <w:br/>
        <w:t>© 2026 CCO2go.ai | CCOPilot.ai</w:t>
        <w:br/>
        <w:t>shane.james@cco2go.ai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346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687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