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F3460"/>
          <w:sz w:val="48"/>
        </w:rPr>
        <w:t>CCOPilot.ai</w:t>
      </w:r>
    </w:p>
    <w:p>
      <w:pPr>
        <w:jc w:val="center"/>
      </w:pPr>
      <w:r>
        <w:rPr>
          <w:color w:val="4A5668"/>
          <w:sz w:val="32"/>
        </w:rPr>
        <w:t>Incident Response Policy</w:t>
      </w:r>
    </w:p>
    <w:p>
      <w:pPr>
        <w:jc w:val="center"/>
      </w:pPr>
      <w:r>
        <w:rPr>
          <w:color w:val="1687A7"/>
          <w:sz w:val="22"/>
        </w:rPr>
        <w:t>Policy ID: POL-IRP-004</w:t>
      </w:r>
    </w:p>
    <w:p>
      <w:pPr>
        <w:jc w:val="center"/>
      </w:pPr>
      <w:r>
        <w:rPr>
          <w:color w:val="4A5668"/>
          <w:sz w:val="20"/>
        </w:rPr>
        <w:t>Version 1.0 | March 25, 2026</w:t>
      </w:r>
    </w:p>
    <w:p>
      <w:pPr>
        <w:jc w:val="center"/>
      </w:pPr>
      <w:r>
        <w:rPr>
          <w:b/>
          <w:color w:val="CC0000"/>
          <w:sz w:val="20"/>
        </w:rPr>
        <w:t>Classification: INTERNAL</w:t>
      </w:r>
    </w:p>
    <w:p/>
    <w:p/>
    <w:p/>
    <w:p/>
    <w:p>
      <w:pPr>
        <w:jc w:val="center"/>
      </w:pPr>
      <w:r>
        <w:rPr>
          <w:color w:val="4A5668"/>
          <w:sz w:val="18"/>
        </w:rPr>
        <w:t>CCO2go.ai | Powered by CCOPilot.ai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4F8" w:val="clear"/>
          </w:tcPr>
          <w:p>
            <w:r>
              <w:rPr>
                <w:b/>
                <w:sz w:val="18"/>
              </w:rPr>
              <w:t>Policy ID</w:t>
            </w:r>
          </w:p>
        </w:tc>
        <w:tc>
          <w:tcPr>
            <w:tcW w:type="dxa" w:w="4680"/>
            <w:shd w:fill="E8F4F8" w:val="clear"/>
          </w:tcPr>
          <w:p>
            <w:r>
              <w:rPr>
                <w:sz w:val="18"/>
              </w:rPr>
              <w:t>POL-IRP-004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Policy Name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Incident Response Policy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Effective Date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March 25,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Last Review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March 25,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Next Review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June 25, 2026 (Quarterly)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Shane James, CEO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Approved By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_______________________ (Signature &amp; Date)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3460" w:val="clear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40"/>
            <w:shd w:fill="0F3460" w:val="clear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40"/>
            <w:shd w:fill="0F3460" w:val="clear"/>
          </w:tcPr>
          <w:p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40"/>
            <w:shd w:fill="0F3460" w:val="clear"/>
          </w:tcPr>
          <w:p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March 25, 2026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Shane James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Initial policy creation</w:t>
            </w:r>
          </w:p>
        </w:tc>
      </w:tr>
    </w:tbl>
    <w:p/>
    <w:p>
      <w:pPr>
        <w:pStyle w:val="Heading1"/>
      </w:pPr>
      <w:r>
        <w:t>1. Purpose</w:t>
      </w:r>
    </w:p>
    <w:p>
      <w:r>
        <w:t>This policy defines how CCOPilot.ai identifies, responds to, resolves, and learns from security incidents and service disruptions. It ensures a consistent, documented approach to incident handling that protects customers and minimizes business impact.</w:t>
      </w:r>
    </w:p>
    <w:p>
      <w:pPr>
        <w:pStyle w:val="Heading1"/>
      </w:pPr>
      <w:r>
        <w:t>2. Scope</w:t>
      </w:r>
    </w:p>
    <w:p>
      <w:r>
        <w:t>This policy covers all incidents affecting the CCOPilot.ai platform including: security breaches and unauthorized access, data loss or corruption, service outages and performance degradation, third-party vendor failures affecting platform operation, and AI agent malfunction or data integrity issues.</w:t>
      </w:r>
    </w:p>
    <w:p>
      <w:pPr>
        <w:pStyle w:val="Heading1"/>
      </w:pPr>
      <w:r>
        <w:t>3. Incident Classification</w:t>
      </w:r>
    </w:p>
    <w:p>
      <w:pPr>
        <w:pStyle w:val="Heading2"/>
      </w:pPr>
      <w:r>
        <w:t>3.1 Severity Levels</w:t>
      </w:r>
    </w:p>
    <w:p>
      <w:pPr>
        <w:pStyle w:val="ListBullet"/>
      </w:pPr>
      <w:r>
        <w:t>SEV-1 (Critical): Platform-wide outage, confirmed data breach, multi-tenant data leakage, or ransomware. All customers affected. Response: Immediate (within 15 minutes). CEO directly manages response.</w:t>
      </w:r>
    </w:p>
    <w:p>
      <w:pPr>
        <w:pStyle w:val="ListBullet"/>
      </w:pPr>
      <w:r>
        <w:t>SEV-2 (High): Partial service degradation affecting multiple customers, suspected unauthorized access, data corruption in one tenant, or significant feature failure. Response: Within 1 hour.</w:t>
      </w:r>
    </w:p>
    <w:p>
      <w:pPr>
        <w:pStyle w:val="ListBullet"/>
      </w:pPr>
      <w:r>
        <w:t>SEV-3 (Medium): Single-customer issue, minor feature malfunction, integration failure (Gmail/Zoom/Slack down), or performance degradation. Response: Within 4 hours during business hours.</w:t>
      </w:r>
    </w:p>
    <w:p>
      <w:pPr>
        <w:pStyle w:val="ListBullet"/>
      </w:pPr>
      <w:r>
        <w:t>SEV-4 (Low): Cosmetic issues, non-critical bugs, or feature requests misidentified as incidents. Response: Next business day.</w:t>
      </w:r>
    </w:p>
    <w:p>
      <w:pPr>
        <w:pStyle w:val="Heading1"/>
      </w:pPr>
      <w:r>
        <w:t>4. Incident Response Process</w:t>
      </w:r>
    </w:p>
    <w:p>
      <w:pPr>
        <w:pStyle w:val="Heading2"/>
      </w:pPr>
      <w:r>
        <w:t>4.1 Detection</w:t>
      </w:r>
    </w:p>
    <w:p>
      <w:r>
        <w:t>Incidents may be detected through:</w:t>
      </w:r>
    </w:p>
    <w:p>
      <w:pPr>
        <w:pStyle w:val="ListBullet"/>
      </w:pPr>
      <w:r>
        <w:t>UptimeRobot alerts (automated, 5-minute monitoring intervals)</w:t>
      </w:r>
    </w:p>
    <w:p>
      <w:pPr>
        <w:pStyle w:val="ListBullet"/>
      </w:pPr>
      <w:r>
        <w:t>Customer reports (via support tickets, email, or in-app bug reports)</w:t>
      </w:r>
    </w:p>
    <w:p>
      <w:pPr>
        <w:pStyle w:val="ListBullet"/>
      </w:pPr>
      <w:r>
        <w:t>Render platform alerts (service crashes, database issues)</w:t>
      </w:r>
    </w:p>
    <w:p>
      <w:pPr>
        <w:pStyle w:val="ListBullet"/>
      </w:pPr>
      <w:r>
        <w:t>Doppler audit trail anomalies (unexpected secret access)</w:t>
      </w:r>
    </w:p>
    <w:p>
      <w:pPr>
        <w:pStyle w:val="ListBullet"/>
      </w:pPr>
      <w:r>
        <w:t>Internal discovery (during development, testing, or routine review)</w:t>
      </w:r>
    </w:p>
    <w:p>
      <w:pPr>
        <w:pStyle w:val="Heading2"/>
      </w:pPr>
      <w:r>
        <w:t>4.2 Triage</w:t>
      </w:r>
    </w:p>
    <w:p>
      <w:pPr>
        <w:pStyle w:val="ListNumber"/>
      </w:pPr>
      <w:r>
        <w:t>Acknowledge the incident within the response window for its severity level.</w:t>
      </w:r>
    </w:p>
    <w:p>
      <w:pPr>
        <w:pStyle w:val="ListNumber"/>
      </w:pPr>
      <w:r>
        <w:t>Classify the severity based on impact scope and data sensitivity.</w:t>
      </w:r>
    </w:p>
    <w:p>
      <w:pPr>
        <w:pStyle w:val="ListNumber"/>
      </w:pPr>
      <w:r>
        <w:t>Assign an incident owner (currently defaults to CEO).</w:t>
      </w:r>
    </w:p>
    <w:p>
      <w:pPr>
        <w:pStyle w:val="ListNumber"/>
      </w:pPr>
      <w:r>
        <w:t>Create an incident record documenting: time detected, how detected, initial classification, affected systems/customers.</w:t>
      </w:r>
    </w:p>
    <w:p>
      <w:pPr>
        <w:pStyle w:val="Heading2"/>
      </w:pPr>
      <w:r>
        <w:t>4.3 Containment</w:t>
      </w:r>
    </w:p>
    <w:p>
      <w:r>
        <w:t>Take immediate action to limit the impact:</w:t>
      </w:r>
    </w:p>
    <w:p>
      <w:pPr>
        <w:pStyle w:val="ListBullet"/>
      </w:pPr>
      <w:r>
        <w:t>Security breach: Revoke compromised credentials via Doppler. Lock affected user accounts.</w:t>
      </w:r>
    </w:p>
    <w:p>
      <w:pPr>
        <w:pStyle w:val="ListBullet"/>
      </w:pPr>
      <w:r>
        <w:t>Data corruption: Stop writes to affected data. Prepare PITR recovery.</w:t>
      </w:r>
    </w:p>
    <w:p>
      <w:pPr>
        <w:pStyle w:val="ListBullet"/>
      </w:pPr>
      <w:r>
        <w:t>Service outage: Attempt restart. If recurring, rollback to previous deployment via Render.</w:t>
      </w:r>
    </w:p>
    <w:p>
      <w:pPr>
        <w:pStyle w:val="ListBullet"/>
      </w:pPr>
      <w:r>
        <w:t>Third-party failure: Verify the issue is on the vendor's side. Switch to fallback (e.g., Anthropic if Groq is down).</w:t>
      </w:r>
    </w:p>
    <w:p>
      <w:pPr>
        <w:pStyle w:val="Heading2"/>
      </w:pPr>
      <w:r>
        <w:t>4.4 Resolution</w:t>
      </w:r>
    </w:p>
    <w:p>
      <w:pPr>
        <w:pStyle w:val="ListNumber"/>
      </w:pPr>
      <w:r>
        <w:t>Implement the fix (code change, configuration update, credential rotation, PITR recovery).</w:t>
      </w:r>
    </w:p>
    <w:p>
      <w:pPr>
        <w:pStyle w:val="ListNumber"/>
      </w:pPr>
      <w:r>
        <w:t>Verify the fix resolves the issue without introducing new problems.</w:t>
      </w:r>
    </w:p>
    <w:p>
      <w:pPr>
        <w:pStyle w:val="ListNumber"/>
      </w:pPr>
      <w:r>
        <w:t>Restore normal operations.</w:t>
      </w:r>
    </w:p>
    <w:p>
      <w:pPr>
        <w:pStyle w:val="ListNumber"/>
      </w:pPr>
      <w:r>
        <w:t>Confirm with affected customers that the issue is resolved.</w:t>
      </w:r>
    </w:p>
    <w:p>
      <w:pPr>
        <w:pStyle w:val="Heading2"/>
      </w:pPr>
      <w:r>
        <w:t>4.5 Post-Incident Review</w:t>
      </w:r>
    </w:p>
    <w:p>
      <w:r>
        <w:t>Within 5 business days of resolution, complete a post-incident review documenting:</w:t>
      </w:r>
    </w:p>
    <w:p>
      <w:pPr>
        <w:pStyle w:val="ListBullet"/>
      </w:pPr>
      <w:r>
        <w:t>Timeline: When was the incident detected, triaged, contained, and resolved?</w:t>
      </w:r>
    </w:p>
    <w:p>
      <w:pPr>
        <w:pStyle w:val="ListBullet"/>
      </w:pPr>
      <w:r>
        <w:t>Root cause: What caused the incident?</w:t>
      </w:r>
    </w:p>
    <w:p>
      <w:pPr>
        <w:pStyle w:val="ListBullet"/>
      </w:pPr>
      <w:r>
        <w:t>Impact: How many customers were affected? Was data compromised?</w:t>
      </w:r>
    </w:p>
    <w:p>
      <w:pPr>
        <w:pStyle w:val="ListBullet"/>
      </w:pPr>
      <w:r>
        <w:t>Response assessment: What went well? What could be improved?</w:t>
      </w:r>
    </w:p>
    <w:p>
      <w:pPr>
        <w:pStyle w:val="ListBullet"/>
      </w:pPr>
      <w:r>
        <w:t>Corrective actions: What changes will prevent recurrence?</w:t>
      </w:r>
    </w:p>
    <w:p>
      <w:pPr>
        <w:pStyle w:val="ListBullet"/>
      </w:pPr>
      <w:r>
        <w:t>Assigned follow-ups with owners and deadlines.</w:t>
      </w:r>
    </w:p>
    <w:p>
      <w:pPr>
        <w:pStyle w:val="Heading1"/>
      </w:pPr>
      <w:r>
        <w:t>5. Customer Notification</w:t>
      </w:r>
    </w:p>
    <w:p>
      <w:r>
        <w:t>Customers must be notified per the following schedule:</w:t>
      </w:r>
    </w:p>
    <w:p>
      <w:pPr>
        <w:pStyle w:val="ListBullet"/>
      </w:pPr>
      <w:r>
        <w:t>SEV-1: Within 30 minutes of detection. Updates every 2 hours until resolved.</w:t>
      </w:r>
    </w:p>
    <w:p>
      <w:pPr>
        <w:pStyle w:val="ListBullet"/>
      </w:pPr>
      <w:r>
        <w:t>SEV-2: Within 4 hours if customer data is affected. Updates every 4 hours.</w:t>
      </w:r>
    </w:p>
    <w:p>
      <w:pPr>
        <w:pStyle w:val="ListBullet"/>
      </w:pPr>
      <w:r>
        <w:t>SEV-3/4: No mandatory notification unless customer data is affected.</w:t>
      </w:r>
    </w:p>
    <w:p>
      <w:pPr>
        <w:pStyle w:val="ListBullet"/>
      </w:pPr>
      <w:r>
        <w:t>Data breach: Within 48 hours per the Data Processing Agreement.</w:t>
      </w:r>
    </w:p>
    <w:p>
      <w:r>
        <w:t>Notifications are sent via email. The public status page (stats.uptimerobot.com/j8LMMVikNW) is updated for all SEV-1 and SEV-2 incidents.</w:t>
      </w:r>
    </w:p>
    <w:p>
      <w:pPr>
        <w:pStyle w:val="Heading1"/>
      </w:pPr>
      <w:r>
        <w:t>6. Evidence Preservation</w:t>
      </w:r>
    </w:p>
    <w:p>
      <w:r>
        <w:t>During any security incident:</w:t>
      </w:r>
    </w:p>
    <w:p>
      <w:pPr>
        <w:pStyle w:val="ListBullet"/>
      </w:pPr>
      <w:r>
        <w:t>Do NOT delete or modify logs before forensic review.</w:t>
      </w:r>
    </w:p>
    <w:p>
      <w:pPr>
        <w:pStyle w:val="ListBullet"/>
      </w:pPr>
      <w:r>
        <w:t>Export relevant Render logs, Doppler audit trail, and application audit logs.</w:t>
      </w:r>
    </w:p>
    <w:p>
      <w:pPr>
        <w:pStyle w:val="ListBullet"/>
      </w:pPr>
      <w:r>
        <w:t>If data was modified by an unauthorized party, create a database export before performing PITR recovery.</w:t>
      </w:r>
    </w:p>
    <w:p>
      <w:pPr>
        <w:pStyle w:val="ListBullet"/>
      </w:pPr>
      <w:r>
        <w:t>Preserve all email and communication records related to the incident.</w:t>
      </w:r>
    </w:p>
    <w:p/>
    <w:p>
      <w:pPr>
        <w:jc w:val="center"/>
      </w:pPr>
      <w:r>
        <w:rPr>
          <w:color w:val="4A5668"/>
          <w:sz w:val="16"/>
        </w:rPr>
        <w:t>Incident Response Policy (POL-IRP-004) v1.0</w:t>
        <w:br/>
        <w:t>© 2026 CCO2go.ai | CCOPilot.ai</w:t>
        <w:br/>
        <w:t>shane.james@cco2go.ai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F34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687A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