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F3460"/>
          <w:sz w:val="48"/>
        </w:rPr>
        <w:t>CCOPilot.ai</w:t>
      </w:r>
    </w:p>
    <w:p>
      <w:pPr>
        <w:jc w:val="center"/>
      </w:pPr>
      <w:r>
        <w:rPr>
          <w:color w:val="4A5668"/>
          <w:sz w:val="32"/>
        </w:rPr>
        <w:t>Business Continuity &amp; Disaster Recovery Policy</w:t>
      </w:r>
    </w:p>
    <w:p>
      <w:pPr>
        <w:jc w:val="center"/>
      </w:pPr>
      <w:r>
        <w:rPr>
          <w:color w:val="1687A7"/>
          <w:sz w:val="22"/>
        </w:rPr>
        <w:t>Policy ID: POL-BCD-005</w:t>
      </w:r>
    </w:p>
    <w:p>
      <w:pPr>
        <w:jc w:val="center"/>
      </w:pPr>
      <w:r>
        <w:rPr>
          <w:color w:val="4A5668"/>
          <w:sz w:val="20"/>
        </w:rPr>
        <w:t>Version 1.0 | March 25, 2026</w:t>
      </w:r>
    </w:p>
    <w:p>
      <w:pPr>
        <w:jc w:val="center"/>
      </w:pPr>
      <w:r>
        <w:rPr>
          <w:b/>
          <w:color w:val="CC0000"/>
          <w:sz w:val="20"/>
        </w:rPr>
        <w:t>Classification: INTERNAL</w:t>
      </w:r>
    </w:p>
    <w:p/>
    <w:p/>
    <w:p/>
    <w:p/>
    <w:p>
      <w:pPr>
        <w:jc w:val="center"/>
      </w:pPr>
      <w:r>
        <w:rPr>
          <w:color w:val="4A5668"/>
          <w:sz w:val="18"/>
        </w:rPr>
        <w:t>CCO2go.ai | Powered by CCOPilot.ai</w:t>
      </w:r>
    </w:p>
    <w:p>
      <w:r>
        <w:br w:type="page"/>
      </w:r>
    </w:p>
    <w:p>
      <w:pPr>
        <w:pStyle w:val="Heading1"/>
      </w:pPr>
      <w:r>
        <w:t>Document Control</w:t>
      </w:r>
    </w:p>
    <w:tbl>
      <w:tblPr>
        <w:tblW w:type="auto" w:w="0"/>
        <w:tblLook w:firstColumn="1" w:firstRow="1" w:lastColumn="0" w:lastRow="0" w:noHBand="0" w:noVBand="1" w:val="04A0"/>
      </w:tblPr>
      <w:tblGrid>
        <w:gridCol w:w="4680"/>
        <w:gridCol w:w="4680"/>
      </w:tblGrid>
      <w:tr>
        <w:tc>
          <w:tcPr>
            <w:tcW w:type="dxa" w:w="4680"/>
            <w:shd w:fill="E8F4F8" w:val="clear"/>
          </w:tcPr>
          <w:p>
            <w:r>
              <w:rPr>
                <w:b/>
                <w:sz w:val="18"/>
              </w:rPr>
              <w:t>Policy ID</w:t>
            </w:r>
          </w:p>
        </w:tc>
        <w:tc>
          <w:tcPr>
            <w:tcW w:type="dxa" w:w="4680"/>
            <w:shd w:fill="E8F4F8" w:val="clear"/>
          </w:tcPr>
          <w:p>
            <w:r>
              <w:rPr>
                <w:sz w:val="18"/>
              </w:rPr>
              <w:t>POL-BCD-005</w:t>
            </w:r>
          </w:p>
        </w:tc>
      </w:tr>
      <w:tr>
        <w:tc>
          <w:tcPr>
            <w:tcW w:type="dxa" w:w="4680"/>
          </w:tcPr>
          <w:p>
            <w:r>
              <w:rPr>
                <w:b/>
                <w:sz w:val="18"/>
              </w:rPr>
              <w:t>Policy Name</w:t>
            </w:r>
          </w:p>
        </w:tc>
        <w:tc>
          <w:tcPr>
            <w:tcW w:type="dxa" w:w="4680"/>
          </w:tcPr>
          <w:p>
            <w:r>
              <w:rPr>
                <w:sz w:val="18"/>
              </w:rPr>
              <w:t>Business Continuity &amp; Disaster Recovery Policy</w:t>
            </w:r>
          </w:p>
        </w:tc>
      </w:tr>
      <w:tr>
        <w:tc>
          <w:tcPr>
            <w:tcW w:type="dxa" w:w="4680"/>
          </w:tcPr>
          <w:p>
            <w:r>
              <w:rPr>
                <w:b/>
                <w:sz w:val="18"/>
              </w:rPr>
              <w:t>Version</w:t>
            </w:r>
          </w:p>
        </w:tc>
        <w:tc>
          <w:tcPr>
            <w:tcW w:type="dxa" w:w="4680"/>
          </w:tcPr>
          <w:p>
            <w:r>
              <w:rPr>
                <w:sz w:val="18"/>
              </w:rPr>
              <w:t>1.0</w:t>
            </w:r>
          </w:p>
        </w:tc>
      </w:tr>
      <w:tr>
        <w:tc>
          <w:tcPr>
            <w:tcW w:type="dxa" w:w="4680"/>
          </w:tcPr>
          <w:p>
            <w:r>
              <w:rPr>
                <w:b/>
                <w:sz w:val="18"/>
              </w:rPr>
              <w:t>Effective Date</w:t>
            </w:r>
          </w:p>
        </w:tc>
        <w:tc>
          <w:tcPr>
            <w:tcW w:type="dxa" w:w="4680"/>
          </w:tcPr>
          <w:p>
            <w:r>
              <w:rPr>
                <w:sz w:val="18"/>
              </w:rPr>
              <w:t>March 25, 2026</w:t>
            </w:r>
          </w:p>
        </w:tc>
      </w:tr>
      <w:tr>
        <w:tc>
          <w:tcPr>
            <w:tcW w:type="dxa" w:w="4680"/>
          </w:tcPr>
          <w:p>
            <w:r>
              <w:rPr>
                <w:b/>
                <w:sz w:val="18"/>
              </w:rPr>
              <w:t>Last Review</w:t>
            </w:r>
          </w:p>
        </w:tc>
        <w:tc>
          <w:tcPr>
            <w:tcW w:type="dxa" w:w="4680"/>
          </w:tcPr>
          <w:p>
            <w:r>
              <w:rPr>
                <w:sz w:val="18"/>
              </w:rPr>
              <w:t>March 25, 2026</w:t>
            </w:r>
          </w:p>
        </w:tc>
      </w:tr>
      <w:tr>
        <w:tc>
          <w:tcPr>
            <w:tcW w:type="dxa" w:w="4680"/>
          </w:tcPr>
          <w:p>
            <w:r>
              <w:rPr>
                <w:b/>
                <w:sz w:val="18"/>
              </w:rPr>
              <w:t>Next Review</w:t>
            </w:r>
          </w:p>
        </w:tc>
        <w:tc>
          <w:tcPr>
            <w:tcW w:type="dxa" w:w="4680"/>
          </w:tcPr>
          <w:p>
            <w:r>
              <w:rPr>
                <w:sz w:val="18"/>
              </w:rPr>
              <w:t>June 25, 2026 (Quarterly)</w:t>
            </w:r>
          </w:p>
        </w:tc>
      </w:tr>
      <w:tr>
        <w:tc>
          <w:tcPr>
            <w:tcW w:type="dxa" w:w="4680"/>
          </w:tcPr>
          <w:p>
            <w:r>
              <w:rPr>
                <w:b/>
                <w:sz w:val="18"/>
              </w:rPr>
              <w:t>Owner</w:t>
            </w:r>
          </w:p>
        </w:tc>
        <w:tc>
          <w:tcPr>
            <w:tcW w:type="dxa" w:w="4680"/>
          </w:tcPr>
          <w:p>
            <w:r>
              <w:rPr>
                <w:sz w:val="18"/>
              </w:rPr>
              <w:t>Shane James, CEO</w:t>
            </w:r>
          </w:p>
        </w:tc>
      </w:tr>
      <w:tr>
        <w:tc>
          <w:tcPr>
            <w:tcW w:type="dxa" w:w="4680"/>
          </w:tcPr>
          <w:p>
            <w:r>
              <w:rPr>
                <w:b/>
                <w:sz w:val="18"/>
              </w:rPr>
              <w:t>Approved By</w:t>
            </w:r>
          </w:p>
        </w:tc>
        <w:tc>
          <w:tcPr>
            <w:tcW w:type="dxa" w:w="4680"/>
          </w:tcPr>
          <w:p>
            <w:r>
              <w:rPr>
                <w:sz w:val="18"/>
              </w:rPr>
              <w:t>_______________________ (Signature &amp; Date)</w:t>
            </w:r>
          </w:p>
        </w:tc>
      </w:tr>
    </w:tbl>
    <w:p/>
    <w:p>
      <w:pPr>
        <w:pStyle w:val="Heading2"/>
      </w:pPr>
      <w:r>
        <w:t>Revision History</w:t>
      </w:r>
    </w:p>
    <w:tbl>
      <w:tblPr>
        <w:tblW w:type="auto" w:w="0"/>
        <w:tblLook w:firstColumn="1" w:firstRow="1" w:lastColumn="0" w:lastRow="0" w:noHBand="0" w:noVBand="1" w:val="04A0"/>
      </w:tblPr>
      <w:tblGrid>
        <w:gridCol w:w="2340"/>
        <w:gridCol w:w="2340"/>
        <w:gridCol w:w="2340"/>
        <w:gridCol w:w="2340"/>
      </w:tblGrid>
      <w:tr>
        <w:tc>
          <w:tcPr>
            <w:tcW w:type="dxa" w:w="2340"/>
            <w:shd w:fill="0F3460" w:val="clear"/>
          </w:tcPr>
          <w:p>
            <w:r>
              <w:rPr>
                <w:b/>
                <w:color w:val="FFFFFF"/>
                <w:sz w:val="18"/>
              </w:rPr>
              <w:t>Version</w:t>
            </w:r>
          </w:p>
        </w:tc>
        <w:tc>
          <w:tcPr>
            <w:tcW w:type="dxa" w:w="2340"/>
            <w:shd w:fill="0F3460" w:val="clear"/>
          </w:tcPr>
          <w:p>
            <w:r>
              <w:rPr>
                <w:b/>
                <w:color w:val="FFFFFF"/>
                <w:sz w:val="18"/>
              </w:rPr>
              <w:t>Date</w:t>
            </w:r>
          </w:p>
        </w:tc>
        <w:tc>
          <w:tcPr>
            <w:tcW w:type="dxa" w:w="2340"/>
            <w:shd w:fill="0F3460" w:val="clear"/>
          </w:tcPr>
          <w:p>
            <w:r>
              <w:rPr>
                <w:b/>
                <w:color w:val="FFFFFF"/>
                <w:sz w:val="18"/>
              </w:rPr>
              <w:t>Author</w:t>
            </w:r>
          </w:p>
        </w:tc>
        <w:tc>
          <w:tcPr>
            <w:tcW w:type="dxa" w:w="2340"/>
            <w:shd w:fill="0F3460" w:val="clear"/>
          </w:tcPr>
          <w:p>
            <w:r>
              <w:rPr>
                <w:b/>
                <w:color w:val="FFFFFF"/>
                <w:sz w:val="18"/>
              </w:rPr>
              <w:t>Changes</w:t>
            </w:r>
          </w:p>
        </w:tc>
      </w:tr>
      <w:tr>
        <w:tc>
          <w:tcPr>
            <w:tcW w:type="dxa" w:w="2340"/>
          </w:tcPr>
          <w:p>
            <w:r>
              <w:rPr>
                <w:sz w:val="18"/>
              </w:rPr>
              <w:t>1.0</w:t>
            </w:r>
          </w:p>
        </w:tc>
        <w:tc>
          <w:tcPr>
            <w:tcW w:type="dxa" w:w="2340"/>
          </w:tcPr>
          <w:p>
            <w:r>
              <w:rPr>
                <w:sz w:val="18"/>
              </w:rPr>
              <w:t>March 25, 2026</w:t>
            </w:r>
          </w:p>
        </w:tc>
        <w:tc>
          <w:tcPr>
            <w:tcW w:type="dxa" w:w="2340"/>
          </w:tcPr>
          <w:p>
            <w:r>
              <w:rPr>
                <w:sz w:val="18"/>
              </w:rPr>
              <w:t>Shane James</w:t>
            </w:r>
          </w:p>
        </w:tc>
        <w:tc>
          <w:tcPr>
            <w:tcW w:type="dxa" w:w="2340"/>
          </w:tcPr>
          <w:p>
            <w:r>
              <w:rPr>
                <w:sz w:val="18"/>
              </w:rPr>
              <w:t>Initial policy creation</w:t>
            </w:r>
          </w:p>
        </w:tc>
      </w:tr>
    </w:tbl>
    <w:p/>
    <w:p>
      <w:pPr>
        <w:pStyle w:val="Heading1"/>
      </w:pPr>
      <w:r>
        <w:t>1. Purpose</w:t>
      </w:r>
    </w:p>
    <w:p>
      <w:r>
        <w:t>This policy formalizes the commitment to maintaining business continuity and recovering from disasters affecting the CCOPilot.ai platform. It provides the governance framework for the detailed Disaster Recovery Plan (DR Plan v1.2).</w:t>
      </w:r>
    </w:p>
    <w:p>
      <w:pPr>
        <w:pStyle w:val="Heading1"/>
      </w:pPr>
      <w:r>
        <w:t>2. Recovery Objectives</w:t>
      </w:r>
    </w:p>
    <w:p>
      <w:pPr>
        <w:pStyle w:val="ListBullet"/>
      </w:pPr>
      <w:r>
        <w:t>Recovery Time Objective (RTO): 30 minutes for service crashes, 2 hours for data loss, 4 hours for region failure or security incidents.</w:t>
      </w:r>
    </w:p>
    <w:p>
      <w:pPr>
        <w:pStyle w:val="ListBullet"/>
      </w:pPr>
      <w:r>
        <w:t>Recovery Point Objective (RPO): 5 minutes via PITR for database data, 0 for source code (GitHub), real-time for secrets (Doppler).</w:t>
      </w:r>
    </w:p>
    <w:p>
      <w:pPr>
        <w:pStyle w:val="Heading1"/>
      </w:pPr>
      <w:r>
        <w:t>3. Backup Requirements</w:t>
      </w:r>
    </w:p>
    <w:p>
      <w:pPr>
        <w:pStyle w:val="ListBullet"/>
      </w:pPr>
      <w:r>
        <w:t>Automated: Render provides continuous WAL archiving with 7-day PITR recovery window for the production PostgreSQL database.</w:t>
      </w:r>
    </w:p>
    <w:p>
      <w:pPr>
        <w:pStyle w:val="ListBullet"/>
      </w:pPr>
      <w:r>
        <w:t>Manual: Weekly logical database exports downloaded from Render and stored offsite in Microsoft OneDrive every Monday.</w:t>
      </w:r>
    </w:p>
    <w:p>
      <w:pPr>
        <w:pStyle w:val="ListBullet"/>
      </w:pPr>
      <w:r>
        <w:t>Secrets: Doppler maintains version history. Quarterly exports stored in encrypted OneDrive folder.</w:t>
      </w:r>
    </w:p>
    <w:p>
      <w:pPr>
        <w:pStyle w:val="ListBullet"/>
      </w:pPr>
      <w:r>
        <w:t>Source code: GitHub with tagged releases at major milestones.</w:t>
      </w:r>
    </w:p>
    <w:p>
      <w:pPr>
        <w:pStyle w:val="ListBullet"/>
      </w:pPr>
      <w:r>
        <w:t>Retention: Weekly exports retained for 90 days. Quarterly snapshots retained permanently.</w:t>
      </w:r>
    </w:p>
    <w:p>
      <w:pPr>
        <w:pStyle w:val="Heading1"/>
      </w:pPr>
      <w:r>
        <w:t>4. Testing Requirements</w:t>
      </w:r>
    </w:p>
    <w:p>
      <w:pPr>
        <w:pStyle w:val="ListBullet"/>
      </w:pPr>
      <w:r>
        <w:t>PITR recovery test: Quarterly. Trigger recovery to a 24-hour-old timestamp, verify data integrity, document results.</w:t>
      </w:r>
    </w:p>
    <w:p>
      <w:pPr>
        <w:pStyle w:val="ListBullet"/>
      </w:pPr>
      <w:r>
        <w:t>Logical export restoration: Quarterly. Download export, restore to a separate instance, verify data.</w:t>
      </w:r>
    </w:p>
    <w:p>
      <w:pPr>
        <w:pStyle w:val="ListBullet"/>
      </w:pPr>
      <w:r>
        <w:t>Full recovery drill: Annually. Simulate a region failure and execute full recovery procedure.</w:t>
      </w:r>
    </w:p>
    <w:p>
      <w:pPr>
        <w:pStyle w:val="ListBullet"/>
      </w:pPr>
      <w:r>
        <w:t>Test results are documented as appendices to the DR Plan and retained as SOC 2 evidence.</w:t>
      </w:r>
    </w:p>
    <w:p>
      <w:pPr>
        <w:pStyle w:val="Heading1"/>
      </w:pPr>
      <w:r>
        <w:t>5. Monitoring</w:t>
      </w:r>
    </w:p>
    <w:p>
      <w:pPr>
        <w:pStyle w:val="ListBullet"/>
      </w:pPr>
      <w:r>
        <w:t>UptimeRobot monitors API health and frontend availability at 5-minute intervals with email alerts.</w:t>
      </w:r>
    </w:p>
    <w:p>
      <w:pPr>
        <w:pStyle w:val="ListBullet"/>
      </w:pPr>
      <w:r>
        <w:t>Public status page at https://stats.uptimerobot.com/j8LMMVikNW provides real-time visibility.</w:t>
      </w:r>
    </w:p>
    <w:p>
      <w:pPr>
        <w:pStyle w:val="ListBullet"/>
      </w:pPr>
      <w:r>
        <w:t>API health endpoint checks both server availability and database connectivity.</w:t>
      </w:r>
    </w:p>
    <w:p>
      <w:pPr>
        <w:pStyle w:val="Heading1"/>
      </w:pPr>
      <w:r>
        <w:t>6. Communication</w:t>
      </w:r>
    </w:p>
    <w:p>
      <w:r>
        <w:t>During a disaster affecting platform availability:</w:t>
      </w:r>
    </w:p>
    <w:p>
      <w:pPr>
        <w:pStyle w:val="ListBullet"/>
      </w:pPr>
      <w:r>
        <w:t>Customers are notified via email within 30 minutes of detection.</w:t>
      </w:r>
    </w:p>
    <w:p>
      <w:pPr>
        <w:pStyle w:val="ListBullet"/>
      </w:pPr>
      <w:r>
        <w:t>Status page is updated with current status and estimated recovery time.</w:t>
      </w:r>
    </w:p>
    <w:p>
      <w:pPr>
        <w:pStyle w:val="ListBullet"/>
      </w:pPr>
      <w:r>
        <w:t>Progress updates are provided every 2 hours until resolution.</w:t>
      </w:r>
    </w:p>
    <w:p>
      <w:pPr>
        <w:pStyle w:val="ListBullet"/>
      </w:pPr>
      <w:r>
        <w:t>Post-incident report is shared with affected customers within 5 business days.</w:t>
      </w:r>
    </w:p>
    <w:p>
      <w:pPr>
        <w:pStyle w:val="Heading1"/>
      </w:pPr>
      <w:r>
        <w:t>7. Reference Documents</w:t>
      </w:r>
    </w:p>
    <w:p>
      <w:pPr>
        <w:pStyle w:val="ListBullet"/>
      </w:pPr>
      <w:r>
        <w:t>CCOPilot.ai Disaster Recovery Plan v1.2 (detailed recovery procedures)</w:t>
      </w:r>
    </w:p>
    <w:p>
      <w:pPr>
        <w:pStyle w:val="ListBullet"/>
      </w:pPr>
      <w:r>
        <w:t>Incident Response Policy (POL-IRP-004)</w:t>
      </w:r>
    </w:p>
    <w:p>
      <w:pPr>
        <w:pStyle w:val="ListBullet"/>
      </w:pPr>
      <w:r>
        <w:t>Shared Responsibility Matrix (Appendix in DR Plan)</w:t>
      </w:r>
    </w:p>
    <w:p/>
    <w:p>
      <w:pPr>
        <w:jc w:val="center"/>
      </w:pPr>
      <w:r>
        <w:rPr>
          <w:color w:val="4A5668"/>
          <w:sz w:val="16"/>
        </w:rPr>
        <w:t>Business Continuity &amp; Disaster Recovery Policy (POL-BCD-005) v1.0</w:t>
        <w:br/>
        <w:t>© 2026 CCO2go.ai | CCOPilot.ai</w:t>
        <w:br/>
        <w:t>shane.james@cco2go.ai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0F346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1687A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