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3460"/>
          <w:sz w:val="48"/>
        </w:rPr>
        <w:t>CCOPilot.ai</w:t>
      </w:r>
    </w:p>
    <w:p>
      <w:pPr>
        <w:jc w:val="center"/>
      </w:pPr>
      <w:r>
        <w:rPr>
          <w:color w:val="4A5668"/>
          <w:sz w:val="32"/>
        </w:rPr>
        <w:t>Vendor Management Policy</w:t>
      </w:r>
    </w:p>
    <w:p>
      <w:pPr>
        <w:jc w:val="center"/>
      </w:pPr>
      <w:r>
        <w:rPr>
          <w:color w:val="1687A7"/>
          <w:sz w:val="22"/>
        </w:rPr>
        <w:t>Policy ID: POL-VMP-006</w:t>
      </w:r>
    </w:p>
    <w:p>
      <w:pPr>
        <w:jc w:val="center"/>
      </w:pPr>
      <w:r>
        <w:rPr>
          <w:color w:val="4A5668"/>
          <w:sz w:val="20"/>
        </w:rPr>
        <w:t>Version 1.0 | March 25, 2026</w:t>
      </w:r>
    </w:p>
    <w:p>
      <w:pPr>
        <w:jc w:val="center"/>
      </w:pPr>
      <w:r>
        <w:rPr>
          <w:b/>
          <w:color w:val="CC0000"/>
          <w:sz w:val="20"/>
        </w:rPr>
        <w:t>Classification: INTERNAL</w:t>
      </w:r>
    </w:p>
    <w:p/>
    <w:p/>
    <w:p/>
    <w:p/>
    <w:p>
      <w:pPr>
        <w:jc w:val="center"/>
      </w:pPr>
      <w:r>
        <w:rPr>
          <w:color w:val="4A5668"/>
          <w:sz w:val="18"/>
        </w:rPr>
        <w:t>CCO2go.ai | Powered by CCOPilot.ai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F8" w:val="clear"/>
          </w:tcPr>
          <w:p>
            <w:r>
              <w:rPr>
                <w:b/>
                <w:sz w:val="18"/>
              </w:rPr>
              <w:t>Policy ID</w:t>
            </w:r>
          </w:p>
        </w:tc>
        <w:tc>
          <w:tcPr>
            <w:tcW w:type="dxa" w:w="4680"/>
            <w:shd w:fill="E8F4F8" w:val="clear"/>
          </w:tcPr>
          <w:p>
            <w:r>
              <w:rPr>
                <w:sz w:val="18"/>
              </w:rPr>
              <w:t>POL-VMP-006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Policy Name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Vendor Management Policy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March 25,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Last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March 25,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Next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June 25, 2026 (Quarterly)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Shane James, CEO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 (Signature &amp; Date)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40"/>
            <w:shd w:fill="0F3460" w:val="clear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March 25, 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Shane James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policy creation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defines how CCOPilot.ai assesses, selects, monitors, and manages third-party vendors and sub-processors that have access to customer data or provide critical infrastructure services.</w:t>
      </w:r>
    </w:p>
    <w:p>
      <w:pPr>
        <w:pStyle w:val="Heading1"/>
      </w:pPr>
      <w:r>
        <w:t>2. Vendor Inventory</w:t>
      </w:r>
    </w:p>
    <w:p>
      <w:r>
        <w:t>The following vendors are classified as critical to CCOPilot.ai operations: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3460" w:val="clear"/>
          </w:tcPr>
          <w:p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type="dxa" w:w="1872"/>
            <w:shd w:fill="0F3460" w:val="clear"/>
          </w:tcPr>
          <w:p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872"/>
            <w:shd w:fill="0F3460" w:val="clear"/>
          </w:tcPr>
          <w:p>
            <w:r>
              <w:rPr>
                <w:b/>
                <w:color w:val="FFFFFF"/>
                <w:sz w:val="16"/>
              </w:rPr>
              <w:t>Data Access</w:t>
            </w:r>
          </w:p>
        </w:tc>
        <w:tc>
          <w:tcPr>
            <w:tcW w:type="dxa" w:w="1872"/>
            <w:shd w:fill="0F3460" w:val="clear"/>
          </w:tcPr>
          <w:p>
            <w:r>
              <w:rPr>
                <w:b/>
                <w:color w:val="FFFFFF"/>
                <w:sz w:val="16"/>
              </w:rPr>
              <w:t>Criticality</w:t>
            </w:r>
          </w:p>
        </w:tc>
        <w:tc>
          <w:tcPr>
            <w:tcW w:type="dxa" w:w="1872"/>
            <w:shd w:fill="0F3460" w:val="clear"/>
          </w:tcPr>
          <w:p>
            <w:r>
              <w:rPr>
                <w:b/>
                <w:color w:val="FFFFFF"/>
                <w:sz w:val="16"/>
              </w:rPr>
              <w:t>SOC 2 Status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Render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Hosting, Database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Full (infrastructure)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To be requested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Doppler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Secrets Management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Secrets only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SOC 2 Type II certified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Groq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AI/LLM (primary)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Prompt data (no storage)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To be requested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Anthropic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AI/LLM (secondary)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Prompt data (no storage)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SOC 2 Type II certified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OAuth, Gmail, Calendar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OAuth tokens, email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SOC 2 Type II certified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Microsoft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OAuth, Outlook, Calendar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OAuth tokens, email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SOC 2 Type II certified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Stripe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Payment processing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Payment data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PCI DSS Level 1, SOC 2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Resend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Email delivery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Email content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To be requested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Source code hosting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Source code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SOC 2 Type II certified</w:t>
            </w:r>
          </w:p>
        </w:tc>
      </w:tr>
    </w:tbl>
    <w:p>
      <w:pPr>
        <w:pStyle w:val="Heading1"/>
      </w:pPr>
      <w:r>
        <w:t>3. Vendor Assessment Process</w:t>
      </w:r>
    </w:p>
    <w:p>
      <w:pPr>
        <w:pStyle w:val="Heading2"/>
      </w:pPr>
      <w:r>
        <w:t>3.1 New Vendor Onboarding</w:t>
      </w:r>
    </w:p>
    <w:p>
      <w:r>
        <w:t>Before engaging any new vendor that will access customer data or provide critical infrastructure:</w:t>
      </w:r>
    </w:p>
    <w:p>
      <w:pPr>
        <w:pStyle w:val="ListNumber"/>
      </w:pPr>
      <w:r>
        <w:t>Identify what data the vendor will access and what services they provide.</w:t>
      </w:r>
    </w:p>
    <w:p>
      <w:pPr>
        <w:pStyle w:val="ListNumber"/>
      </w:pPr>
      <w:r>
        <w:t>Request and review the vendor's SOC 2 Type II report (or equivalent security certification).</w:t>
      </w:r>
    </w:p>
    <w:p>
      <w:pPr>
        <w:pStyle w:val="ListNumber"/>
      </w:pPr>
      <w:r>
        <w:t>Assess the vendor's security posture against CCOPilot requirements.</w:t>
      </w:r>
    </w:p>
    <w:p>
      <w:pPr>
        <w:pStyle w:val="ListNumber"/>
      </w:pPr>
      <w:r>
        <w:t>Document the vendor in the Vendor Inventory with risk rating.</w:t>
      </w:r>
    </w:p>
    <w:p>
      <w:pPr>
        <w:pStyle w:val="ListNumber"/>
      </w:pPr>
      <w:r>
        <w:t>Ensure a Data Processing Agreement is in place if the vendor processes personal data.</w:t>
      </w:r>
    </w:p>
    <w:p>
      <w:pPr>
        <w:pStyle w:val="ListNumber"/>
      </w:pPr>
      <w:r>
        <w:t>Approve the vendor engagement (CEO approval required for Critical vendors).</w:t>
      </w:r>
    </w:p>
    <w:p>
      <w:pPr>
        <w:pStyle w:val="Heading2"/>
      </w:pPr>
      <w:r>
        <w:t>3.2 Annual Vendor Review</w:t>
      </w:r>
    </w:p>
    <w:p>
      <w:r>
        <w:t>All vendors in the inventory are reviewed annually:</w:t>
      </w:r>
    </w:p>
    <w:p>
      <w:pPr>
        <w:pStyle w:val="ListBullet"/>
      </w:pPr>
      <w:r>
        <w:t>Request updated SOC 2 reports from Critical and High vendors.</w:t>
      </w:r>
    </w:p>
    <w:p>
      <w:pPr>
        <w:pStyle w:val="ListBullet"/>
      </w:pPr>
      <w:r>
        <w:t>Review any security incidents reported by the vendor.</w:t>
      </w:r>
    </w:p>
    <w:p>
      <w:pPr>
        <w:pStyle w:val="ListBullet"/>
      </w:pPr>
      <w:r>
        <w:t>Assess whether the vendor still meets CCOPilot security requirements.</w:t>
      </w:r>
    </w:p>
    <w:p>
      <w:pPr>
        <w:pStyle w:val="ListBullet"/>
      </w:pPr>
      <w:r>
        <w:t>Update risk ratings based on review findings.</w:t>
      </w:r>
    </w:p>
    <w:p>
      <w:pPr>
        <w:pStyle w:val="ListBullet"/>
      </w:pPr>
      <w:r>
        <w:t>Document the review outcome.</w:t>
      </w:r>
    </w:p>
    <w:p>
      <w:pPr>
        <w:pStyle w:val="Heading1"/>
      </w:pPr>
      <w:r>
        <w:t>4. Vendor Risk Rating</w:t>
      </w:r>
    </w:p>
    <w:p>
      <w:pPr>
        <w:pStyle w:val="ListBullet"/>
      </w:pPr>
      <w:r>
        <w:t>Critical: Vendor failure causes complete platform outage or data loss. Examples: Render (hosting), Doppler (secrets).</w:t>
      </w:r>
    </w:p>
    <w:p>
      <w:pPr>
        <w:pStyle w:val="ListBullet"/>
      </w:pPr>
      <w:r>
        <w:t>High: Vendor failure causes significant feature degradation or affects data security. Examples: Groq (AI), Google/Microsoft (integrations), Stripe (payments).</w:t>
      </w:r>
    </w:p>
    <w:p>
      <w:pPr>
        <w:pStyle w:val="ListBullet"/>
      </w:pPr>
      <w:r>
        <w:t>Medium: Vendor failure causes minor feature degradation with no data risk. Examples: Resend (email delivery).</w:t>
      </w:r>
    </w:p>
    <w:p>
      <w:pPr>
        <w:pStyle w:val="ListBullet"/>
      </w:pPr>
      <w:r>
        <w:t>Low: Vendor failure has minimal operational impact.</w:t>
      </w:r>
    </w:p>
    <w:p>
      <w:pPr>
        <w:pStyle w:val="Heading1"/>
      </w:pPr>
      <w:r>
        <w:t>5. Contingency Planning</w:t>
      </w:r>
    </w:p>
    <w:p>
      <w:r>
        <w:t>For Critical and High vendors, document contingency plans:</w:t>
      </w:r>
    </w:p>
    <w:p>
      <w:pPr>
        <w:pStyle w:val="ListBullet"/>
      </w:pPr>
      <w:r>
        <w:t>Render (hosting): DR Plan covers cross-region recovery. Database exports provide offline backup capability.</w:t>
      </w:r>
    </w:p>
    <w:p>
      <w:pPr>
        <w:pStyle w:val="ListBullet"/>
      </w:pPr>
      <w:r>
        <w:t>Doppler (secrets): Secrets are synced to Render env vars. Platform operates without Doppler. Quarterly offline exports.</w:t>
      </w:r>
    </w:p>
    <w:p>
      <w:pPr>
        <w:pStyle w:val="ListBullet"/>
      </w:pPr>
      <w:r>
        <w:t>Groq (AI): LLM Settings allow per-org switch to Anthropic as secondary provider.</w:t>
      </w:r>
    </w:p>
    <w:p>
      <w:pPr>
        <w:pStyle w:val="ListBullet"/>
      </w:pPr>
      <w:r>
        <w:t>Google/Microsoft (integrations): Platform operates in degraded mode. Email and calendar features disabled, core CS functionality unaffected.</w:t>
      </w:r>
    </w:p>
    <w:p>
      <w:pPr>
        <w:pStyle w:val="Heading1"/>
      </w:pPr>
      <w:r>
        <w:t>6. Sub-Processor Notification</w:t>
      </w:r>
    </w:p>
    <w:p>
      <w:r>
        <w:t>Per the Data Processing Agreement, customers are entitled to notification before adding new sub-processors that will access their data. The current sub-processor list is maintained as part of the DPA and published on request.</w:t>
      </w:r>
    </w:p>
    <w:p/>
    <w:p>
      <w:pPr>
        <w:jc w:val="center"/>
      </w:pPr>
      <w:r>
        <w:rPr>
          <w:color w:val="4A5668"/>
          <w:sz w:val="16"/>
        </w:rPr>
        <w:t>Vendor Management Policy (POL-VMP-006) v1.0</w:t>
        <w:br/>
        <w:t>© 2026 CCO2go.ai | CCOPilot.ai</w:t>
        <w:br/>
        <w:t>shane.james@cco2go.ai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34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687A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